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w:t>
      </w:r>
    </w:p>
    <w:p>
      <w:pPr>
        <w:spacing w:after="0" w:line="24" w:lineRule="exact"/>
        <w:rPr>
          <w:sz w:val="24"/>
          <w:szCs w:val="24"/>
          <w:color w:val="auto"/>
        </w:rPr>
      </w:pPr>
    </w:p>
    <w:p>
      <w:pPr>
        <w:ind w:left="800" w:hanging="62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512"/>
        </w:trPr>
        <w:tc>
          <w:tcPr>
            <w:tcW w:w="680" w:type="dxa"/>
            <w:vAlign w:val="bottom"/>
          </w:tcPr>
          <w:p>
            <w:pPr>
              <w:ind w:left="20"/>
              <w:spacing w:after="0" w:line="495" w:lineRule="exact"/>
              <w:rPr>
                <w:sz w:val="20"/>
                <w:szCs w:val="20"/>
                <w:color w:val="auto"/>
              </w:rPr>
            </w:pPr>
            <w:r>
              <w:rPr>
                <w:rFonts w:ascii="Times New Roman" w:cs="Times New Roman" w:eastAsia="Times New Roman" w:hAnsi="Times New Roman"/>
                <w:sz w:val="18"/>
                <w:szCs w:val="18"/>
                <w:b w:val="1"/>
                <w:bCs w:val="1"/>
                <w:color w:val="auto"/>
              </w:rPr>
              <w:t>OR</w:t>
            </w:r>
            <w:r>
              <w:rPr>
                <w:rFonts w:ascii="MS PGothic" w:cs="MS PGothic" w:eastAsia="MS PGothic" w:hAnsi="MS PGothic"/>
                <w:sz w:val="43"/>
                <w:szCs w:val="43"/>
                <w:color w:val="auto"/>
                <w:vertAlign w:val="superscript"/>
              </w:rPr>
              <w:t>☐</w:t>
            </w:r>
          </w:p>
        </w:tc>
        <w:tc>
          <w:tcPr>
            <w:tcW w:w="10580" w:type="dxa"/>
            <w:vAlign w:val="bottom"/>
            <w:gridSpan w:val="11"/>
          </w:tcPr>
          <w:p>
            <w:pPr>
              <w:ind w:left="280"/>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tc>
      </w:tr>
      <w:tr>
        <w:trPr>
          <w:trHeight w:val="198"/>
        </w:trPr>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600" w:type="dxa"/>
            <w:vAlign w:val="bottom"/>
            <w:gridSpan w:val="2"/>
          </w:tcPr>
          <w:p>
            <w:pPr>
              <w:spacing w:after="0"/>
              <w:rPr>
                <w:sz w:val="17"/>
                <w:szCs w:val="17"/>
                <w:color w:val="auto"/>
              </w:rPr>
            </w:pPr>
          </w:p>
        </w:tc>
        <w:tc>
          <w:tcPr>
            <w:tcW w:w="2840" w:type="dxa"/>
            <w:vAlign w:val="bottom"/>
          </w:tcPr>
          <w:p>
            <w:pPr>
              <w:spacing w:after="0"/>
              <w:rPr>
                <w:sz w:val="17"/>
                <w:szCs w:val="17"/>
                <w:color w:val="auto"/>
              </w:rPr>
            </w:pPr>
          </w:p>
        </w:tc>
      </w:tr>
      <w:tr>
        <w:trPr>
          <w:trHeight w:val="326"/>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001-35004</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593"/>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3"/>
          </w:tcPr>
          <w:p>
            <w:pPr>
              <w:jc w:val="center"/>
              <w:ind w:left="1438"/>
              <w:spacing w:after="0"/>
              <w:rPr>
                <w:sz w:val="20"/>
                <w:szCs w:val="20"/>
                <w:color w:val="auto"/>
              </w:rPr>
            </w:pPr>
            <w:r>
              <w:rPr>
                <w:rFonts w:ascii="Times New Roman" w:cs="Times New Roman" w:eastAsia="Times New Roman" w:hAnsi="Times New Roman"/>
                <w:sz w:val="40"/>
                <w:szCs w:val="40"/>
                <w:b w:val="1"/>
                <w:bCs w:val="1"/>
                <w:color w:val="auto"/>
                <w:w w:val="97"/>
              </w:rPr>
              <w:t>Corpay,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0"/>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248"/>
        </w:trPr>
        <w:tc>
          <w:tcPr>
            <w:tcW w:w="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320" w:type="dxa"/>
            <w:vAlign w:val="bottom"/>
            <w:gridSpan w:val="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184"/>
        </w:trPr>
        <w:tc>
          <w:tcPr>
            <w:tcW w:w="680" w:type="dxa"/>
            <w:vAlign w:val="bottom"/>
          </w:tcPr>
          <w:p>
            <w:pPr>
              <w:spacing w:after="0"/>
              <w:rPr>
                <w:sz w:val="16"/>
                <w:szCs w:val="16"/>
                <w:color w:val="auto"/>
              </w:rPr>
            </w:pPr>
          </w:p>
        </w:tc>
        <w:tc>
          <w:tcPr>
            <w:tcW w:w="5100" w:type="dxa"/>
            <w:vAlign w:val="bottom"/>
            <w:gridSpan w:val="5"/>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jc w:val="center"/>
              <w:ind w:right="10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79"/>
        </w:trPr>
        <w:tc>
          <w:tcPr>
            <w:tcW w:w="680" w:type="dxa"/>
            <w:vAlign w:val="bottom"/>
          </w:tcPr>
          <w:p>
            <w:pPr>
              <w:spacing w:after="0"/>
              <w:rPr>
                <w:sz w:val="24"/>
                <w:szCs w:val="24"/>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Atlanta</w:t>
            </w:r>
          </w:p>
        </w:tc>
        <w:tc>
          <w:tcPr>
            <w:tcW w:w="240" w:type="dxa"/>
            <w:vAlign w:val="bottom"/>
          </w:tcPr>
          <w:p>
            <w:pPr>
              <w:spacing w:after="0"/>
              <w:rPr>
                <w:sz w:val="24"/>
                <w:szCs w:val="24"/>
                <w:color w:val="auto"/>
              </w:rPr>
            </w:pPr>
          </w:p>
        </w:tc>
        <w:tc>
          <w:tcPr>
            <w:tcW w:w="15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8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78"/>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(770) 449-0479</w:t>
            </w:r>
          </w:p>
        </w:tc>
        <w:tc>
          <w:tcPr>
            <w:tcW w:w="2840" w:type="dxa"/>
            <w:vAlign w:val="bottom"/>
          </w:tcPr>
          <w:p>
            <w:pPr>
              <w:spacing w:after="0"/>
              <w:rPr>
                <w:sz w:val="24"/>
                <w:szCs w:val="24"/>
                <w:color w:val="auto"/>
              </w:rPr>
            </w:pPr>
          </w:p>
        </w:tc>
      </w:tr>
      <w:tr>
        <w:trPr>
          <w:trHeight w:val="304"/>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gridSpan w:val="5"/>
          </w:tcPr>
          <w:p>
            <w:pPr>
              <w:spacing w:after="0"/>
              <w:rPr>
                <w:sz w:val="2"/>
                <w:szCs w:val="2"/>
                <w:color w:val="auto"/>
              </w:rPr>
            </w:pP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Title of each class</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580" w:type="dxa"/>
            <w:vAlign w:val="bottom"/>
            <w:tcBorders>
              <w:bottom w:val="single" w:sz="8" w:color="auto"/>
              <w:right w:val="single" w:sz="8" w:color="auto"/>
            </w:tcBorders>
            <w:gridSpan w:val="5"/>
          </w:tcPr>
          <w:p>
            <w:pPr>
              <w:jc w:val="center"/>
              <w:ind w:right="1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CPAY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3"/>
          </w:tcPr>
          <w:p>
            <w:pPr>
              <w:jc w:val="center"/>
              <w:ind w:right="2270"/>
              <w:spacing w:after="0"/>
              <w:rPr>
                <w:sz w:val="20"/>
                <w:szCs w:val="20"/>
                <w:color w:val="auto"/>
              </w:rPr>
            </w:pPr>
            <w:r>
              <w:rPr>
                <w:rFonts w:ascii="Times New Roman" w:cs="Times New Roman" w:eastAsia="Times New Roman" w:hAnsi="Times New Roman"/>
                <w:sz w:val="18"/>
                <w:szCs w:val="18"/>
                <w:color w:val="auto"/>
              </w:rPr>
              <w:t>NYSE</w:t>
            </w:r>
          </w:p>
        </w:tc>
      </w:tr>
    </w:tbl>
    <w:p>
      <w:pPr>
        <w:spacing w:after="0" w:line="238"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89"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4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700" w:type="dxa"/>
            <w:vAlign w:val="bottom"/>
          </w:tcPr>
          <w:p>
            <w:pPr>
              <w:spacing w:after="0"/>
              <w:rPr>
                <w:sz w:val="18"/>
                <w:szCs w:val="18"/>
                <w:color w:val="auto"/>
              </w:rPr>
            </w:pPr>
          </w:p>
        </w:tc>
        <w:tc>
          <w:tcPr>
            <w:tcW w:w="56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Outstanding at May 2, 2024</w:t>
            </w:r>
          </w:p>
        </w:tc>
      </w:tr>
      <w:tr>
        <w:trPr>
          <w:trHeight w:val="250"/>
        </w:trPr>
        <w:tc>
          <w:tcPr>
            <w:tcW w:w="56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562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70,268,506</w:t>
            </w:r>
          </w:p>
        </w:tc>
      </w:tr>
      <w:tr>
        <w:trPr>
          <w:trHeight w:val="695"/>
        </w:trPr>
        <w:tc>
          <w:tcPr>
            <w:tcW w:w="2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gridSpan w:val="9"/>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gridSpan w:val="8"/>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40" w:type="dxa"/>
            <w:vAlign w:val="bottom"/>
            <w:gridSpan w:val="10"/>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2024</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0" w:type="dxa"/>
            <w:vAlign w:val="bottom"/>
            <w:gridSpan w:val="8"/>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102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PART I—FINANCIAL INFORMATION</w:t>
            </w: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0240" w:type="dxa"/>
            <w:vAlign w:val="bottom"/>
            <w:gridSpan w:val="19"/>
            <w:vMerge w:val="continue"/>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10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Consolidated Balance Sheets at March 31, 2024 (unaudited) and December 31, 2023</w:t>
            </w:r>
          </w:p>
        </w:tc>
        <w:tc>
          <w:tcPr>
            <w:tcW w:w="3240" w:type="dxa"/>
            <w:vAlign w:val="bottom"/>
            <w:gridSpan w:val="7"/>
          </w:tcPr>
          <w:p>
            <w:pPr>
              <w:spacing w:after="0"/>
              <w:rPr>
                <w:sz w:val="21"/>
                <w:szCs w:val="21"/>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Unaudited Consolidated Statements of Income for the Three Months Ended March 31, 2024 and 2023</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680" w:type="dxa"/>
            <w:vAlign w:val="bottom"/>
            <w:tcBorders>
              <w:right w:val="single" w:sz="8" w:color="0E32E1"/>
            </w:tcBorders>
            <w:shd w:val="clear" w:color="auto" w:fill="0E32E1"/>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52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9"/>
              </w:rPr>
              <w:t>Unaudited Consolidated Statements of Comprehensive Income for the Three Months Ended March 31, 2024 and 2023</w:t>
            </w:r>
          </w:p>
        </w:tc>
        <w:tc>
          <w:tcPr>
            <w:tcW w:w="820" w:type="dxa"/>
            <w:vAlign w:val="bottom"/>
            <w:gridSpan w:val="3"/>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Unaudited Consolidated Statements of Equity for the Three Months Ended March 31, 2024 and 2023</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60" w:type="dxa"/>
            <w:vAlign w:val="bottom"/>
            <w:tcBorders>
              <w:top w:val="single" w:sz="8" w:color="0E32E1"/>
              <w:bottom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w w:val="99"/>
              </w:rPr>
              <w:t>Unaudited Statements of Cash Flows for the Three Months Ended March 31, 2024 and 2023</w:t>
            </w:r>
          </w:p>
        </w:tc>
        <w:tc>
          <w:tcPr>
            <w:tcW w:w="680" w:type="dxa"/>
            <w:vAlign w:val="bottom"/>
            <w:tcBorders>
              <w:top w:val="single" w:sz="8" w:color="0E32E1"/>
            </w:tcBorders>
          </w:tcPr>
          <w:p>
            <w:pPr>
              <w:spacing w:after="0"/>
              <w:rPr>
                <w:sz w:val="22"/>
                <w:szCs w:val="22"/>
                <w:color w:val="auto"/>
              </w:rPr>
            </w:pPr>
          </w:p>
        </w:tc>
        <w:tc>
          <w:tcPr>
            <w:tcW w:w="2000" w:type="dxa"/>
            <w:vAlign w:val="bottom"/>
            <w:gridSpan w:val="4"/>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Notes to Unaudited Consolidated Financial Statements</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420" w:type="dxa"/>
            <w:vAlign w:val="bottom"/>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tcBorders>
              <w:top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3200" w:type="dxa"/>
            <w:vAlign w:val="bottom"/>
            <w:gridSpan w:val="6"/>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PART II—OTHER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LEGAL PROCEEDINGS</w:t>
            </w:r>
          </w:p>
        </w:tc>
        <w:tc>
          <w:tcPr>
            <w:tcW w:w="7460" w:type="dxa"/>
            <w:vAlign w:val="bottom"/>
            <w:gridSpan w:val="12"/>
          </w:tcPr>
          <w:p>
            <w:pPr>
              <w:spacing w:after="0"/>
              <w:rPr>
                <w:sz w:val="21"/>
                <w:szCs w:val="21"/>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8080" w:type="dxa"/>
            <w:vAlign w:val="bottom"/>
            <w:gridSpan w:val="13"/>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USE OF PROCEEDS AND ISSUER PURCHASE OF EQUITY</w:t>
            </w:r>
          </w:p>
        </w:tc>
        <w:tc>
          <w:tcPr>
            <w:tcW w:w="92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760" w:type="dxa"/>
            <w:vAlign w:val="bottom"/>
            <w:tcBorders>
              <w:top w:val="single" w:sz="8" w:color="0E32E1"/>
            </w:tcBorders>
            <w:gridSpan w:val="16"/>
          </w:tcPr>
          <w:p>
            <w:pPr>
              <w:spacing w:after="0" w:line="142" w:lineRule="exact"/>
              <w:rPr>
                <w:sz w:val="20"/>
                <w:szCs w:val="20"/>
                <w:color w:val="auto"/>
              </w:rPr>
            </w:pPr>
            <w:r>
              <w:rPr>
                <w:rFonts w:ascii="Times New Roman" w:cs="Times New Roman" w:eastAsia="Times New Roman" w:hAnsi="Times New Roman"/>
                <w:sz w:val="16"/>
                <w:szCs w:val="16"/>
                <w:color w:val="0E32E1"/>
              </w:rPr>
              <w:t>SECURITIES</w:t>
            </w:r>
          </w:p>
        </w:tc>
        <w:tc>
          <w:tcPr>
            <w:tcW w:w="580" w:type="dxa"/>
            <w:vAlign w:val="bottom"/>
            <w:gridSpan w:val="2"/>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3180" w:type="dxa"/>
            <w:vAlign w:val="bottom"/>
            <w:tcBorders>
              <w:top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6160" w:type="dxa"/>
            <w:vAlign w:val="bottom"/>
            <w:gridSpan w:val="9"/>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2440" w:type="dxa"/>
            <w:vAlign w:val="bottom"/>
            <w:tcBorders>
              <w:top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6900" w:type="dxa"/>
            <w:vAlign w:val="bottom"/>
            <w:gridSpan w:val="11"/>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EXHIBITS</w:t>
            </w:r>
          </w:p>
        </w:tc>
        <w:tc>
          <w:tcPr>
            <w:tcW w:w="7460" w:type="dxa"/>
            <w:vAlign w:val="bottom"/>
            <w:gridSpan w:val="12"/>
          </w:tcPr>
          <w:p>
            <w:pPr>
              <w:spacing w:after="0"/>
              <w:rPr>
                <w:sz w:val="22"/>
                <w:szCs w:val="22"/>
                <w:color w:val="auto"/>
              </w:rPr>
            </w:pP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8520" w:type="dxa"/>
            <w:vAlign w:val="bottom"/>
            <w:gridSpan w:val="1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973"/>
        </w:trPr>
        <w:tc>
          <w:tcPr>
            <w:tcW w:w="80" w:type="dxa"/>
            <w:vAlign w:val="bottom"/>
            <w:tcBorders>
              <w:bottom w:val="single" w:sz="8" w:color="9A9A9A"/>
            </w:tcBorders>
          </w:tcPr>
          <w:p>
            <w:pPr>
              <w:spacing w:after="0"/>
              <w:rPr>
                <w:sz w:val="24"/>
                <w:szCs w:val="24"/>
                <w:color w:val="auto"/>
              </w:rPr>
            </w:pPr>
          </w:p>
        </w:tc>
        <w:tc>
          <w:tcPr>
            <w:tcW w:w="900" w:type="dxa"/>
            <w:vAlign w:val="bottom"/>
            <w:tcBorders>
              <w:top w:val="single" w:sz="8" w:color="0E32E1"/>
              <w:bottom w:val="single" w:sz="8" w:color="9A9A9A"/>
            </w:tcBorders>
          </w:tcPr>
          <w:p>
            <w:pPr>
              <w:spacing w:after="0"/>
              <w:rPr>
                <w:sz w:val="24"/>
                <w:szCs w:val="24"/>
                <w:color w:val="auto"/>
              </w:rPr>
            </w:pPr>
          </w:p>
        </w:tc>
        <w:tc>
          <w:tcPr>
            <w:tcW w:w="200" w:type="dxa"/>
            <w:vAlign w:val="bottom"/>
            <w:tcBorders>
              <w:top w:val="single" w:sz="8" w:color="0E32E1"/>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Par Value Amounts)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7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r>
      <w:tr>
        <w:trPr>
          <w:trHeight w:val="23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1,311,949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1,389,648</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1,890,727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1,751,887</w:t>
            </w:r>
          </w:p>
        </w:tc>
      </w:tr>
      <w:tr>
        <w:trPr>
          <w:trHeight w:val="175"/>
        </w:trPr>
        <w:tc>
          <w:tcPr>
            <w:tcW w:w="72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and other receivables (less allowance for credit losses of $184,887 at March 31,</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43"/>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and $180,163 at December 31, 2023)</w:t>
            </w:r>
          </w:p>
        </w:tc>
        <w:tc>
          <w:tcPr>
            <w:tcW w:w="2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2,376,003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2,161,586</w:t>
            </w:r>
          </w:p>
        </w:tc>
      </w:tr>
      <w:tr>
        <w:trPr>
          <w:trHeight w:val="22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Securitized accounts receivable—restricted for securitization investors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1,307,000</w:t>
            </w: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437,687</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474,144</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7,437,366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7,084,265</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351,831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343,154</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5,673,732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5,644,958</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2,033,106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2,085,663</w:t>
            </w: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69,521</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265,797</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248,691</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15,830,131</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15,476,252</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7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1,849,958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1,624,995</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408,661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356,118</w:t>
            </w: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2,534,349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2,397,279</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Securitization facility</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1,307,000</w:t>
            </w: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notes payable and lines of credit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480,433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819,749</w:t>
            </w:r>
          </w:p>
        </w:tc>
      </w:tr>
      <w:tr>
        <w:trPr>
          <w:trHeight w:val="230"/>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256,527</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320,612</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6,950,928</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6,825,753</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and other obligations, less current portion</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4,862,621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4,596,156</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473,250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470,232</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261,062</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301,752</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5,596,933</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5,368,140</w:t>
            </w:r>
          </w:p>
        </w:tc>
      </w:tr>
      <w:tr>
        <w:trPr>
          <w:trHeight w:val="21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175"/>
        </w:trPr>
        <w:tc>
          <w:tcPr>
            <w:tcW w:w="7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475,000,000 shares authorized; 129,604,492 shares issued and</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4"/>
        </w:trPr>
        <w:tc>
          <w:tcPr>
            <w:tcW w:w="7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71,463,894 shares outstanding at March 31, 2024; and 128,759,639 shares issued and 71,715,804</w:t>
            </w: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 at December 31, 2023</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3,382,001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3,266,185</w:t>
            </w: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8,422,428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8,192,659</w:t>
            </w: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(1,340,847)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(1,289,099)</w:t>
            </w:r>
          </w:p>
        </w:tc>
      </w:tr>
      <w:tr>
        <w:trPr>
          <w:trHeight w:val="175"/>
        </w:trPr>
        <w:tc>
          <w:tcPr>
            <w:tcW w:w="7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treasury stock, 58,140,598 shares at March 31, 2024 and 57,043,835 shares at December 31,</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4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(7,209,291)</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(6,887,515)</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Corpay stockholders’ equity</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3,254,421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3,282,359</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27,849</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3,282,270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3,282,359</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15,830,131</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15,476,252</w:t>
            </w:r>
          </w:p>
        </w:tc>
      </w:tr>
      <w:tr>
        <w:trPr>
          <w:trHeight w:val="20"/>
        </w:trPr>
        <w:tc>
          <w:tcPr>
            <w:tcW w:w="7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448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6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135" w:lineRule="exact"/>
        <w:rPr>
          <w:sz w:val="20"/>
          <w:szCs w:val="20"/>
          <w:color w:val="auto"/>
        </w:rPr>
      </w:pPr>
    </w:p>
    <w:tbl>
      <w:tblPr>
        <w:tblLayout w:type="fixed"/>
        <w:tblInd w:w="132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901,333</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Processing</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204,967</w:t>
            </w:r>
          </w:p>
        </w:tc>
        <w:tc>
          <w:tcPr>
            <w:tcW w:w="0" w:type="dxa"/>
            <w:vAlign w:val="bottom"/>
          </w:tcPr>
          <w:p>
            <w:pPr>
              <w:spacing w:after="0"/>
              <w:rPr>
                <w:sz w:val="1"/>
                <w:szCs w:val="1"/>
                <w:color w:val="auto"/>
              </w:rPr>
            </w:pPr>
          </w:p>
        </w:tc>
      </w:tr>
      <w:tr>
        <w:trPr>
          <w:trHeight w:val="230"/>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81,592</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154,684</w:t>
            </w:r>
          </w:p>
        </w:tc>
        <w:tc>
          <w:tcPr>
            <w:tcW w:w="0" w:type="dxa"/>
            <w:vAlign w:val="bottom"/>
          </w:tcPr>
          <w:p>
            <w:pPr>
              <w:spacing w:after="0"/>
              <w:rPr>
                <w:sz w:val="1"/>
                <w:szCs w:val="1"/>
                <w:color w:val="auto"/>
              </w:rPr>
            </w:pPr>
          </w:p>
        </w:tc>
      </w:tr>
      <w:tr>
        <w:trPr>
          <w:trHeight w:val="229"/>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84,232</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net</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375,195</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gain</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89,088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79,795</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80,351</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294,844</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80,009</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214,835</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229,769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214,835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shares</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 shares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73,545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74,483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588"/>
        </w:trPr>
        <w:tc>
          <w:tcPr>
            <w:tcW w:w="12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56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940" w:type="dxa"/>
            <w:vAlign w:val="bottom"/>
            <w:gridSpan w:val="4"/>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Comprehensive Income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8"/>
        </w:trPr>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6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7"/>
        </w:trPr>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214,835</w:t>
            </w:r>
          </w:p>
        </w:tc>
      </w:tr>
      <w:tr>
        <w:trPr>
          <w:trHeight w:val="229"/>
        </w:trPr>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(losses) gains, net of tax</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81,107</w:t>
            </w:r>
          </w:p>
        </w:tc>
      </w:tr>
      <w:tr>
        <w:trPr>
          <w:trHeight w:val="229"/>
        </w:trPr>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change in derivative contracts, net of tax</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w:t>
            </w:r>
          </w:p>
        </w:tc>
      </w:tr>
      <w:tr>
        <w:trPr>
          <w:trHeight w:val="223"/>
        </w:trPr>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75,634</w:t>
            </w:r>
          </w:p>
        </w:tc>
      </w:tr>
      <w:tr>
        <w:trPr>
          <w:trHeight w:val="223"/>
        </w:trPr>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290,469</w:t>
            </w:r>
          </w:p>
        </w:tc>
      </w:tr>
      <w:tr>
        <w:trPr>
          <w:trHeight w:val="223"/>
        </w:trPr>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Corpay</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178,021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290,469</w:t>
            </w:r>
          </w:p>
        </w:tc>
      </w:tr>
      <w:tr>
        <w:trPr>
          <w:trHeight w:val="21"/>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2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Total Corpay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3,266,185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8,192,659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(6,887,515)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3,282,359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3,282,359</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229,769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229,803</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Acquisition of noncontrolling</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28,057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28,057</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24,979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24,979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90,837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90,838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90,838</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3,382,001</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8,422,428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(1,340,847)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(7,209,291)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3,254,421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27,849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3,282,270</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6"/>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Total Corpay</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1"/>
                <w:szCs w:val="11"/>
                <w:color w:val="auto"/>
              </w:rPr>
            </w:pPr>
          </w:p>
        </w:tc>
        <w:tc>
          <w:tcPr>
            <w:tcW w:w="84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3,049,570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7,210,769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(6,209,324)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2,541,493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2,541,493</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214,835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214,835</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75,634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26,096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26,096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26,096</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33,399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33,399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33,399</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3,109,065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7,425,604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(1,434,016)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(6,218,921)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2,881,860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2,881,860</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4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Cash Flows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229,803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accounts and other receivables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 and premium on receivables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58,252</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 gain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operating expense,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372,342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Derivative assets and liabilities,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customer deposits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398,544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350,184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877,665</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(159,027)</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on securitization facility,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revolver</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revolver</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borrowings on swing line of credit,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310,719</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(158,551)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(217,715)</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530,221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3,141,535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2,289,180</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3,202,676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2,819,401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7460" w:type="dxa"/>
            <w:vAlign w:val="bottom"/>
            <w:gridSpan w:val="2"/>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38,925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35,442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95" w:lineRule="exact"/>
        <w:rPr>
          <w:sz w:val="20"/>
          <w:szCs w:val="20"/>
          <w:color w:val="auto"/>
        </w:rPr>
      </w:pPr>
    </w:p>
    <w:p>
      <w:pPr>
        <w:ind w:right="7680" w:firstLine="8"/>
        <w:spacing w:after="0" w:line="370"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380"/>
        <w:spacing w:after="0" w:line="272" w:lineRule="auto"/>
        <w:rPr>
          <w:sz w:val="20"/>
          <w:szCs w:val="20"/>
          <w:color w:val="auto"/>
        </w:rPr>
      </w:pPr>
      <w:r>
        <w:rPr>
          <w:rFonts w:ascii="Times New Roman" w:cs="Times New Roman" w:eastAsia="Times New Roman" w:hAnsi="Times New Roman"/>
          <w:sz w:val="17"/>
          <w:szCs w:val="17"/>
          <w:color w:val="auto"/>
        </w:rPr>
        <w:t>Throughout this Quarterly Report on Form 10-Q, the terms "our," "we," "us," and the "Company" refers to Corpay, Inc. and its subsidiaries. Effective March 25, 2024, FLEETCOR Technologies, Inc. changed its corporate name to Corpay, Inc. At that time, the Company ceased trading under the ticker symbol "FLT" and began trading under our new ticker symbol, "CPAY," on the New York Stock Exchange ("NYSE") effective March 25, 2024.</w:t>
      </w:r>
    </w:p>
    <w:p>
      <w:pPr>
        <w:spacing w:after="0" w:line="5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The Company prepared the accompanying unaudited interim consolidated financial statements in accordance with accounting principles generally accepted in the United States of America (“GAAP”) for interim financial information and with the instructions to Form 10-Q and Article 10 of Regulation S-X. Accordingly, certain information and note disclosures normally included in annual financial statements prepared in accordance with GAAP have been condensed or omitted pursuant to those rules and regulations, although we believe that the disclosures made are adequate to make the information not misleading. In our opinion, the unaudited interim consolidated financial statements reflect all adjustments considered necessary for fair presentation. These adjustments consist of normal recurring accruals and estimates that impact the carrying value of assets and liabilities. Actual results may differ from these estimates.</w:t>
      </w:r>
    </w:p>
    <w:p>
      <w:pPr>
        <w:spacing w:after="0" w:line="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to us as of March 31, 2024 and through the date of this Quarterly Report. The accounting estimates used in the preparation of the Company’s interim consolidated financial statements may change as new events occur, as more experience is acquired, as additional information is obtained and as the Company’s operating environment changes. Actual results may differ from these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Assets and liabilities of foreign subsidiaries as well as intra-entity balances denominated in foreign currency and designated for long-term investment are translated into U.S. dollars at the rates of exchange in effect at period-end. The related translation adjustments are recorded to accumulated other comprehensive loss. Income and expenses are translated at the average monthly rates of exchange in effect during the year. Gains and losses from foreign currency transactions of these subsidiaries are included in net income. The Company recognized foreign exchange losses, which are recorded within Other expense, net in the Unaudited Consolidated Statements of Income, for the three months ended March 31, 2024 and 2023 as follows (in millions):</w:t>
      </w:r>
    </w:p>
    <w:p>
      <w:pPr>
        <w:spacing w:after="0" w:line="118" w:lineRule="exact"/>
        <w:rPr>
          <w:sz w:val="20"/>
          <w:szCs w:val="20"/>
          <w:color w:val="auto"/>
        </w:rPr>
      </w:pPr>
    </w:p>
    <w:p>
      <w:pPr>
        <w:jc w:val="center"/>
        <w:ind w:left="4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21590</wp:posOffset>
            </wp:positionV>
            <wp:extent cx="20656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7" w:lineRule="exact"/>
        <w:rPr>
          <w:sz w:val="20"/>
          <w:szCs w:val="20"/>
          <w:color w:val="auto"/>
        </w:rPr>
      </w:pPr>
    </w:p>
    <w:p>
      <w:pPr>
        <w:ind w:left="6980"/>
        <w:spacing w:after="0"/>
        <w:tabs>
          <w:tab w:leader="none" w:pos="86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33655</wp:posOffset>
            </wp:positionV>
            <wp:extent cx="504063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40630" cy="154305"/>
                    </a:xfrm>
                    <a:prstGeom prst="rect">
                      <a:avLst/>
                    </a:prstGeom>
                    <a:noFill/>
                  </pic:spPr>
                </pic:pic>
              </a:graphicData>
            </a:graphic>
          </wp:anchor>
        </w:drawing>
      </w:r>
    </w:p>
    <w:p>
      <w:pPr>
        <w:spacing w:after="0" w:line="41" w:lineRule="exact"/>
        <w:rPr>
          <w:sz w:val="20"/>
          <w:szCs w:val="20"/>
          <w:color w:val="auto"/>
        </w:rPr>
      </w:pPr>
    </w:p>
    <w:p>
      <w:pPr>
        <w:ind w:left="1680"/>
        <w:spacing w:after="0"/>
        <w:tabs>
          <w:tab w:leader="none" w:pos="6340" w:val="left"/>
          <w:tab w:leader="none" w:pos="7580" w:val="left"/>
          <w:tab w:leader="none" w:pos="8040" w:val="left"/>
          <w:tab w:leader="none" w:pos="9280" w:val="left"/>
        </w:tabs>
        <w:rPr>
          <w:sz w:val="20"/>
          <w:szCs w:val="20"/>
          <w:color w:val="auto"/>
        </w:rPr>
      </w:pPr>
      <w:r>
        <w:rPr>
          <w:rFonts w:ascii="Times New Roman" w:cs="Times New Roman" w:eastAsia="Times New Roman" w:hAnsi="Times New Roman"/>
          <w:sz w:val="18"/>
          <w:szCs w:val="18"/>
          <w:color w:val="auto"/>
        </w:rPr>
        <w:t>Foreign exchange losses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3.1</w:t>
        <w:tab/>
        <w:t>$</w:t>
      </w:r>
      <w:r>
        <w:rPr>
          <w:sz w:val="20"/>
          <w:szCs w:val="20"/>
          <w:color w:val="auto"/>
        </w:rPr>
        <w:tab/>
      </w:r>
      <w:r>
        <w:rPr>
          <w:rFonts w:ascii="Times New Roman" w:cs="Times New Roman" w:eastAsia="Times New Roman" w:hAnsi="Times New Roman"/>
          <w:sz w:val="17"/>
          <w:szCs w:val="17"/>
          <w:color w:val="auto"/>
        </w:rPr>
        <w:t>0.7</w:t>
      </w:r>
    </w:p>
    <w:p>
      <w:pPr>
        <w:spacing w:after="0" w:line="21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recorded foreign currency losses and gains on long-term intra-entity transactions included as a component of Foreign currency translation (losses) gains, net of tax, in the Unaudited Consolidated Statements of Comprehensive Income for the three months ended March 31, 2024 and 2023 as follows (in millions):</w:t>
      </w:r>
    </w:p>
    <w:p>
      <w:pPr>
        <w:spacing w:after="0" w:line="1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1660" w:type="dxa"/>
        <w:tblCellMar>
          <w:top w:w="0" w:type="dxa"/>
          <w:left w:w="0" w:type="dxa"/>
          <w:bottom w:w="0" w:type="dxa"/>
          <w:right w:w="0" w:type="dxa"/>
        </w:tblCellMar>
      </w:tblPr>
      <w:tr>
        <w:trPr>
          <w:trHeight w:val="196"/>
        </w:trPr>
        <w:tc>
          <w:tcPr>
            <w:tcW w:w="46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1"/>
        </w:trPr>
        <w:tc>
          <w:tcPr>
            <w:tcW w:w="4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Foreign currency losses (gains) on long-term intra-entity</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4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Cash equivalents primarily consist of a) cash on hand, b) highly liquid investments with original maturities of three months or less, such as certificates of deposit, treasury bills and money market funds, and c) customer deposits repayable on demand without legal restrictions. Restricted cash primarily represents a) customer deposits repayable on demand held in certain geographies with legal restrictions contractually set aside to fulfill payment obligations on a customer's behalf, b) collateral received from customers for cross-currency transactions in our cross-border payments business, which are restricted from use other than to repay customer deposits and secure and settle cross-currency transactions, and c) collateral posted with banks for hedging positions in our cross-border payments business.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 Credit Losses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accounts for financial assets' expected credit losses in accordance with Accounting Standards Codification (ASC) 326, "Financial Instruments - Credit Losses". The Company’s financial assets subject to credit losses are primarily trade receivables. The Company utilizes a combination of aging and loss-rate methods to develop an estimate of current expected credit losses, depending on the nature and risk profile of the underlying asset pool, based on product, size of customer and historical losses. Expected credit losses are estimated based upon an assessment of risk characteristics, historical payment experience, and the age of outstanding receivables, adjusted for forward-looking economic conditions. The allowances for 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The Company's provision for credit losses is recorded within processing expenses in the Unaudited Consolidated Statements of Income.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payment solutions to our business, merchant, consumer and payment network customers. Our payment solutions are primarily focused on specific commercial spend or geographically-defined categories, including Vehicle Payments, Corporate Payments, Lodging Payments and Other. The Company provides solutions that help businesses of all sizes control, simplify and secure payment of various domestic and cross-border payables using specialized payment products. The Company also provides other payment solutions for fleet maintenance, employee benefits and long haul transportation-related services.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generally reported net of the cost for underlying products and services purchased through our payment solutions. In this report, we refer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net revenue as "revenue". Revenues from contracts with customers, within the scope of ASC 606, "Revenue Recognition", represent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and 87% of total consolidated revenues, net, for the three months ended March 31, 2024 and 2023, respectively. In its cross-border payments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enters into foreign currency forwards, option derivative contracts and swaps for its customers to facilitate future payments in foreign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currencies. These contracts are accounted for in accordance with ASC 815, "Derivatives and Hedging" and represent approximately 7% of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revenues for the three months ended March 31, 2024 and 2023. Additionally, the Company accounts for revenue from late fees and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in jurisdictions where permitted under local regulations, primarily in the U.S., Canada and Brazil, in accordance with ASC 310,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fees are recognized net of a provision for estimated uncollectible amounts, at the time the fees and finance charges are assessed and services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and represent approximately 4% and 5% of total consolidated revenues, net for the three months ended March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The Company's remaining revenue represents float revenue earned on invested customer funds in jurisdictions where permitted. Such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approximately 3% and 1% of consolidated revenues, net for the three months ended March 31, 2024 and 2023,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net by segment for the three months ended March 31, 2024 and 2023 was as follows (in millions, except percentages):</w:t>
      </w:r>
    </w:p>
    <w:p>
      <w:pPr>
        <w:spacing w:after="0" w:line="266"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 by Segment*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6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Payments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Payments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2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Payments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8"/>
        </w:trPr>
        <w:tc>
          <w:tcPr>
            <w:tcW w:w="26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Revenue by geography for the three months ended March 31, 2024 and 2023 was as follows (in millions, except percentages):</w:t>
      </w:r>
    </w:p>
    <w:p>
      <w:pPr>
        <w:spacing w:after="0" w:line="144"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net by Geography*</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6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8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2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2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Deferred revenue contract liabilities for customers subject to ASC 606 were $42.4 million and $45.7 million as of March 31, 2024 and December 31, 2023, respectively. We expect to recognize approximately $29.4 million of these amounts in revenues within 12 months and the remaining $13.0 million over the next five years as of March 31, 2024. Revenue recognized in the three months ended March 31, 2024 that was included in the deferred revenue contract liability as of December 31, 2023 was approximately $15.7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Spot Trade Offsetting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spot trades to facilitate cross-currency corporate payments in its cross-border payments business. The Company applies offsetting to spot trade assets and liabilities associated with contracts that include master netting agreements with the same counterparty, as a right of setoff exists, which the Company believes to be enforceable. As such, the Company has netted spot trade liabilities against spot trade receivables at the counter-party level. The Company recognizes all spot trade assets, net in accounts receivable and all spot trade liabilities, net in accounts payable, each net at the customer level, in its Consolidated Balance Sheets at their fair value. The following table presents the Company’s spot trade assets and liabilities at their fair value at March 31, 2024 and December 31, 2023 (in millions):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5"/>
                <w:szCs w:val="15"/>
                <w:color w:val="auto"/>
              </w:rPr>
            </w:pPr>
          </w:p>
        </w:tc>
        <w:tc>
          <w:tcPr>
            <w:tcW w:w="138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rPr>
              <w:t>Offset on the</w:t>
            </w:r>
          </w:p>
        </w:tc>
        <w:tc>
          <w:tcPr>
            <w:tcW w:w="280" w:type="dxa"/>
            <w:vAlign w:val="bottom"/>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5"/>
                <w:szCs w:val="15"/>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8"/>
              </w:rPr>
              <w:t>Offset on the</w:t>
            </w:r>
          </w:p>
        </w:tc>
        <w:tc>
          <w:tcPr>
            <w:tcW w:w="280" w:type="dxa"/>
            <w:vAlign w:val="bottom"/>
          </w:tcPr>
          <w:p>
            <w:pPr>
              <w:spacing w:after="0"/>
              <w:rPr>
                <w:sz w:val="15"/>
                <w:szCs w:val="15"/>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1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disclosures for the prior period have been reclassified to conform with current segment presentation.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The amendments are intended to increase reportable segment disclosure requirements primarily through enhanced disclosures about significant segment expenses. The ASU is effective on a retrospective basis for fiscal years beginning after December 15, 2023, and interim periods within fiscal years beginning after December 15, 2024, with early adoption permitted. Upon transition, the segment expense categories and amounts disclosed in the prior periods should be based on the significant segment expense categories identified and disclosed in the period of adoption. We are currently evaluating the impact of this guidance on the disclosures within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adoption permitted. ASU 2023-09 should be applied on a prospective basis, but retrospective application is permitted. We are currently evaluating the impact that this guidance will have on the disclosures within our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and securitized accounts receivable include the following at March 31, 2024 and December 31, 2023 (in thousands):</w:t>
      </w:r>
    </w:p>
    <w:p>
      <w:pPr>
        <w:spacing w:after="0" w:line="154" w:lineRule="exact"/>
        <w:rPr>
          <w:sz w:val="20"/>
          <w:szCs w:val="20"/>
          <w:color w:val="auto"/>
        </w:rPr>
      </w:pPr>
    </w:p>
    <w:tbl>
      <w:tblPr>
        <w:tblLayout w:type="fixed"/>
        <w:tblInd w:w="10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domestic accounts receivable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921,206</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domestic securitized accounts receivable</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1,307,000</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foreign receivables</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1,420,543</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receivables</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3,981,890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3,648,749</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(180,163)</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accounts and securitized accounts receivables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3,797,003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3,468,586</w:t>
            </w:r>
          </w:p>
        </w:tc>
      </w:tr>
      <w:tr>
        <w:trPr>
          <w:trHeight w:val="21"/>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maintains a $1.7 billion revolving trade accounts receivable securitization facility (as amended from time to time, the "Securitization Facility"). Accounts receivable collateralized within our Securitization Facility primarily relate to trade receivables resulting primarily from charge card activity and other customer receivables in the U.S. Pursuant to the terms of the Securitization Facility, the Company transfers in the form of a legal sale certain of its domestic receivables, on a revolving basis, to FLEETCOR Funding LLC ("Funding"), a wholly-owned bankruptcy remote consolidated subsidiary. In turn, Funding transfers in the form of a legal sale, without recourse, on a revolving basis, an undivided ownership interest in this pool of accounts receivable to unrelated transferees (i.e., multi-seller banks and asset-backed commercial paper conduits). Funding retains a residual, subordinated interest in cash flow distribution from the transferred receivables and provides to the transferees an incremental pledge of unsold receivables as a form of over-collateralization to enhance the credit of the transferred receivables. Purchases by the banks and conduits are generally financed with the sale of highly-rated commercial paper.</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utilizes proceeds from the securitized assets as an alternative to other forms of financing to reduce its overall borrowing costs. The Company has agreed to continue servicing the sold receivables for the financial institution at market rates, which approximates the Company’s cost of servicing. Funding determines the level of funding achieved by the sale of trade accounts receivable, subject to a maximum amount. As the Company maintains certain continuing involvement in the transferred/sold receivables, it does not derecognize the receivables from its Consolidated Balance Sheets. Instead, the Company records cash proceeds and any residual interest received as a Securitization Facility liability.</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 The maturity date for the Company's Securitization Facility is August 18, 2025.</w:t>
      </w:r>
    </w:p>
    <w:p>
      <w:pPr>
        <w:spacing w:after="0" w:line="7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roll forward of the Company’s allowance for credit losses related to accounts receivable for the three months ended March 31, 2024 and 2023 is as follows (in thousands):</w:t>
      </w:r>
    </w:p>
    <w:p>
      <w:pPr>
        <w:spacing w:after="0" w:line="97" w:lineRule="exact"/>
        <w:rPr>
          <w:sz w:val="20"/>
          <w:szCs w:val="20"/>
          <w:color w:val="auto"/>
        </w:rPr>
      </w:pPr>
    </w:p>
    <w:tbl>
      <w:tblPr>
        <w:tblLayout w:type="fixed"/>
        <w:tblInd w:w="1780" w:type="dxa"/>
        <w:tblCellMar>
          <w:top w:w="0" w:type="dxa"/>
          <w:left w:w="0" w:type="dxa"/>
          <w:bottom w:w="0" w:type="dxa"/>
          <w:right w:w="0" w:type="dxa"/>
        </w:tblCellMar>
      </w:tblPr>
      <w:tr>
        <w:trPr>
          <w:trHeight w:val="215"/>
        </w:trPr>
        <w:tc>
          <w:tcPr>
            <w:tcW w:w="4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149,846</w:t>
            </w: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39,270</w:t>
            </w:r>
          </w:p>
        </w:tc>
      </w:tr>
      <w:tr>
        <w:trPr>
          <w:trHeight w:val="229"/>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(34,128)</w:t>
            </w: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foreign currency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160,588</w:t>
            </w: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provision for credit losses and write-offs decreased during the three months ended March 31, 2024 versus the comparable prior period primarily due to improved customer loss rates in the Company's U.S. Vehicle Payments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three-tier value hierarchy prioritizes the inputs used in measuring fair value as follows: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660" w:right="720"/>
        <w:spacing w:after="0" w:line="282" w:lineRule="auto"/>
        <w:rPr>
          <w:sz w:val="20"/>
          <w:szCs w:val="20"/>
          <w:color w:val="auto"/>
        </w:rPr>
      </w:pPr>
      <w:r>
        <w:rPr>
          <w:rFonts w:ascii="Times New Roman" w:cs="Times New Roman" w:eastAsia="Times New Roman" w:hAnsi="Times New Roman"/>
          <w:sz w:val="18"/>
          <w:szCs w:val="18"/>
          <w:color w:val="auto"/>
        </w:rPr>
        <w:t>liabilities in markets that are not active; and model-derived valuations whose inputs are observable or whose significant value drivers are observable.</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for which there is little or no market data, which require the reporting entity to develop its own assumptions.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which are measured at fair value on a recurring basis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252,146</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1,043,710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1,043,710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205,216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205,216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256,466</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39,219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180,168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highly-liquid investments classified as cash equivalents, with original maturities of 90 days or less, included in our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in highly liquid investments, such as, overnight deposits, money markets, certificates of deposit and Treasury bills, with purchased maturities ranging from overnight to 90 days or less. The value of overnight deposits is determined based upon the quoted market prices for the treasury securities associated with the deposit. The value of money market instruments is determined based upon the financial institutions' month-end statement, as these instruments are not tradable and must be settled directly by us with the respective financial institution. Certificates of deposit and certain U.S. Treasury bills are valued at cost, plus interest accrued. Given the short-term nature of these instruments, the carrying value approximates fair value. Foreign exchange derivative contracts are carried at fair value, with changes in fair value recognized in the Consolidated Statements of Income. The fair value of the Company's derivatives is derived with reference to a valuation from a derivatives dealer operating in an active market, which approximates the fair value of these instruments. The fair value represents the net settlement if the contracts were terminated as of the reporting date. Cash collateral received for foreign exchange derivatives is recorded within customer deposits liability in our Consolidated Balance Sheets at March 31, 2024 and December 31, 2023. Cash collateral deposited for foreign exchange derivatives is recorded within restricted cash in our Consolidated Balance Sheets at March 31, 2024 and December 31, 2023.</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March 31, 2024 and December 31, 2023.</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assets that are measured at fair value on a nonrecurring basis and are evaluated with periodic testing for impairment include property, plant and equipment, investments, goodwill and other intangible assets. Estimates of the fair value of assets acquired and liabilities assumed in business combinations are generally developed using key inputs such as management’s projections of cash flows on a held-and-used basis (if applicable), discounted as appropriate, management’s projections of cash flows upon disposition and discount rates. Accordingly, these fair value measurements are in Level 3 of the fair value hierarchy.</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derivatives are over-the-counter instruments with liquid markets. The Company determines the fair values of its derivatives based on quoted market prices for similar assets or liabilities or pricing models using current market rates. Accordingly, these fair value measurements are in Level 2 of the fair value hierarchy. The amounts exchanged are calculated by reference to the notional amounts and by other terms of the derivatives, such as interest rates, foreign currency exchange rates, commodity rates or other financial indices. See Note 13 for additional information on the fair value of the Company’s derivatives.</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regularly evaluates the carrying value of its investments. The carrying amount of investments without readily determinable fair values was $68.3 million and $69.5 million at March 31, 2024 and December 31, 2023, respectively.</w:t>
      </w:r>
    </w:p>
    <w:p>
      <w:pPr>
        <w:spacing w:after="0" w:line="5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 Company’s debt obligations approximates fair value as the interest rates on the debt are variable market based interest rates that reset on a monthly basis. These are each Level 2 fair value measurements, except for cash, which is a Level 1 fair value measurement.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has approved a stock repurchase program (as updated from time to time, the "Program") authorizing the Company to repurchase its common stock from time to time until February 4, 2025. On January 25, 2024, the Board authorized an increase to the aggregate size of the Program by $1.0 billion to $8.1 billion.</w:t>
      </w:r>
    </w:p>
    <w:p>
      <w:pPr>
        <w:spacing w:after="0" w:line="6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1,096,762 shares for an aggregate purchase price of $321.3 million (including repurchases of $32.6 million that have not yet settled in cash and are included in accrued expenses in the Consolidated Balance Sheet at March 31, 2024). Since the beginning of the Program through March 31, 2024, 29,975,624 shares have been repurchased for an aggregate purchase price of $6.9 billion, leaving the Company up to $1.2 billion of remaining authorization available under the Program for future repurchases in shares of its common stock. Subsequent to March 31, 2024 and through the date of this filing, the Company repurchased an additional 1.4 million shares for an aggregate purchase price of $412.4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 recognized within general and administrative expenses in the Unaudited Consolidated Statements of Income related to stock-based compensation for the three months ended March 31, 2024 and 2023 (in thousands):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246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w:t>
            </w:r>
          </w:p>
        </w:tc>
      </w:tr>
      <w:tr>
        <w:trPr>
          <w:trHeight w:val="230"/>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17,146</w:t>
            </w:r>
          </w:p>
        </w:tc>
      </w:tr>
      <w:tr>
        <w:trPr>
          <w:trHeight w:val="248"/>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tax benefits recorded on stock-based compensation and upon the exercises of options were $15.0 million and $4.4 million for the three months ended March 31, 2024 and 2023, respectively.</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unrecognized compensation cost related to outstanding stock awards as of March 31, 2024 (cost in thousands):</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Period of Expense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center"/>
              <w:ind w:right="215"/>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Recognition Remaining</w:t>
            </w:r>
          </w:p>
        </w:tc>
        <w:tc>
          <w:tcPr>
            <w:tcW w:w="0" w:type="dxa"/>
            <w:vAlign w:val="bottom"/>
          </w:tcPr>
          <w:p>
            <w:pPr>
              <w:spacing w:after="0"/>
              <w:rPr>
                <w:sz w:val="1"/>
                <w:szCs w:val="1"/>
                <w:color w:val="auto"/>
              </w:rPr>
            </w:pPr>
          </w:p>
        </w:tc>
      </w:tr>
      <w:tr>
        <w:trPr>
          <w:trHeight w:val="214"/>
        </w:trPr>
        <w:tc>
          <w:tcPr>
            <w:tcW w:w="4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76,494</w:t>
            </w:r>
          </w:p>
        </w:tc>
        <w:tc>
          <w:tcPr>
            <w:tcW w:w="2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129,033</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The following summarizes the changes in the number of shares of stock options outstanding for the three months ended March 31, 2024 (shares and aggregate intrinsic value in thousands):</w:t>
      </w:r>
    </w:p>
    <w:tbl>
      <w:tblPr>
        <w:tblLayout w:type="fixed"/>
        <w:tblInd w:w="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Fair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of</w:t>
            </w:r>
          </w:p>
        </w:tc>
        <w:tc>
          <w:tcPr>
            <w:tcW w:w="102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4"/>
                <w:szCs w:val="14"/>
                <w:color w:val="auto"/>
              </w:rPr>
            </w:pP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Price of</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4"/>
                <w:szCs w:val="14"/>
                <w:color w:val="auto"/>
              </w:rPr>
            </w:pPr>
          </w:p>
        </w:tc>
        <w:tc>
          <w:tcPr>
            <w:tcW w:w="1020" w:type="dxa"/>
            <w:vAlign w:val="bottom"/>
          </w:tcPr>
          <w:p>
            <w:pPr>
              <w:jc w:val="center"/>
              <w:ind w:right="114"/>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4"/>
                <w:szCs w:val="14"/>
                <w:color w:val="auto"/>
              </w:rPr>
            </w:pP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at End of</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180" w:type="dxa"/>
            <w:vAlign w:val="bottom"/>
          </w:tcPr>
          <w:p>
            <w:pPr>
              <w:spacing w:after="0"/>
              <w:rPr>
                <w:sz w:val="14"/>
                <w:szCs w:val="14"/>
                <w:color w:val="auto"/>
              </w:rPr>
            </w:pPr>
          </w:p>
        </w:tc>
        <w:tc>
          <w:tcPr>
            <w:tcW w:w="1480" w:type="dxa"/>
            <w:vAlign w:val="bottom"/>
            <w:gridSpan w:val="3"/>
          </w:tcPr>
          <w:p>
            <w:pPr>
              <w:jc w:val="center"/>
              <w:ind w:right="410"/>
              <w:spacing w:after="0" w:line="162" w:lineRule="exact"/>
              <w:rPr>
                <w:sz w:val="20"/>
                <w:szCs w:val="20"/>
                <w:color w:val="auto"/>
              </w:rPr>
            </w:pPr>
            <w:r>
              <w:rPr>
                <w:rFonts w:ascii="Times New Roman" w:cs="Times New Roman" w:eastAsia="Times New Roman" w:hAnsi="Times New Roman"/>
                <w:sz w:val="16"/>
                <w:szCs w:val="16"/>
                <w:b w:val="1"/>
                <w:bCs w:val="1"/>
                <w:color w:val="auto"/>
              </w:rPr>
              <w:t>Granted</w:t>
            </w:r>
          </w:p>
        </w:tc>
        <w:tc>
          <w:tcPr>
            <w:tcW w:w="102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60" w:type="dxa"/>
            <w:vAlign w:val="bottom"/>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During the Period</w:t>
            </w: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451,039</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508,550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Expected to vest as of March 31, 2024</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234.40</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exercisable at March 31, 2024 was $468.4 million. The weighted average remaining contractual term of options exercisable at March 31, 2024 was 2.3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number of shares of restricted stock awards and restricted stock units outstanding for the three months ended March 31, 2024 (shares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gridSpan w:val="2"/>
          </w:tcPr>
          <w:p>
            <w:pPr>
              <w:jc w:val="center"/>
              <w:ind w:right="19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2"/>
          </w:tcPr>
          <w:p>
            <w:pPr>
              <w:jc w:val="center"/>
              <w:ind w:right="19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4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2"/>
          </w:tcPr>
          <w:p>
            <w:pPr>
              <w:jc w:val="center"/>
              <w:ind w:right="1940"/>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gridSpan w:val="2"/>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269.30</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216.33</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00" w:type="dxa"/>
            <w:vAlign w:val="bottom"/>
          </w:tcPr>
          <w:p>
            <w:pPr>
              <w:spacing w:after="0"/>
              <w:rPr>
                <w:sz w:val="21"/>
                <w:szCs w:val="21"/>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ind w:left="384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1700" w:type="dxa"/>
            <w:vAlign w:val="bottom"/>
            <w:vMerge w:val="continue"/>
          </w:tcPr>
          <w:p>
            <w:pPr>
              <w:spacing w:after="0"/>
              <w:rPr>
                <w:sz w:val="24"/>
                <w:szCs w:val="24"/>
                <w:color w:val="auto"/>
              </w:rPr>
            </w:pPr>
          </w:p>
        </w:tc>
        <w:tc>
          <w:tcPr>
            <w:tcW w:w="42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right="9800" w:firstLine="8"/>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2024 Acquisitions</w:t>
      </w:r>
    </w:p>
    <w:p>
      <w:pPr>
        <w:ind w:right="160"/>
        <w:spacing w:after="0" w:line="261" w:lineRule="auto"/>
        <w:rPr>
          <w:sz w:val="20"/>
          <w:szCs w:val="20"/>
          <w:color w:val="auto"/>
        </w:rPr>
      </w:pPr>
      <w:r>
        <w:rPr>
          <w:rFonts w:ascii="Times New Roman" w:cs="Times New Roman" w:eastAsia="Times New Roman" w:hAnsi="Times New Roman"/>
          <w:sz w:val="18"/>
          <w:szCs w:val="18"/>
          <w:color w:val="auto"/>
        </w:rPr>
        <w:t>In March 2024, the Company acquired 70% of Zapay, a Brazil-based digital consumer mobility solution for paying vehicle-related taxes and compliance fees, for approximately $56.3 million, net of cash. As part of the agreement, the Company has the right to acquire the remainder of Zapay in four years from the acquisition date. The majority investment in Zapay further scales the Company's Vehicle Payments business in Brazil. Results from the Zapay acquisition have been included in the Company's Vehicle Payments segment from the date of the acquisition.</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Acquisition accounting is preliminary for the Zapay acquisition as the Company is still completing the valuation for intangible assets, income taxes, working capital, and contingencies. As the Zapay acquisition occurred near the end of the first quarter of 2024, the Company preliminarily allocated the excess of the purchase price of the acquisition over the estimated assets acquired and liabilities assumed to goodwill and intangibles on a provisional basis, based on historical valuation outcomes. Further, the provisional amounts assigned to such intangibles of $18.6 million were preliminarily assigned to the customer relationship intangible asset. The provisional estimated fair value of the noncontrolling interest was based on the price the Company paid for its 70% controlling interest.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acquisition accounting for the Zapay acquisition noted above (in thousands):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77,846</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r>
      <w:tr>
        <w:trPr>
          <w:trHeight w:val="229"/>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net assets acquired</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84,382</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(28,057)</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Acquisitions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January 2023, the Company acquired 100% of Global Reach, a U.K.-based cross-border payments provider, for approximately $102.9 million, net of cash. In February 2023, the Company acquired the remainder of Mina Digital Limited ("Mina"), a cloud-based electric vehicle ("EV") charging software platform. In February 2023, the Company also acquired 100% of Business Gateway AG, a European-based service, maintenance and repair technology provider. In September 2023, the Company acquired 100% of PayByPhone Technologies, Inc., the world's second largest mobile parking operator, for approximately $301.6 million, net of cash. Each of these 2023 acquisitions provide incremental geographic expansion of our products, with PayByPhone specifically intended to progress the Company's broader strategy to transform our vehicle payments business. Results from these acquisitions have been included in the Company's consolidated results from the respective date of each acquisition.</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aggregate purchase price of these acquisitions was approximately $436.7 million (inclusive of the $8.5 million previously-held equity method investment in Mina), net of cash of $117 million. The Company financed the acquisitions using a combination of available cash and borrowings under its existing credit facility. Any noncompete agreements signed in conjunction with these acquisitions were accounted for separately from the business acquisition.</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Acquisition accounting is preliminary for PayByPhone as the Company is still completing the valuation for intangible assets, income taxes, working capital, and contingencies. Acquisition accounting for the other 2023 acquisitions was finalized during the first quarter of 2024 as the measurement period closed. There were no material measurement period adjustments recorded during the three months ended March 31, 2024.</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46"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acquisition accounting, in aggregate, for the business acquisitions noted above (in thousands):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46,425</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383,851</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158,689</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(24,842)</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(129,561)</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(18,923)</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434,945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intangible assets acquired and the related estimated useful lives consisted of the following (in thousands):</w:t>
      </w:r>
    </w:p>
    <w:p>
      <w:pPr>
        <w:spacing w:after="0" w:line="140" w:lineRule="exact"/>
        <w:rPr>
          <w:sz w:val="20"/>
          <w:szCs w:val="20"/>
          <w:color w:val="auto"/>
        </w:rPr>
      </w:pPr>
    </w:p>
    <w:tbl>
      <w:tblPr>
        <w:tblLayout w:type="fixed"/>
        <w:tblInd w:w="1580" w:type="dxa"/>
        <w:tblCellMar>
          <w:top w:w="0" w:type="dxa"/>
          <w:left w:w="0" w:type="dxa"/>
          <w:bottom w:w="0" w:type="dxa"/>
          <w:right w:w="0" w:type="dxa"/>
        </w:tblCellMar>
      </w:tblPr>
      <w:tr>
        <w:trPr>
          <w:trHeight w:val="238"/>
        </w:trPr>
        <w:tc>
          <w:tcPr>
            <w:tcW w:w="310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1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2 to Indefinite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1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5 to 7</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1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6 to 20</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134,345</w:t>
            </w:r>
          </w:p>
        </w:tc>
      </w:tr>
      <w:tr>
        <w:trPr>
          <w:trHeight w:val="223"/>
        </w:trPr>
        <w:tc>
          <w:tcPr>
            <w:tcW w:w="3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158,689</w:t>
            </w:r>
          </w:p>
        </w:tc>
      </w:tr>
      <w:tr>
        <w:trPr>
          <w:trHeight w:val="21"/>
        </w:trPr>
        <w:tc>
          <w:tcPr>
            <w:tcW w:w="3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Results from the Global Reach Group are included in the Company's Corporate Payments segment and the results for Mina Digital Limited, Business Gateway AG and PayByPhone are included in the Company's Vehicle Payments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the Company’s goodwill is as follows (in thousands):</w:t>
      </w:r>
    </w:p>
    <w:p>
      <w:pPr>
        <w:spacing w:after="0" w:line="140"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220" w:type="dxa"/>
            <w:vAlign w:val="bottom"/>
          </w:tcPr>
          <w:p>
            <w:pPr>
              <w:spacing w:after="0"/>
              <w:rPr>
                <w:sz w:val="16"/>
                <w:szCs w:val="16"/>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Acquisitions</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Accounting</w:t>
            </w: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5,644,958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5,673,732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40" w:firstLine="8"/>
        <w:spacing w:after="0" w:line="229" w:lineRule="auto"/>
        <w:tabs>
          <w:tab w:leader="none" w:pos="8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recognition of goodwill assigned to the Vehicle Payments segment related to the Zapay acquisition completed by the Company during the three months ended March 31,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other intangibles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Avg</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w:t>
            </w: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Lives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4"/>
        </w:trPr>
        <w:tc>
          <w:tcPr>
            <w:tcW w:w="2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66"/>
        </w:trPr>
        <w:tc>
          <w:tcPr>
            <w:tcW w:w="218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Customer and vendor</w:t>
            </w: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(1,542,504)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3,044,522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1,533,349</w:t>
            </w:r>
          </w:p>
        </w:tc>
        <w:tc>
          <w:tcPr>
            <w:tcW w:w="0" w:type="dxa"/>
            <w:vAlign w:val="bottom"/>
          </w:tcPr>
          <w:p>
            <w:pPr>
              <w:spacing w:after="0"/>
              <w:rPr>
                <w:sz w:val="1"/>
                <w:szCs w:val="1"/>
                <w:color w:val="auto"/>
              </w:rPr>
            </w:pPr>
          </w:p>
        </w:tc>
      </w:tr>
      <w:tr>
        <w:trPr>
          <w:trHeight w:val="184"/>
        </w:trPr>
        <w:tc>
          <w:tcPr>
            <w:tcW w:w="2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trademarks—indefinite</w:t>
            </w:r>
          </w:p>
        </w:tc>
        <w:tc>
          <w:tcPr>
            <w:tcW w:w="1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436,204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436,204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440,900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440,900</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lived</w:t>
            </w:r>
          </w:p>
        </w:tc>
        <w:tc>
          <w:tcPr>
            <w:tcW w:w="1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trademarks—other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0" w:type="dxa"/>
            <w:vAlign w:val="bottom"/>
          </w:tcPr>
          <w:p>
            <w:pPr>
              <w:spacing w:after="0"/>
              <w:rPr>
                <w:sz w:val="1"/>
                <w:szCs w:val="1"/>
                <w:color w:val="auto"/>
              </w:rPr>
            </w:pPr>
          </w:p>
        </w:tc>
      </w:tr>
      <w:tr>
        <w:trPr>
          <w:trHeight w:val="230"/>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60,961</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0" w:type="dxa"/>
            <w:vAlign w:val="bottom"/>
          </w:tcPr>
          <w:p>
            <w:pPr>
              <w:spacing w:after="0"/>
              <w:rPr>
                <w:sz w:val="1"/>
                <w:szCs w:val="1"/>
                <w:color w:val="auto"/>
              </w:rPr>
            </w:pPr>
          </w:p>
        </w:tc>
      </w:tr>
      <w:tr>
        <w:trPr>
          <w:trHeight w:val="22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3,906,846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(1,873,740)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3,921,823</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-2540</wp:posOffset>
            </wp:positionV>
            <wp:extent cx="5048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-107315</wp:posOffset>
            </wp:positionV>
            <wp:extent cx="50488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19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Changes in foreign exchange rates resulted in $15.4 million decrease to the net carrying values of other intangibles in the three months ended March 31, 2024. Amortization expense related to intangible assets for the three months ended March 31, 2024 and 2023 was $55.8 million and $57.7 million, respectively.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$7.0 billion Credit Agreement (the "Credit Agreement"), with Bank of America, N.A., as administrative agent, swing line lender and letter of credit issuer, and a syndicate of financial institutions (the "Lenders"), which has been amended multiple times. The Credit Agreement includes a term loan A, a term loan B, and a revolving credit facility. As noted in footnote 2, the Company is also party to the Securitization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Company’s debt instruments under the Credit Agreement and the Securitization Facility are as follows (in thousands):</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note payable, net of discounts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3,185,375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2,882,595</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 note payable, net of discounts</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1,840,244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facilities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credit agreements, and other obligations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5,415,905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 Facility</w:t>
            </w: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6,722,905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1,901,433</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2,126,749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4,862,621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4,596,156</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6,764,054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6,722,905</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and non-financial covenants under the Credit Agreement and Securitization Facility at March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Company’s total debt at March 31, 2024 were as follows (in thousands):</w:t>
      </w:r>
    </w:p>
    <w:p>
      <w:pPr>
        <w:spacing w:after="0" w:line="216"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439,562</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185,250</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185,250</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2,774,312</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1,778,375</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5,362,749</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discounts and issuance costs included in debt</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(19,695)</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5,343,054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Company's effective tax rate was 24.7% and 27.1% for the three months ended March 31, 2024 and 2023, respectively. Income tax expense is based on an estimated annual effective rate, which requires the Company to make its best estimate of annual pretax accounting income or loss before consideration of tax or benefit discretely recognized in the period in which such occur. Our effective income tax rate for the three months ended March 31, 2024 differs from the U.S. federal statutory rate due primarily to the unfavorable impact of state taxes net of federal benefits, additional taxes on undistributed foreign-sourced income, and foreign withholding taxes on interest income from intercompany notes. For the three months ended March 31, 2024, the effective tax rate decreased due to discrete items of $8.5 million mainly attributable to tax benefits arising from stock option exercises and awards vesting.</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attributable to Corpay for the three months ended March 31, 2024 and 2023 is as follows (in thousands, except per share data):</w:t>
      </w:r>
    </w:p>
    <w:p>
      <w:pPr>
        <w:spacing w:after="0" w:line="115" w:lineRule="exact"/>
        <w:rPr>
          <w:sz w:val="20"/>
          <w:szCs w:val="20"/>
          <w:color w:val="auto"/>
        </w:rPr>
      </w:pPr>
    </w:p>
    <w:tbl>
      <w:tblPr>
        <w:tblLayout w:type="fixed"/>
        <w:tblInd w:w="188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11"/>
        </w:trPr>
        <w:tc>
          <w:tcPr>
            <w:tcW w:w="4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214,835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71,769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73,521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73,545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74,483</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Diluted earnings per share attributable to Corpay for the three months ended March 31, 2024 and 2023 excludes the effect of 0.3 million and 2.4 million shares, respectively, of common stock that may be issued upon the exercise of employee stock options because such effect would be anti-dilutive. Diluted earnings per share attributable to Corpay also excludes the effect of an immaterial amount of performance-based restricted stock for which the performance criteria have not yet been achieved for the three month periods ended March 31,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reports information about its operating segments in accordance with the authoritative guidance related to segments. We manage and report our operating results through three reportable segments: Vehicle Payments, Corporate Payments and Lodging Payments. Our Gift and Payroll Card operating segments included within Other. These segments align with how the Chief Operating Decision Maker (CODM) allocates resources, assesses performance and reviews financial information.</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6"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Company’s segment results are as follows for the three month periods ended March 31, 2024 and 2023 (in thousands):</w:t>
      </w:r>
    </w:p>
    <w:p>
      <w:pPr>
        <w:spacing w:after="0" w:line="16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1740" w:type="dxa"/>
        <w:tblCellMar>
          <w:top w:w="0" w:type="dxa"/>
          <w:left w:w="0" w:type="dxa"/>
          <w:bottom w:w="0" w:type="dxa"/>
          <w:right w:w="0" w:type="dxa"/>
        </w:tblCellMar>
      </w:tblPr>
      <w:tr>
        <w:trPr>
          <w:trHeight w:val="202"/>
        </w:trPr>
        <w:tc>
          <w:tcPr>
            <w:tcW w:w="396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1</w:t>
            </w:r>
          </w:p>
        </w:tc>
        <w:tc>
          <w:tcPr>
            <w:tcW w:w="7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11"/>
              <w:spacing w:after="0" w:line="202"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2</w:t>
            </w: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Vehicle Payments</w:t>
            </w:r>
          </w:p>
        </w:tc>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494,061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495,490</w:t>
            </w:r>
          </w:p>
        </w:tc>
      </w:tr>
      <w:tr>
        <w:trPr>
          <w:trHeight w:val="229"/>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Payments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226,172</w:t>
            </w:r>
          </w:p>
        </w:tc>
      </w:tr>
      <w:tr>
        <w:trPr>
          <w:trHeight w:val="230"/>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Lodging Payments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122,334</w:t>
            </w:r>
          </w:p>
        </w:tc>
      </w:tr>
      <w:tr>
        <w:trPr>
          <w:trHeight w:val="229"/>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57,337</w:t>
            </w:r>
          </w:p>
        </w:tc>
      </w:tr>
      <w:tr>
        <w:trPr>
          <w:trHeight w:val="223"/>
        </w:trPr>
        <w:tc>
          <w:tcPr>
            <w:tcW w:w="396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935,251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901,333</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3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Vehicle Payments</w:t>
            </w:r>
          </w:p>
        </w:tc>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225,695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223,480</w:t>
            </w:r>
          </w:p>
        </w:tc>
      </w:tr>
      <w:tr>
        <w:trPr>
          <w:trHeight w:val="229"/>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Payments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80,382</w:t>
            </w:r>
          </w:p>
        </w:tc>
      </w:tr>
      <w:tr>
        <w:trPr>
          <w:trHeight w:val="230"/>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Lodging Payments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54,563</w:t>
            </w:r>
          </w:p>
        </w:tc>
      </w:tr>
      <w:tr>
        <w:trPr>
          <w:trHeight w:val="229"/>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16,770</w:t>
            </w:r>
          </w:p>
        </w:tc>
      </w:tr>
      <w:tr>
        <w:trPr>
          <w:trHeight w:val="223"/>
        </w:trPr>
        <w:tc>
          <w:tcPr>
            <w:tcW w:w="396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397,338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375,195</w:t>
            </w: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3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0"/>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Vehicle Payments</w:t>
            </w:r>
          </w:p>
        </w:tc>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50,350</w:t>
            </w:r>
          </w:p>
        </w:tc>
      </w:tr>
      <w:tr>
        <w:trPr>
          <w:trHeight w:val="229"/>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Payments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w:t>
            </w:r>
          </w:p>
        </w:tc>
      </w:tr>
      <w:tr>
        <w:trPr>
          <w:trHeight w:val="229"/>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Lodging Payments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11,398</w:t>
            </w:r>
          </w:p>
        </w:tc>
      </w:tr>
      <w:tr>
        <w:trPr>
          <w:trHeight w:val="230"/>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r>
      <w:tr>
        <w:trPr>
          <w:trHeight w:val="223"/>
        </w:trPr>
        <w:tc>
          <w:tcPr>
            <w:tcW w:w="3960" w:type="dxa"/>
            <w:vAlign w:val="bottom"/>
          </w:tcPr>
          <w:p>
            <w:pPr>
              <w:spacing w:after="0"/>
              <w:rPr>
                <w:sz w:val="19"/>
                <w:szCs w:val="19"/>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84,760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84,232</w:t>
            </w:r>
          </w:p>
        </w:tc>
      </w:tr>
      <w:tr>
        <w:trPr>
          <w:trHeight w:val="21"/>
        </w:trPr>
        <w:tc>
          <w:tcPr>
            <w:tcW w:w="3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Results from Zapay acquired in the first quarter of 2024 are reported in the Vehicle Payments segment from the date of acquisition.</w:t>
      </w:r>
    </w:p>
    <w:p>
      <w:pPr>
        <w:ind w:left="120" w:hanging="112"/>
        <w:spacing w:after="0" w:line="220" w:lineRule="auto"/>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of the Company's Russian business disposed of in August 2023 are included in the Vehicle Payments segment for all periods prior to disposition.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Lawsuits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On January 20, 2023, the previous State Derivative Action plaintiffs filed a new derivative lawsuit in the Superior Court of Gwinnett County, Georgia. The new lawsuit, </w:t>
      </w:r>
      <w:r>
        <w:rPr>
          <w:rFonts w:ascii="Times New Roman" w:cs="Times New Roman" w:eastAsia="Times New Roman" w:hAnsi="Times New Roman"/>
          <w:sz w:val="18"/>
          <w:szCs w:val="18"/>
          <w:i w:val="1"/>
          <w:iCs w:val="1"/>
          <w:color w:val="auto"/>
        </w:rPr>
        <w:t>City of Aventura Police Officers’ Retirement Fund, derivatively on behalf of FleetCor Technologies, Inc. v. Ronald F. Clarke and Eric R. Dey</w:t>
      </w:r>
      <w:r>
        <w:rPr>
          <w:rFonts w:ascii="Times New Roman" w:cs="Times New Roman" w:eastAsia="Times New Roman" w:hAnsi="Times New Roman"/>
          <w:sz w:val="18"/>
          <w:szCs w:val="18"/>
          <w:color w:val="auto"/>
        </w:rPr>
        <w:t xml:space="preserve">,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w:t>
      </w:r>
      <w:r>
        <w:rPr>
          <w:rFonts w:ascii="Times New Roman" w:cs="Times New Roman" w:eastAsia="Times New Roman" w:hAnsi="Times New Roman"/>
          <w:sz w:val="18"/>
          <w:szCs w:val="18"/>
          <w:i w:val="1"/>
          <w:iCs w:val="1"/>
          <w:color w:val="auto"/>
        </w:rPr>
        <w:t>Jerrell Whitten, derivatively on behalf of FleetCor Technologies,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Ronald F. Clarke and Eric R. Dey, against Mr. Clarke and Mr. Dey </w:t>
      </w:r>
      <w:r>
        <w:rPr>
          <w:rFonts w:ascii="Times New Roman" w:cs="Times New Roman" w:eastAsia="Times New Roman" w:hAnsi="Times New Roman"/>
          <w:sz w:val="18"/>
          <w:szCs w:val="18"/>
          <w:color w:val="auto"/>
        </w:rPr>
        <w:t>in Gwinnett County, Georgia. On May 1, 2024, both pending derivative cases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to the Fulton County Metro Atlanta Business Case Division and consolidated as </w:t>
      </w:r>
      <w:r>
        <w:rPr>
          <w:rFonts w:ascii="Times New Roman" w:cs="Times New Roman" w:eastAsia="Times New Roman" w:hAnsi="Times New Roman"/>
          <w:sz w:val="18"/>
          <w:szCs w:val="18"/>
          <w:i w:val="1"/>
          <w:iCs w:val="1"/>
          <w:color w:val="auto"/>
        </w:rPr>
        <w:t>In re Corpay, Inc. Shareholder</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6"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Derivative Litigation</w:t>
      </w:r>
      <w:r>
        <w:rPr>
          <w:rFonts w:ascii="Times New Roman" w:cs="Times New Roman" w:eastAsia="Times New Roman" w:hAnsi="Times New Roman"/>
          <w:sz w:val="18"/>
          <w:szCs w:val="18"/>
          <w:color w:val="auto"/>
        </w:rPr>
        <w:t>, CAFN 2023CV383303 (consolidated with CAFN 2023CV381421). The defendants dispute the allegations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and intend to vigorously defend against the claims.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Investigation</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December 20, 2019, the FTC filed a lawsuit in the Northern District of Georgia against the Company and Ron Clarke. See FTC v. FLEETCOR and Ronald F. Clarke, No. 19-cv-05727 (N.D. Ga.). The complaint alleges the Company and Clarke violated the FTC Act’s prohibitions on unfair and deceptive acts and practices. The complaint seeks among other things injunctive relief, consumer redress, and costs of suit. The Company continues to believe that the FTC’s claims are without merit.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FLEETCOR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Company opposed the FTC’s motion for a stay or to voluntarily dismiss, and the court denied the FTC’s motion on February 7, 2022. In the meantime, the FTC’s administrative action is stayed.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The Company intends to appeal this decision after final judgment is issued. On October 20-21, 2022, the court held a hearing on the scope of injunctive relief. At the conclusion of the hearing, the Court did not enter either the FTC’s proposed order or the Company’s proposed order, and instead suggested that the parties enter mediation. Following mediation, both parties filed proposed orders with the Court.</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administrative action will remain in place during the pendency of the Eleventh Circuit appeal. The Company has incurred and continues to incur legal and other fees related to this FTC complaint. Any settlement of this matter, or defense against the lawsuit, could involve costs to the Company, including legal fees, redress, penalties, and remediation expenses.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 and Hedging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Derivatives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uses derivatives to facilitate cross-currency corporate payments by writing derivatives to customers within its cross-border solution. The Company writes derivatives, primarily foreign currency forward contracts, option contracts, and swaps, mostly with small and medium size enterprises that are customers and derives a currency spread from this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transactions associated with the Company's cross-border solution include:</w:t>
      </w:r>
    </w:p>
    <w:p>
      <w:pPr>
        <w:spacing w:after="0" w:line="11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 contracts, </w:t>
      </w:r>
      <w:r>
        <w:rPr>
          <w:rFonts w:ascii="Times New Roman" w:cs="Times New Roman" w:eastAsia="Times New Roman" w:hAnsi="Times New Roman"/>
          <w:sz w:val="18"/>
          <w:szCs w:val="18"/>
          <w:color w:val="auto"/>
        </w:rPr>
        <w:t>which are commitments to buy or sell at a future date a currency at a contract price and will be settled in cash.</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contracts</w:t>
      </w:r>
      <w:r>
        <w:rPr>
          <w:rFonts w:ascii="Times New Roman" w:cs="Times New Roman" w:eastAsia="Times New Roman" w:hAnsi="Times New Roman"/>
          <w:sz w:val="18"/>
          <w:szCs w:val="18"/>
          <w:color w:val="auto"/>
        </w:rPr>
        <w:t>, which give the purchaser the right, but not the obligation, to buy or sell within a specified time a currency at a contracted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settled in cash.</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Swap contracts</w:t>
      </w:r>
      <w:r>
        <w:rPr>
          <w:rFonts w:ascii="Times New Roman" w:cs="Times New Roman" w:eastAsia="Times New Roman" w:hAnsi="Times New Roman"/>
          <w:sz w:val="18"/>
          <w:szCs w:val="18"/>
          <w:color w:val="auto"/>
        </w:rPr>
        <w:t>, which are commitments to settlement in cash at a future date or dates, usually on an overnight basis.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credit risk inherent in derivative agreements represents the possibility that a loss may occur from the nonperformance of a counterparty to the agreements. Concentrations of credit and performance risk may exist with counterparties, which includes customers and banking partners, as the Company is engaged in similar activities with similar economic characteristics related to fluctuations in foreign currency rates. The Company performs a review of the credit risk of these counterparties at the inception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auto"/>
        </w:rPr>
        <w:t>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if the counterparty does not perform under the term of the contract, the contract may be terminated. The Company does not designate any of its foreign exchange derivatives as hedging instruments in accordance with ASC 815, "Derivatives and Hedging".</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exchange derivative customer contracts held by the Company was $63.1 billion and $56.6 billion as of March 31, 2024 and December 31, 2023. The majority of customer foreign exchange contracts are written in currencies such as the U.S. dollar, Canadian dollar, British pound, euro and Australian dollar.</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derivatives reported in the Consolidated Balance Sheets as of March 31, 2024 and December 31, 2023 (in millions):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Derivatives - undesignated: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Foreign exchange contracts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Less: Cash collateral</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net derivative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Derivatives - undesignated:</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Foreign exchange contracts</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Less: Cash collateral</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net derivative assets and liabilities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March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20" w:type="dxa"/>
            <w:vAlign w:val="bottom"/>
            <w:tcBorders>
              <w:top w:val="single" w:sz="8" w:color="auto"/>
              <w:bottom w:val="single" w:sz="8" w:color="auto"/>
            </w:tcBorders>
            <w:gridSpan w:val="5"/>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5"/>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r>
      <w:tr>
        <w:trPr>
          <w:trHeight w:val="436"/>
        </w:trPr>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60" w:type="dxa"/>
            <w:vAlign w:val="bottom"/>
          </w:tcPr>
          <w:p>
            <w:pPr>
              <w:spacing w:after="0"/>
              <w:rPr>
                <w:sz w:val="24"/>
                <w:szCs w:val="24"/>
                <w:color w:val="auto"/>
              </w:rPr>
            </w:pPr>
          </w:p>
        </w:tc>
        <w:tc>
          <w:tcPr>
            <w:tcW w:w="920" w:type="dxa"/>
            <w:vAlign w:val="bottom"/>
            <w:gridSpan w:val="3"/>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4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40" w:type="dxa"/>
            <w:vAlign w:val="bottom"/>
          </w:tcPr>
          <w:p>
            <w:pPr>
              <w:spacing w:after="0"/>
              <w:rPr>
                <w:sz w:val="24"/>
                <w:szCs w:val="24"/>
                <w:color w:val="auto"/>
              </w:rPr>
            </w:pPr>
          </w:p>
        </w:tc>
        <w:tc>
          <w:tcPr>
            <w:tcW w:w="960" w:type="dxa"/>
            <w:vAlign w:val="bottom"/>
            <w:gridSpan w:val="3"/>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Borders>
              <w:bottom w:val="single" w:sz="8" w:color="auto"/>
            </w:tcBorders>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Borders>
              <w:bottom w:val="single" w:sz="8" w:color="auto"/>
            </w:tcBorders>
          </w:tcPr>
          <w:p>
            <w:pPr>
              <w:spacing w:after="0"/>
              <w:rPr>
                <w:sz w:val="19"/>
                <w:szCs w:val="19"/>
                <w:color w:val="auto"/>
              </w:rPr>
            </w:pPr>
          </w:p>
        </w:tc>
      </w:tr>
      <w:tr>
        <w:trPr>
          <w:trHeight w:val="21"/>
        </w:trPr>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436"/>
        </w:trPr>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60" w:type="dxa"/>
            <w:vAlign w:val="bottom"/>
          </w:tcPr>
          <w:p>
            <w:pPr>
              <w:spacing w:after="0"/>
              <w:rPr>
                <w:sz w:val="18"/>
                <w:szCs w:val="18"/>
                <w:color w:val="auto"/>
              </w:rPr>
            </w:pPr>
          </w:p>
        </w:tc>
      </w:tr>
      <w:tr>
        <w:trPr>
          <w:trHeight w:val="436"/>
        </w:trPr>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60" w:type="dxa"/>
            <w:vAlign w:val="bottom"/>
          </w:tcPr>
          <w:p>
            <w:pPr>
              <w:spacing w:after="0"/>
              <w:rPr>
                <w:sz w:val="24"/>
                <w:szCs w:val="24"/>
                <w:color w:val="auto"/>
              </w:rPr>
            </w:pPr>
          </w:p>
        </w:tc>
        <w:tc>
          <w:tcPr>
            <w:tcW w:w="920" w:type="dxa"/>
            <w:vAlign w:val="bottom"/>
            <w:gridSpan w:val="3"/>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40" w:type="dxa"/>
            <w:vAlign w:val="bottom"/>
          </w:tcPr>
          <w:p>
            <w:pPr>
              <w:spacing w:after="0"/>
              <w:rPr>
                <w:sz w:val="24"/>
                <w:szCs w:val="24"/>
                <w:color w:val="auto"/>
              </w:rPr>
            </w:pPr>
          </w:p>
        </w:tc>
        <w:tc>
          <w:tcPr>
            <w:tcW w:w="2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40" w:type="dxa"/>
            <w:vAlign w:val="bottom"/>
          </w:tcPr>
          <w:p>
            <w:pPr>
              <w:spacing w:after="0"/>
              <w:rPr>
                <w:sz w:val="24"/>
                <w:szCs w:val="24"/>
                <w:color w:val="auto"/>
              </w:rPr>
            </w:pPr>
          </w:p>
        </w:tc>
        <w:tc>
          <w:tcPr>
            <w:tcW w:w="960" w:type="dxa"/>
            <w:vAlign w:val="bottom"/>
            <w:gridSpan w:val="3"/>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60" w:type="dxa"/>
            <w:vAlign w:val="bottom"/>
          </w:tcPr>
          <w:p>
            <w:pPr>
              <w:spacing w:after="0"/>
              <w:rPr>
                <w:sz w:val="24"/>
                <w:szCs w:val="24"/>
                <w:color w:val="auto"/>
              </w:rPr>
            </w:pPr>
          </w:p>
        </w:tc>
      </w:tr>
      <w:tr>
        <w:trPr>
          <w:trHeight w:val="234"/>
        </w:trPr>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60" w:type="dxa"/>
            <w:vAlign w:val="bottom"/>
          </w:tcPr>
          <w:p>
            <w:pPr>
              <w:spacing w:after="0"/>
              <w:rPr>
                <w:sz w:val="20"/>
                <w:szCs w:val="20"/>
                <w:color w:val="auto"/>
              </w:rPr>
            </w:pPr>
          </w:p>
        </w:tc>
      </w:tr>
      <w:tr>
        <w:trPr>
          <w:trHeight w:val="223"/>
        </w:trPr>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60" w:type="dxa"/>
            <w:vAlign w:val="bottom"/>
          </w:tcPr>
          <w:p>
            <w:pPr>
              <w:spacing w:after="0"/>
              <w:rPr>
                <w:sz w:val="19"/>
                <w:szCs w:val="19"/>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-2330450</wp:posOffset>
            </wp:positionH>
            <wp:positionV relativeFrom="paragraph">
              <wp:posOffset>-1824990</wp:posOffset>
            </wp:positionV>
            <wp:extent cx="703770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145415"/>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-1534160</wp:posOffset>
            </wp:positionV>
            <wp:extent cx="703770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14605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-625475</wp:posOffset>
            </wp:positionV>
            <wp:extent cx="696912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9125" cy="14605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-334010</wp:posOffset>
            </wp:positionV>
            <wp:extent cx="6969125"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912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796" w:right="339" w:bottom="1440" w:gutter="0" w:footer="0" w:header="0"/>
          <w:type w:val="continuous"/>
        </w:sectPr>
      </w:pPr>
    </w:p>
    <w:p>
      <w:pPr>
        <w:spacing w:after="0" w:line="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fair values of derivative assets and liabilities associated with contracts, which include netting terms that the Company believes to be enforceable, have been recorded net within prepaid expenses and other current assets, other assets, other current liabilities and other noncurrent liabilities in the Consolidated Balance Sheets. The Company receives cash from customers as collateral for trade exposures, which is recorded within cash and cash equivalents, restricted cash and customer deposits liability in the Consolidated Balance Sheets. The customer has the right to recall their collateral in the event exposures move in their favor, they perform on all outstanding contracts and have no outstanding amounts due to the Company, or they cease to do business with the Company. The Company has trading lines with several banks, most of which require collateral to be posted if certain mark-to-market (MTM) thresholds are exceeded. Cash collateral posted with banks is recorded within restricted cash and can be recalled in the event that exposures move in the Company’s favor or move below the collateral posting thresholds. The Company does not offset fair value amounts recognized for the right to reclaim cash collateral or the obligation to return cash collateral. Cash flows from the Company's foreign currency derivatives are classified as operating activities within the Unaudited Consolidated Statements of Cash Flows. The following table presents the fair value of the Company’s derivative assets and liabilities, as well as their classification on the accompanying Consolidated Balance Sheets, as of March 31, 2024 and December 31, 2023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92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24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gridSpan w:val="3"/>
          </w:tcPr>
          <w:p>
            <w:pPr>
              <w:jc w:val="right"/>
              <w:ind w:right="14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40" w:type="dxa"/>
            <w:vAlign w:val="bottom"/>
          </w:tcPr>
          <w:p>
            <w:pPr>
              <w:spacing w:after="0"/>
              <w:rPr>
                <w:sz w:val="18"/>
                <w:szCs w:val="18"/>
                <w:color w:val="auto"/>
              </w:rPr>
            </w:pPr>
          </w:p>
        </w:tc>
      </w:tr>
      <w:tr>
        <w:trPr>
          <w:trHeight w:val="225"/>
        </w:trPr>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64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640" w:type="dxa"/>
            <w:vAlign w:val="bottom"/>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640" w:type="dxa"/>
            <w:vAlign w:val="bottom"/>
          </w:tcPr>
          <w:p>
            <w:pPr>
              <w:spacing w:after="0"/>
              <w:rPr>
                <w:sz w:val="19"/>
                <w:szCs w:val="19"/>
                <w:color w:val="auto"/>
              </w:rPr>
            </w:pPr>
          </w:p>
        </w:tc>
      </w:tr>
      <w:tr>
        <w:trPr>
          <w:trHeight w:val="234"/>
        </w:trPr>
        <w:tc>
          <w:tcPr>
            <w:tcW w:w="640" w:type="dxa"/>
            <w:vAlign w:val="bottom"/>
          </w:tcPr>
          <w:p>
            <w:pPr>
              <w:spacing w:after="0"/>
              <w:rPr>
                <w:sz w:val="20"/>
                <w:szCs w:val="20"/>
                <w:color w:val="auto"/>
              </w:rPr>
            </w:pP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40" w:type="dxa"/>
            <w:vAlign w:val="bottom"/>
          </w:tcPr>
          <w:p>
            <w:pPr>
              <w:spacing w:after="0"/>
              <w:rPr>
                <w:sz w:val="20"/>
                <w:szCs w:val="20"/>
                <w:color w:val="auto"/>
              </w:rPr>
            </w:pPr>
          </w:p>
        </w:tc>
      </w:tr>
      <w:tr>
        <w:trPr>
          <w:trHeight w:val="576"/>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22, 2019, the Company entered into three interest rate swap cash flow contracts (the "swap contracts"). One contract (which matured in January 2022) had a notional value of $1.0 billion, while the other two contracts (with maturity dates of January 2023 and December 2023) each had a notional value of $500 million. The objective of these swap contracts was to reduce the variability of cash flows in the previously unhedged interest payments associated with $2.0 billion of unspecified variable rate debt, the sole source of which is due to changes in the LIBOR benchmark interest rate. At inception, the Company designated these contracts as hedging instruments in accordance with ASC 815, "Derivatives and Hedging."</w:t>
      </w:r>
    </w:p>
    <w:p>
      <w:pPr>
        <w:spacing w:after="0" w:line="11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During January 2023, the Company entered into five receive-variable Secured Overnight Financing Rate ("SOFR"), pay-fixed interest rate swap derivative contracts with a cumulative notional U.S. dollar value of $1.5 billion as shown disaggregated in the table below.</w:t>
      </w:r>
    </w:p>
    <w:p>
      <w:pPr>
        <w:spacing w:after="0" w:line="12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On May 4, 2023, the Company amended the remaining LIBOR-based interest rate swap with a notional amount of $500 million from one-month term LIBOR of 2.55% to one-month term SOFR of 2.50%, without further changes to the terms of the swap. The Company applied certain expedients provided in ASU No. 2020-04, Reference Rate Reform (Topic 848), related to changes in critical terms of the hedging relationships due to reference rate reform, which allowed the change in critical terms without dedesignation of the hedging relationship.</w:t>
      </w:r>
    </w:p>
    <w:p>
      <w:pPr>
        <w:spacing w:after="0" w:line="7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In August 2023, the Company entered into eight additional receive-variable SOFR, pay-fixed interest rate swap derivative contracts with a cumulative notional U.S. dollar value of $2.0 billion as shown disaggregated in the table below. Further, in December 2023, the Company entered into five additional receive-variable SOFR, pay-fixed interest rate swap derivative contracts with a total notional U.S. dollar value of $500 million as shown disaggregated in the table below.</w:t>
      </w:r>
    </w:p>
    <w:p>
      <w:pPr>
        <w:spacing w:after="0" w:line="127"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As of March 31, 2024, the Company had the following outstanding interest rate swap derivatives that qualify as hedging instruments within designated cash flow hedges of variable interest rate risk (in millions):</w:t>
      </w:r>
    </w:p>
    <w:p>
      <w:pPr>
        <w:spacing w:after="0" w:line="165" w:lineRule="exact"/>
        <w:rPr>
          <w:sz w:val="20"/>
          <w:szCs w:val="20"/>
          <w:color w:val="auto"/>
        </w:rPr>
      </w:pPr>
    </w:p>
    <w:tbl>
      <w:tblPr>
        <w:tblLayout w:type="fixed"/>
        <w:tblInd w:w="2700" w:type="dxa"/>
        <w:tblCellMar>
          <w:top w:w="0" w:type="dxa"/>
          <w:left w:w="0" w:type="dxa"/>
          <w:bottom w:w="0" w:type="dxa"/>
          <w:right w:w="0" w:type="dxa"/>
        </w:tblCellMar>
      </w:tblPr>
      <w:tr>
        <w:trPr>
          <w:trHeight w:val="215"/>
        </w:trPr>
        <w:tc>
          <w:tcPr>
            <w:tcW w:w="24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r>
      <w:tr>
        <w:trPr>
          <w:trHeight w:val="226"/>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7/31/2025</w:t>
            </w: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7/31/2025</w:t>
            </w: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1/31/2026</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3.71%</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7/31/2027</w:t>
            </w: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7/31/2027</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3.87%</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1/31/2028</w:t>
            </w:r>
          </w:p>
        </w:tc>
      </w:tr>
      <w:tr>
        <w:trPr>
          <w:trHeight w:val="234"/>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3.99%</w:t>
            </w:r>
          </w:p>
        </w:tc>
        <w:tc>
          <w:tcPr>
            <w:tcW w:w="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1/31/2028</w:t>
            </w:r>
          </w:p>
        </w:tc>
      </w:tr>
    </w:tbl>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the Company's unspecified variable rate debt, the sole source of which is due to changes in the SOFR benchmark interest rate. The Company has designated these derivative instruments as cash flow hedging instruments, which are expected to be highly effective at offsetting changes in cash flows of the related underlying exposure. As a result, changes in fair value of the interest rate swaps are recorded in accumulated other comprehensive loss. For each of these swap contracts, the Company pays a fixed monthly rate and receives one month SOFR. The Company reclassified $12.7 million and $5.1 million from accumulated other comprehensive loss resulting in a benefit to interest expense, net for the three months ended March 31, 2024 and 2023, respectively, related to these interest rate swap contracts. Cash flows related to the Company's interest rate swap derivatives are classified as operating activities within the Unaudited Consolidated Statements of Cash Flows, as such cash flows relate to hedged interest payments recorded in operating activities.</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t>For derivatives accounted for as hedging instruments, the Company formally designates and documents, at inception, the financial instrument as a hedge of a specific underlying exposure, the risk management objective and the strategy for undertaking the hedge transaction. The Company formally assesses, both at the inception and at least quarterly thereafter, whether the financial instruments used in hedging transactions are highly effective at offsetting changes in cash flows of the related underlying exposures.</w:t>
      </w:r>
    </w:p>
    <w:p>
      <w:pPr>
        <w:spacing w:after="0" w:line="7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interest rate swap contracts, as well as their classification on the accompanying Consolidated Balance Sheets, as of March 31, 2024 and December 31, 2023 (in millions). See Note 3 for additional information on the fair value of the Company’s swap contracts.</w:t>
      </w:r>
    </w:p>
    <w:p>
      <w:pPr>
        <w:spacing w:after="0" w:line="111"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2640" w:type="dxa"/>
            <w:vAlign w:val="bottom"/>
          </w:tcPr>
          <w:p>
            <w:pPr>
              <w:spacing w:after="0"/>
              <w:rPr>
                <w:sz w:val="18"/>
                <w:szCs w:val="18"/>
                <w:color w:val="auto"/>
              </w:rPr>
            </w:pPr>
          </w:p>
        </w:tc>
        <w:tc>
          <w:tcPr>
            <w:tcW w:w="378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480" w:type="dxa"/>
            <w:vAlign w:val="bottom"/>
          </w:tcPr>
          <w:p>
            <w:pPr>
              <w:spacing w:after="0"/>
              <w:rPr>
                <w:sz w:val="18"/>
                <w:szCs w:val="18"/>
                <w:color w:val="auto"/>
              </w:rPr>
            </w:pPr>
          </w:p>
        </w:tc>
        <w:tc>
          <w:tcPr>
            <w:tcW w:w="1300" w:type="dxa"/>
            <w:vAlign w:val="bottom"/>
            <w:gridSpan w:val="2"/>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920" w:type="dxa"/>
            <w:vAlign w:val="bottom"/>
          </w:tcPr>
          <w:p>
            <w:pPr>
              <w:spacing w:after="0"/>
              <w:rPr>
                <w:sz w:val="18"/>
                <w:szCs w:val="18"/>
                <w:color w:val="auto"/>
              </w:rPr>
            </w:pPr>
          </w:p>
        </w:tc>
      </w:tr>
      <w:tr>
        <w:trPr>
          <w:trHeight w:val="157"/>
        </w:trPr>
        <w:tc>
          <w:tcPr>
            <w:tcW w:w="26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Derivatives designated as cash flow</w:t>
            </w:r>
          </w:p>
        </w:tc>
        <w:tc>
          <w:tcPr>
            <w:tcW w:w="3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3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5"/>
              </w:rPr>
              <w:t>34.3</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95"/>
              </w:rPr>
              <w:t>16.8</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bl>
    <w:p>
      <w:pPr>
        <w:spacing w:after="0" w:line="2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March 31, 2024, the estimated net amount of the existing gains expected to be reclassified into earnings within the next 12 months is approximately $34.3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February 2023, the Company entered into a cross-currency interest rate swap that was designated as a net investment hedge of our investments in euro-denominated operations. This contract effectively converted $500 million of U.S. dollar equivalent to an obligation denominated in euro, and partially offsets the impact of changes in currency rates on our euro-denominated net investments. This contract also created a positive interest differential on the U.S. dollar-denominated portion of the swap, resulting in a 1.96% interest rate savings on the USD notional. The Company terminated this net investment hedge on February 1, 2024, which resulted in net cash payments totaling $3.9 million. The loss on the net investment hedge will remain in accumulated other comprehensive loss and will only be reclassified into earnings if and when the underlying euro-denominated net investment is sold or liquidated.</w:t>
      </w:r>
    </w:p>
    <w:p>
      <w:pPr>
        <w:spacing w:after="0" w:line="7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February 2024, we entered into four new cross-currency interest rate swaps that are designated as net investment hedges of our investments in euro-denominated operations. These contracts effectively convert an aggregate $500 million of U.S. dollar equivalent to an obligation denominated in euro, and partially offset the impact of changes in currency rates on our euro-denominated net investments. These contracts also create a positive interest differential on the U.S. dollar-denominated portion of the swap, resulting in a 1.55% interest rate savings on the USD notional.</w:t>
      </w:r>
    </w:p>
    <w:p>
      <w:pPr>
        <w:spacing w:after="0" w:line="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Hedge effectiveness is tested based on changes in the fair value of the cross-currency swap due to changes in the USD/euro spot rate. The Company anticipates perfect effectiveness of the designated hedging relationship and records changes in the fair value of the cross-currency interest rate swap associated with changes in the spot rate through accumulated other comprehensive loss. Excluded components associated with the forward differential are recognized directly in earnings as interest expense, net. The Company recognized a benefit of $2.0 million and $1.5 million in interest expense, net for the three months ended March 31, 2024 and 2023, respectively, related to these excluded components. Upon settlement, cash flows attributable to derivatives designated as net investment hedges will be classified as investing activities in the Unaudited Consolidated Statements of Cash Flows.</w:t>
      </w:r>
    </w:p>
    <w:p>
      <w:pPr>
        <w:spacing w:after="0" w:line="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cross-currency interest rate swaps designated as a net investment hedge, as well as their classification on the accompanying Consolidated Balance Sheets, as of March 31, 2024 and December 31, 2023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20" w:type="dxa"/>
            <w:vAlign w:val="bottom"/>
          </w:tcPr>
          <w:p>
            <w:pPr>
              <w:spacing w:after="0"/>
              <w:rPr>
                <w:sz w:val="18"/>
                <w:szCs w:val="18"/>
                <w:color w:val="auto"/>
              </w:rPr>
            </w:pPr>
          </w:p>
        </w:tc>
        <w:tc>
          <w:tcPr>
            <w:tcW w:w="236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78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9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57"/>
        </w:trPr>
        <w:tc>
          <w:tcPr>
            <w:tcW w:w="560" w:type="dxa"/>
            <w:vAlign w:val="bottom"/>
          </w:tcPr>
          <w:p>
            <w:pPr>
              <w:spacing w:after="0"/>
              <w:rPr>
                <w:sz w:val="13"/>
                <w:szCs w:val="13"/>
                <w:color w:val="auto"/>
              </w:rPr>
            </w:pPr>
          </w:p>
        </w:tc>
        <w:tc>
          <w:tcPr>
            <w:tcW w:w="26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Cross-currency interest rate swaps</w:t>
            </w:r>
          </w:p>
        </w:tc>
        <w:tc>
          <w:tcPr>
            <w:tcW w:w="3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560" w:type="dxa"/>
            <w:vAlign w:val="bottom"/>
          </w:tcPr>
          <w:p>
            <w:pPr>
              <w:spacing w:after="0"/>
              <w:rPr>
                <w:sz w:val="13"/>
                <w:szCs w:val="13"/>
                <w:color w:val="auto"/>
              </w:rPr>
            </w:pPr>
          </w:p>
        </w:tc>
      </w:tr>
      <w:tr>
        <w:trPr>
          <w:trHeight w:val="184"/>
        </w:trPr>
        <w:tc>
          <w:tcPr>
            <w:tcW w:w="560" w:type="dxa"/>
            <w:vAlign w:val="bottom"/>
          </w:tcPr>
          <w:p>
            <w:pPr>
              <w:spacing w:after="0"/>
              <w:rPr>
                <w:sz w:val="16"/>
                <w:szCs w:val="16"/>
                <w:color w:val="auto"/>
              </w:rPr>
            </w:pPr>
          </w:p>
        </w:tc>
        <w:tc>
          <w:tcPr>
            <w:tcW w:w="2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designated as a net investment</w:t>
            </w:r>
          </w:p>
        </w:tc>
        <w:tc>
          <w:tcPr>
            <w:tcW w:w="3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560" w:type="dxa"/>
            <w:vAlign w:val="bottom"/>
          </w:tcPr>
          <w:p>
            <w:pPr>
              <w:spacing w:after="0"/>
              <w:rPr>
                <w:sz w:val="20"/>
                <w:szCs w:val="20"/>
                <w:color w:val="auto"/>
              </w:rPr>
            </w:pP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w:t>
            </w:r>
          </w:p>
        </w:tc>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229"/>
        </w:trPr>
        <w:tc>
          <w:tcPr>
            <w:tcW w:w="56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30"/>
        </w:trPr>
        <w:tc>
          <w:tcPr>
            <w:tcW w:w="560" w:type="dxa"/>
            <w:vAlign w:val="bottom"/>
          </w:tcPr>
          <w:p>
            <w:pPr>
              <w:spacing w:after="0"/>
              <w:rPr>
                <w:sz w:val="19"/>
                <w:szCs w:val="19"/>
                <w:color w:val="auto"/>
              </w:rPr>
            </w:pPr>
          </w:p>
        </w:tc>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8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560" w:type="dxa"/>
            <w:vAlign w:val="bottom"/>
          </w:tcPr>
          <w:p>
            <w:pPr>
              <w:spacing w:after="0"/>
              <w:rPr>
                <w:sz w:val="19"/>
                <w:szCs w:val="19"/>
                <w:color w:val="auto"/>
              </w:rPr>
            </w:pPr>
          </w:p>
        </w:tc>
      </w:tr>
      <w:tr>
        <w:trPr>
          <w:trHeight w:val="234"/>
        </w:trPr>
        <w:tc>
          <w:tcPr>
            <w:tcW w:w="56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80" w:type="dxa"/>
            <w:vAlign w:val="bottom"/>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684"/>
        </w:trPr>
        <w:tc>
          <w:tcPr>
            <w:tcW w:w="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 (AOCL)</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changes in the components of AOCL, net of tax and noncontrolling interest, for the three months ended March 31, 2024 and 2023 are as follows (in thousands):</w:t>
      </w:r>
    </w:p>
    <w:p>
      <w:pPr>
        <w:spacing w:after="0" w:line="9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00" w:type="dxa"/>
            <w:vAlign w:val="bottom"/>
          </w:tcPr>
          <w:p>
            <w:pPr>
              <w:spacing w:after="0"/>
              <w:rPr>
                <w:sz w:val="11"/>
                <w:szCs w:val="11"/>
                <w:color w:val="auto"/>
              </w:rPr>
            </w:pPr>
          </w:p>
        </w:tc>
        <w:tc>
          <w:tcPr>
            <w:tcW w:w="16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1"/>
                <w:szCs w:val="11"/>
                <w:color w:val="auto"/>
              </w:rPr>
            </w:pPr>
          </w:p>
        </w:tc>
        <w:tc>
          <w:tcPr>
            <w:tcW w:w="1760" w:type="dxa"/>
            <w:vAlign w:val="bottom"/>
          </w:tcPr>
          <w:p>
            <w:pPr>
              <w:jc w:val="center"/>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40" w:type="dxa"/>
            <w:vAlign w:val="bottom"/>
          </w:tcPr>
          <w:p>
            <w:pPr>
              <w:spacing w:after="0"/>
              <w:rPr>
                <w:sz w:val="12"/>
                <w:szCs w:val="12"/>
                <w:color w:val="auto"/>
              </w:rPr>
            </w:pPr>
          </w:p>
        </w:tc>
        <w:tc>
          <w:tcPr>
            <w:tcW w:w="1760" w:type="dxa"/>
            <w:vAlign w:val="bottom"/>
          </w:tcPr>
          <w:p>
            <w:pPr>
              <w:jc w:val="center"/>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0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7"/>
                <w:szCs w:val="17"/>
                <w:color w:val="auto"/>
              </w:rPr>
            </w:pPr>
          </w:p>
        </w:tc>
        <w:tc>
          <w:tcPr>
            <w:tcW w:w="1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(1,258,282)</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rPr>
              <w:t>(30,817)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(1,289,099)</w:t>
            </w:r>
          </w:p>
        </w:tc>
        <w:tc>
          <w:tcPr>
            <w:tcW w:w="0" w:type="dxa"/>
            <w:vAlign w:val="bottom"/>
          </w:tcPr>
          <w:p>
            <w:pPr>
              <w:spacing w:after="0"/>
              <w:rPr>
                <w:sz w:val="1"/>
                <w:szCs w:val="1"/>
                <w:color w:val="auto"/>
              </w:rPr>
            </w:pPr>
          </w:p>
        </w:tc>
      </w:tr>
      <w:tr>
        <w:trPr>
          <w:trHeight w:val="175"/>
        </w:trPr>
        <w:tc>
          <w:tcPr>
            <w:tcW w:w="4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center"/>
              <w:ind w:left="736"/>
              <w:spacing w:after="0"/>
              <w:rPr>
                <w:sz w:val="20"/>
                <w:szCs w:val="20"/>
                <w:color w:val="auto"/>
              </w:rPr>
            </w:pPr>
            <w:r>
              <w:rPr>
                <w:rFonts w:ascii="Times New Roman" w:cs="Times New Roman" w:eastAsia="Times New Roman" w:hAnsi="Times New Roman"/>
                <w:sz w:val="18"/>
                <w:szCs w:val="18"/>
                <w:color w:val="auto"/>
              </w:rPr>
              <w:t>72,951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rPr>
              <w:t>(12,688)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center"/>
              <w:ind w:left="696"/>
              <w:spacing w:after="0"/>
              <w:rPr>
                <w:sz w:val="20"/>
                <w:szCs w:val="20"/>
                <w:color w:val="auto"/>
              </w:rPr>
            </w:pPr>
            <w:r>
              <w:rPr>
                <w:rFonts w:ascii="Times New Roman" w:cs="Times New Roman" w:eastAsia="Times New Roman" w:hAnsi="Times New Roman"/>
                <w:sz w:val="18"/>
                <w:szCs w:val="18"/>
                <w:color w:val="auto"/>
              </w:rPr>
              <w:t>(16,141)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(95,870)</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center"/>
              <w:ind w:left="736"/>
              <w:spacing w:after="0"/>
              <w:rPr>
                <w:sz w:val="20"/>
                <w:szCs w:val="20"/>
                <w:color w:val="auto"/>
              </w:rPr>
            </w:pPr>
            <w:r>
              <w:rPr>
                <w:rFonts w:ascii="Times New Roman" w:cs="Times New Roman" w:eastAsia="Times New Roman" w:hAnsi="Times New Roman"/>
                <w:sz w:val="18"/>
                <w:szCs w:val="18"/>
                <w:color w:val="auto"/>
              </w:rPr>
              <w:t>44,122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(51,748)</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(1,354,152)</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736"/>
              <w:spacing w:after="0"/>
              <w:rPr>
                <w:sz w:val="20"/>
                <w:szCs w:val="20"/>
                <w:color w:val="auto"/>
              </w:rPr>
            </w:pPr>
            <w:r>
              <w:rPr>
                <w:rFonts w:ascii="Times New Roman" w:cs="Times New Roman" w:eastAsia="Times New Roman" w:hAnsi="Times New Roman"/>
                <w:sz w:val="18"/>
                <w:szCs w:val="18"/>
                <w:color w:val="auto"/>
              </w:rPr>
              <w:t>13,305</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(1,340,847)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Other comprehensive loss attributable to the Company's noncontrolling interest, which are not included in the table above, for the three months ended March 31, 2024 consisted of foreign currency translation losses of $0.2 million.</w:t>
      </w:r>
    </w:p>
    <w:p>
      <w:pPr>
        <w:spacing w:after="0" w:line="9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40" w:type="dxa"/>
            <w:vAlign w:val="bottom"/>
          </w:tcPr>
          <w:p>
            <w:pPr>
              <w:spacing w:after="0"/>
              <w:rPr>
                <w:sz w:val="11"/>
                <w:szCs w:val="11"/>
                <w:color w:val="auto"/>
              </w:rPr>
            </w:pPr>
          </w:p>
        </w:tc>
        <w:tc>
          <w:tcPr>
            <w:tcW w:w="1600" w:type="dxa"/>
            <w:vAlign w:val="bottom"/>
            <w:gridSpan w:val="2"/>
          </w:tcPr>
          <w:p>
            <w:pPr>
              <w:jc w:val="center"/>
              <w:ind w:right="320"/>
              <w:spacing w:after="0" w:line="13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1"/>
                <w:szCs w:val="11"/>
                <w:color w:val="auto"/>
              </w:rPr>
            </w:pPr>
          </w:p>
        </w:tc>
        <w:tc>
          <w:tcPr>
            <w:tcW w:w="1760" w:type="dxa"/>
            <w:vAlign w:val="bottom"/>
          </w:tcPr>
          <w:p>
            <w:pPr>
              <w:jc w:val="center"/>
              <w:ind w:right="76"/>
              <w:spacing w:after="0" w:line="132"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Gains on Derivative</w:t>
            </w:r>
          </w:p>
        </w:tc>
        <w:tc>
          <w:tcPr>
            <w:tcW w:w="140" w:type="dxa"/>
            <w:vAlign w:val="bottom"/>
          </w:tcPr>
          <w:p>
            <w:pPr>
              <w:spacing w:after="0"/>
              <w:rPr>
                <w:sz w:val="12"/>
                <w:szCs w:val="12"/>
                <w:color w:val="auto"/>
              </w:rPr>
            </w:pPr>
          </w:p>
        </w:tc>
        <w:tc>
          <w:tcPr>
            <w:tcW w:w="1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4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7"/>
                <w:szCs w:val="17"/>
                <w:color w:val="auto"/>
              </w:rPr>
            </w:pPr>
          </w:p>
        </w:tc>
        <w:tc>
          <w:tcPr>
            <w:tcW w:w="1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9"/>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(1,518,640)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center"/>
              <w:ind w:left="796"/>
              <w:spacing w:after="0"/>
              <w:rPr>
                <w:sz w:val="20"/>
                <w:szCs w:val="20"/>
                <w:color w:val="auto"/>
              </w:rPr>
            </w:pPr>
            <w:r>
              <w:rPr>
                <w:rFonts w:ascii="Times New Roman" w:cs="Times New Roman" w:eastAsia="Times New Roman" w:hAnsi="Times New Roman"/>
                <w:sz w:val="18"/>
                <w:szCs w:val="18"/>
                <w:color w:val="auto"/>
                <w:w w:val="98"/>
              </w:rPr>
              <w:t>8,990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(1,509,650)</w:t>
            </w: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81,107</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center"/>
              <w:ind w:left="756"/>
              <w:spacing w:after="0"/>
              <w:rPr>
                <w:sz w:val="20"/>
                <w:szCs w:val="20"/>
                <w:color w:val="auto"/>
              </w:rPr>
            </w:pPr>
            <w:r>
              <w:rPr>
                <w:rFonts w:ascii="Times New Roman" w:cs="Times New Roman" w:eastAsia="Times New Roman" w:hAnsi="Times New Roman"/>
                <w:sz w:val="18"/>
                <w:szCs w:val="18"/>
                <w:color w:val="auto"/>
                <w:w w:val="98"/>
              </w:rPr>
              <w:t>(3,640)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77,467</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8"/>
              </w:rPr>
              <w:t>(5,089)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center"/>
              <w:ind w:left="796"/>
              <w:spacing w:after="0"/>
              <w:rPr>
                <w:sz w:val="20"/>
                <w:szCs w:val="20"/>
                <w:color w:val="auto"/>
              </w:rPr>
            </w:pPr>
            <w:r>
              <w:rPr>
                <w:rFonts w:ascii="Times New Roman" w:cs="Times New Roman" w:eastAsia="Times New Roman" w:hAnsi="Times New Roman"/>
                <w:sz w:val="18"/>
                <w:szCs w:val="18"/>
                <w:color w:val="auto"/>
                <w:w w:val="98"/>
              </w:rPr>
              <w:t>3,256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center"/>
              <w:ind w:left="756"/>
              <w:spacing w:after="0"/>
              <w:rPr>
                <w:sz w:val="20"/>
                <w:szCs w:val="20"/>
                <w:color w:val="auto"/>
              </w:rPr>
            </w:pPr>
            <w:r>
              <w:rPr>
                <w:rFonts w:ascii="Times New Roman" w:cs="Times New Roman" w:eastAsia="Times New Roman" w:hAnsi="Times New Roman"/>
                <w:sz w:val="18"/>
                <w:szCs w:val="18"/>
                <w:color w:val="auto"/>
                <w:w w:val="98"/>
              </w:rPr>
              <w:t>(5,473)</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75,634</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(1,437,533)</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center"/>
              <w:ind w:left="796"/>
              <w:spacing w:after="0"/>
              <w:rPr>
                <w:sz w:val="20"/>
                <w:szCs w:val="20"/>
                <w:color w:val="auto"/>
              </w:rPr>
            </w:pPr>
            <w:r>
              <w:rPr>
                <w:rFonts w:ascii="Times New Roman" w:cs="Times New Roman" w:eastAsia="Times New Roman" w:hAnsi="Times New Roman"/>
                <w:sz w:val="18"/>
                <w:szCs w:val="18"/>
                <w:color w:val="auto"/>
                <w:w w:val="98"/>
              </w:rPr>
              <w:t>3,517</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(1,434,016)</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9500" w:firstLine="8"/>
        <w:spacing w:after="0" w:line="440"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Acquisition</w:t>
      </w:r>
    </w:p>
    <w:p>
      <w:pPr>
        <w:spacing w:after="0" w:line="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May 2024, the Company signed definitive agreements to acquire 100% of Paymerang, a U.S.-based leader in accounts payables automation solutions, for approximately $475 million. The acquisition expands Corpay's presence in several vertical markets. The transaction is expected to close in the second quarter of 2024, subject to regulatory approval and customary closing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1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April 15, 2024, the Company terminated its existing net investment hedge and simultaneously entered into four new cross-currency interest rate swaps designated as net investment hedges of our investments in euro-denominated operations. These contracts effectively convert an aggregate $500 million of U.S. dollar equivalent to an obligation denominated in euro, and partially offset the impact of changes in currency rates on our euro-denominated net assets. These contracts also create a positive interest differential on the U.S. dollar-denominated portion of the swap, resulting in a 1.85% interest rate savings on the USD notional.</w:t>
      </w:r>
    </w:p>
    <w:p>
      <w:pPr>
        <w:spacing w:after="0" w:line="6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May 7, 2024, the Company entered into three new cross-currency interest rate swaps designated as net investment hedges of our investments in CAD-denominated operations. These contracts effectively convert an aggregate $500 million of U.S. dollar equivalent to an obligation denominated in CAD, and partially offset the impact of changes in currency rates on our CAD-denominated net assets. These contracts also create a positive interest differential on the U.S. dollar-denominated portion of the swap, resulting in a 0.602% interest rate savings on the USD notional.</w:t>
      </w:r>
    </w:p>
    <w:p>
      <w:pPr>
        <w:spacing w:after="0" w:line="6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Further, on May 8, 2024, the Company entered into four new cross-currency interest rate swaps designated as net investment hedges of our investments in GBP-denominated operations. These contracts effectively convert an aggregate $750 million of U.S. dollar equivalent to an obligation denominated in GBP, and partially offset the impact of changes in currency rates on our GBP-denominated net assets. These contracts also create a positive interest differential on the U.S. dollar-denominated portion of the swap, resulting in a 0.317% interest rate savings on the USD notional.</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in our Annual Report on Form 10-K for the year ended December 31, 2023 and in Part II, Item 1A "Risk Factors" of this Quarterly Report on Form 10-Q. All foreign currency amounts that have been converted into U.S. dollars in this discussion are based on the exchange rate as reported by Oanda for the applicable periods.</w:t>
      </w:r>
    </w:p>
    <w:p>
      <w:pPr>
        <w:spacing w:after="0" w:line="8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generally discusses the three months ended March 31, 2024 and 2023, with period-over-period comparisons between these periods. A detailed discussion of 2023 items and period-over-period comparisons between the three months ended March 31, 2023 and 2022 that are not included in this Quarterly Report on Form 10-Q can be found in "Management's Discussion and Analysis of Financial Condition and Results of Operations" in Part I, Item 2 of our Quarterly Report on Form 10-Q for the quarter ended March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Effective March 25, 2024, FLEETCOR Technologies, Inc. changed its corporate name to Corpay, Inc. At that time, the Company ceased trading under the ticker symbol "FLT" and began trading under our new ticker symbol, "CPAY," on the New York Stock Exchange ("NYSE") effective March 25, 2024. Corpay is a global corporate payments company that helps businesses and consumers better manage and control their expenses. Corpay's suite of modern payment solutions help customers better manage vehicle-related expenses (e.g., fueling, tolls and parking), lodging expenses (e.g., hotel bookings) and corporate payments (e.g., domestic and international vendors). This results in our customers saving time and ultimately spending less. Since its incorporation in 2000, Corpay's payment and spend management solutions have been delivered in a variety of ways depending on the needs of the customer. From physical payment cards to software that includes customizable controls and robust payment capabilities, we provide businesses with a better way to pay.</w:t>
      </w:r>
    </w:p>
    <w:p>
      <w:pPr>
        <w:spacing w:after="0" w:line="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Businesses spend an estimated $135 trillion each year in transactions with other businesses. In many instances, businesses lack the proper tools to monitor what is being purchased, and employ manual, paper-based, disparate processes and methods to both approve and make payments for their business-to-business purchases. This often results in wasted time and money due to unnecessary or unauthorized spending, fraud, receipt collection, data input and consolidation, report generation, reimbursement processing, account reconciliations, employee disciplinary actions, and more.</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Corpay’s vision is that every payment is digital, every purchase is controlled, and every related decision is informed. Digital payments are faster and more secure than paper-based methods such as checks, and provide timely and detailed data that can be utilized to effectively reduce unauthorized purchases and fraud, automate data entry and reporting, and eliminate reimbursement processes. Combining this payment data with analytical tools delivers insights, which managers can use to better run their businesses. Our wide range of modern, digitized solutions generally provides control, reporting, and automation benefits superior to many of the payment methods businesses often use such as cash, paper checks, general purpose credit cards, as well as employee pay and reclaim processes.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Geo-Political Events on Our Business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current military conflicts between Russia and Ukraine, as well as within the Middle East continue to create substantial uncertainty about the global economy in the future. Although the length, impact and outcome of the ongoing military conflicts are highly unpredictable, these conflicts could lead to significant market and other disruptions. We have recently exited the Russia market via the disposition of our Russia business, which closed in the third quarter of 2023 (see "Russia Disposition" section below), and we do not have material operations in Israel or Gaza. We cannot predict how and the extent to which these conflicts will affect our customers, operations or business partners or the demand for our products and our global business.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actively monitoring the situations and assessing the impact on our business. The extent, severity, duration and outcome of the military conflicts, sanctions and resulting market disruptions could be significant and could potentially have substantial impact on the global economy and our business for an unknown period of time. Any such disruptions may also magnify the impact of other risks described herein and in our Annual Report on Form 10-K.</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Disposition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completed the sale of our Russia business on August 15, 2023. The sale included the entirety of our operations in Russia and resulted in a complete exit from the Russia market. Our business in Russia accounted for approximately $24.5 million of our consolidated income before income taxes for the three months ended March 31, 2023. The Russia business was historically reported within our Vehicle Payments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17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Net Income Attributable to Corpay and Net Income Per Diluted Share Attributable to Corpay. </w:t>
      </w:r>
      <w:r>
        <w:rPr>
          <w:rFonts w:ascii="Times New Roman" w:cs="Times New Roman" w:eastAsia="Times New Roman" w:hAnsi="Times New Roman"/>
          <w:sz w:val="18"/>
          <w:szCs w:val="18"/>
          <w:color w:val="auto"/>
        </w:rPr>
        <w:t>Set forth below are revenues, net,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attributable to Corpay and net income per diluted share attributable to Corpay for the three months ended March 31, 2024 and 2023, (in millions, except per share amounts).</w:t>
      </w:r>
    </w:p>
    <w:p>
      <w:pPr>
        <w:spacing w:after="0" w:line="155" w:lineRule="exact"/>
        <w:rPr>
          <w:sz w:val="20"/>
          <w:szCs w:val="20"/>
          <w:color w:val="auto"/>
        </w:rPr>
      </w:pPr>
    </w:p>
    <w:tbl>
      <w:tblPr>
        <w:tblLayout w:type="fixed"/>
        <w:tblInd w:w="180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80" w:type="dxa"/>
            <w:vAlign w:val="bottom"/>
          </w:tcPr>
          <w:p>
            <w:pPr>
              <w:spacing w:after="0"/>
              <w:rPr>
                <w:sz w:val="19"/>
                <w:szCs w:val="19"/>
                <w:color w:val="auto"/>
              </w:rPr>
            </w:pPr>
          </w:p>
        </w:tc>
        <w:tc>
          <w:tcPr>
            <w:tcW w:w="98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Corpay</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Adjusted Net Income Per Diluted Share Attributable to Corpay, EBITDA and EBITDA margin. </w:t>
      </w:r>
      <w:r>
        <w:rPr>
          <w:rFonts w:ascii="Times New Roman" w:cs="Times New Roman" w:eastAsia="Times New Roman" w:hAnsi="Times New Roman"/>
          <w:sz w:val="18"/>
          <w:szCs w:val="18"/>
          <w:color w:val="auto"/>
        </w:rPr>
        <w:t>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are adjusted net income, adjusted net income per diluted share, EBITDA and EBITDA margin for the three months ended March 31, 2024 and 2023 (in millions, except per share amounts).</w:t>
      </w:r>
    </w:p>
    <w:p>
      <w:pPr>
        <w:spacing w:after="0" w:line="236"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8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283.1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per diluted share attributable to Corpay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460.1</w:t>
            </w: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margin</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Adjusted net income attributable to Corpay, adjusted net income per diluted share attributable to Corpay, EBITDA and EBITDA margin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U.S. generally accepted accounting principles, or GAAP. We use adjusted net income attributable to Corpay, adjusted net income per diluted share attributable to Corpay, EBITDA and EBITDA margin to eliminate the effect of items that we do not consider indicative of our core operating performance on a consistent basis. These non-GAAP measures are presented solely to permit investors to more fully understand how our management assesses underlying performance and are not, and should not be viewed as, a substitute for GAAP measures, and should be viewed in conjunction with our GAAP financial measures.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Corpay offers a variety of payment solutions that simplify, automate, secure, digitize and effectively control the way businesses and consumers manage and pay their expenses. We provide our payment solutions to our business, merchant, consumer and payment network customers in more than 150 countries around the world today, although we operate primarily in three geographies, with 83% of our revenues generated in the U.S., Brazil, and the U.K. Our customers may include commercial businesses (obtained through direct and indirect channels) and partners for whom we manage payment programs, as well as individual consumers.</w:t>
      </w:r>
    </w:p>
    <w:p>
      <w:pPr>
        <w:spacing w:after="0" w:line="21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manage and report our operating results through three reportable segments: Vehicle Payments, Corporate Payments, and Lodging Payments. The remaining results are included within Other, which includes our Gift and Payroll Card businesses. These segments align with how the Chief Operating Decision Maker (CODM) allocates resources, assesses performance and reviews financial information.</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revenue is generally reported net of the cost for underlying products and services purchased. In this report, we refer to this net revenue as “revenue" or "revenues, net." See “Results of Operations” for additional segment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net, by Segment. </w:t>
      </w:r>
      <w:r>
        <w:rPr>
          <w:rFonts w:ascii="Times New Roman" w:cs="Times New Roman" w:eastAsia="Times New Roman" w:hAnsi="Times New Roman"/>
          <w:sz w:val="18"/>
          <w:szCs w:val="18"/>
          <w:color w:val="auto"/>
        </w:rPr>
        <w:t>For the three months ended March 31, 2024 and 2023, our segments generated the following revenue (in millions).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220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7"/>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by Segment*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22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Payments</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Payments</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8"/>
        </w:trPr>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 Other includes our Gift and Payroll Card businesses.</w:t>
      </w: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in our Vehicle Payments segment through a variety of program fees, including transaction fees, card fees, network fees and charges, as well as from interchange. These fees may be charged as fixed amounts, costs plus a mark-up, based on a percentage of the transaction purchase amounts, or a combination thereof. Our programs also include other fees and charges associated with late payments and based on customer credit risk.</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our Corporate Payments segment, our payables business primarily earns revenue from the difference between the amount charged to the customer and the amount paid to the third party for a given transaction, as interchange or spread revenue. Our programs may also charge fixed fees for access to the network and ancillary services provided. In our cross-border payments business, the majority of revenue is from exchanges of currency at spot rates, which enables customers to make cross-currency payments. Our cross-border payments business also derives revenue from our risk management business, which aggregates foreign currency exposures arising from customer contracts and economically hedges the resulting net currency risks by entering into offsetting contracts with established financial institution counterparties. Revenues from risk management products and foreign exchange payment services are primarily comprised of the difference between the exchange rate we set for the customer and the rate available in the wholesale foreign exchange market.</w:t>
      </w:r>
    </w:p>
    <w:p>
      <w:pPr>
        <w:spacing w:after="0" w:line="81"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In our Lodging Payments segment, we primarily earn revenue from the difference between the amount charged to the customer and the amount paid to the hotel for a given transaction or based on commissions paid by hotels. We may also charge fees for access to the network and ancillary services provided.</w:t>
      </w:r>
    </w:p>
    <w:p>
      <w:pPr>
        <w:spacing w:after="0" w:line="3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remaining revenues represent other solutions in our Gift and Payroll card businesses. In these businesses, we primarily earn revenue from the processing of transactions. We may also charge fees for ancillary services provided.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net, by Geography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geography for the three months ended March 31, 2024 and 2023, were as follows (in millions):</w:t>
      </w:r>
    </w:p>
    <w:p>
      <w:pPr>
        <w:spacing w:after="0" w:line="223" w:lineRule="exact"/>
        <w:rPr>
          <w:sz w:val="20"/>
          <w:szCs w:val="20"/>
          <w:color w:val="auto"/>
        </w:rPr>
      </w:pPr>
    </w:p>
    <w:tbl>
      <w:tblPr>
        <w:tblLayout w:type="fixed"/>
        <w:tblInd w:w="216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4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5"/>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2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9"/>
        </w:trPr>
        <w:tc>
          <w:tcPr>
            <w:tcW w:w="22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right="2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Revenues, net by Key Performance Metric and Organic Growth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key performance metric and organic growth by segment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2024 and 2023, were as follows (in millions except revenues, net per key performance indicator)*:</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Pro Forma and Macro Adjusted</w:t>
            </w:r>
            <w:r>
              <w:rPr>
                <w:rFonts w:ascii="Times New Roman" w:cs="Times New Roman" w:eastAsia="Times New Roman" w:hAnsi="Times New Roman"/>
                <w:sz w:val="18"/>
                <w:szCs w:val="18"/>
                <w:b w:val="1"/>
                <w:bCs w:val="1"/>
                <w:color w:val="auto"/>
                <w:vertAlign w:val="superscript"/>
              </w:rPr>
              <w:t>2</w:t>
            </w: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7"/>
                <w:szCs w:val="17"/>
                <w:color w:val="auto"/>
              </w:rPr>
            </w:pPr>
          </w:p>
        </w:tc>
      </w:tr>
      <w:tr>
        <w:trPr>
          <w:trHeight w:val="182"/>
        </w:trPr>
        <w:tc>
          <w:tcPr>
            <w:tcW w:w="1700" w:type="dxa"/>
            <w:vAlign w:val="bottom"/>
            <w:tcBorders>
              <w:top w:val="single" w:sz="8" w:color="CCEEFF"/>
              <w:left w:val="single" w:sz="8" w:color="CCEEFF"/>
              <w:bottom w:val="single" w:sz="8" w:color="auto"/>
            </w:tcBorders>
            <w:gridSpan w:val="4"/>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VEHICLE PAYMENTS</w:t>
            </w:r>
          </w:p>
        </w:tc>
        <w:tc>
          <w:tcPr>
            <w:tcW w:w="11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$494.1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$495.5</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$492.1</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$475.0</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r>
      <w:tr>
        <w:trPr>
          <w:trHeight w:val="219"/>
        </w:trPr>
        <w:tc>
          <w:tcPr>
            <w:tcW w:w="282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199.7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148.1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199.7</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186.5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9"/>
                <w:szCs w:val="19"/>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$3.35</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$2.46</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$2.55</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$(0.08)</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0" w:type="dxa"/>
            <w:vAlign w:val="bottom"/>
          </w:tcPr>
          <w:p>
            <w:pPr>
              <w:spacing w:after="0"/>
              <w:rPr>
                <w:sz w:val="18"/>
                <w:szCs w:val="18"/>
                <w:color w:val="auto"/>
              </w:rPr>
            </w:pPr>
          </w:p>
        </w:tc>
      </w:tr>
      <w:tr>
        <w:trPr>
          <w:trHeight w:val="219"/>
        </w:trPr>
        <w:tc>
          <w:tcPr>
            <w:tcW w:w="40" w:type="dxa"/>
            <w:vAlign w:val="bottom"/>
            <w:tcBorders>
              <w:left w:val="single" w:sz="8" w:color="CCEEFF"/>
            </w:tcBorders>
            <w:shd w:val="clear" w:color="auto" w:fill="CCEEFF"/>
          </w:tcPr>
          <w:p>
            <w:pPr>
              <w:spacing w:after="0"/>
              <w:rPr>
                <w:sz w:val="19"/>
                <w:szCs w:val="19"/>
                <w:color w:val="auto"/>
              </w:rPr>
            </w:pPr>
          </w:p>
        </w:tc>
        <w:tc>
          <w:tcPr>
            <w:tcW w:w="2780" w:type="dxa"/>
            <w:vAlign w:val="bottom"/>
            <w:gridSpan w:val="7"/>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Tag transactions</w:t>
            </w:r>
            <w:r>
              <w:rPr>
                <w:rFonts w:ascii="Times New Roman" w:cs="Times New Roman" w:eastAsia="Times New Roman" w:hAnsi="Times New Roman"/>
                <w:sz w:val="21"/>
                <w:szCs w:val="21"/>
                <w:color w:val="000000"/>
                <w:vertAlign w:val="superscript"/>
              </w:rPr>
              <w:t>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21.3</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19.6</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278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Parking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60.9</w:t>
            </w:r>
          </w:p>
        </w:tc>
        <w:tc>
          <w:tcPr>
            <w:tcW w:w="10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60.9</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54.3</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r>
      <w:tr>
        <w:trPr>
          <w:trHeight w:val="219"/>
        </w:trPr>
        <w:tc>
          <w:tcPr>
            <w:tcW w:w="40" w:type="dxa"/>
            <w:vAlign w:val="bottom"/>
            <w:tcBorders>
              <w:left w:val="single" w:sz="8" w:color="CCEEFF"/>
            </w:tcBorders>
            <w:shd w:val="clear" w:color="auto" w:fill="CCEEFF"/>
          </w:tcPr>
          <w:p>
            <w:pPr>
              <w:spacing w:after="0"/>
              <w:rPr>
                <w:sz w:val="19"/>
                <w:szCs w:val="19"/>
                <w:color w:val="auto"/>
              </w:rPr>
            </w:pPr>
          </w:p>
        </w:tc>
        <w:tc>
          <w:tcPr>
            <w:tcW w:w="278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Fleet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107.9</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106.9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278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Other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5.7</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67%</w:t>
            </w:r>
          </w:p>
        </w:tc>
        <w:tc>
          <w:tcPr>
            <w:tcW w:w="20" w:type="dxa"/>
            <w:vAlign w:val="bottom"/>
          </w:tcPr>
          <w:p>
            <w:pPr>
              <w:spacing w:after="0"/>
              <w:rPr>
                <w:sz w:val="18"/>
                <w:szCs w:val="18"/>
                <w:color w:val="auto"/>
              </w:rPr>
            </w:pPr>
          </w:p>
        </w:tc>
      </w:tr>
      <w:tr>
        <w:trPr>
          <w:trHeight w:val="199"/>
        </w:trPr>
        <w:tc>
          <w:tcPr>
            <w:tcW w:w="1980" w:type="dxa"/>
            <w:vAlign w:val="bottom"/>
            <w:tcBorders>
              <w:left w:val="single" w:sz="8" w:color="CCEEFF"/>
              <w:bottom w:val="single" w:sz="8" w:color="auto"/>
            </w:tcBorders>
            <w:gridSpan w:val="6"/>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CORPORATE PAYMENTS</w:t>
            </w:r>
          </w:p>
        </w:tc>
        <w:tc>
          <w:tcPr>
            <w:tcW w:w="84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$265.4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$226.2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$264.3</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$226.2</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8"/>
                <w:szCs w:val="18"/>
                <w:color w:val="auto"/>
              </w:rPr>
            </w:pPr>
          </w:p>
        </w:tc>
      </w:tr>
      <w:tr>
        <w:trPr>
          <w:trHeight w:val="219"/>
        </w:trPr>
        <w:tc>
          <w:tcPr>
            <w:tcW w:w="282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Spend volume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$36,804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$36,518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$36,804</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$36,518</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 net per spend $</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0.72%</w:t>
            </w:r>
          </w:p>
        </w:tc>
        <w:tc>
          <w:tcPr>
            <w:tcW w:w="10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rPr>
              <w:t>0.62%</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8"/>
                <w:szCs w:val="18"/>
                <w:color w:val="auto"/>
              </w:rPr>
            </w:pPr>
          </w:p>
        </w:tc>
      </w:tr>
      <w:tr>
        <w:trPr>
          <w:trHeight w:val="199"/>
        </w:trPr>
        <w:tc>
          <w:tcPr>
            <w:tcW w:w="1740" w:type="dxa"/>
            <w:vAlign w:val="bottom"/>
            <w:tcBorders>
              <w:left w:val="single" w:sz="8" w:color="CCEEFF"/>
              <w:bottom w:val="single" w:sz="8" w:color="auto"/>
            </w:tcBorders>
            <w:gridSpan w:val="5"/>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LODGING PAYMENTS</w:t>
            </w:r>
          </w:p>
        </w:tc>
        <w:tc>
          <w:tcPr>
            <w:tcW w:w="108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$111.3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$122.3</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$111.2</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$122.3</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$(11.2)</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20" w:type="dxa"/>
            <w:vAlign w:val="bottom"/>
          </w:tcPr>
          <w:p>
            <w:pPr>
              <w:spacing w:after="0"/>
              <w:rPr>
                <w:sz w:val="18"/>
                <w:szCs w:val="18"/>
                <w:color w:val="auto"/>
              </w:rPr>
            </w:pPr>
          </w:p>
        </w:tc>
      </w:tr>
      <w:tr>
        <w:trPr>
          <w:trHeight w:val="219"/>
        </w:trPr>
        <w:tc>
          <w:tcPr>
            <w:tcW w:w="282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Room nights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9.4</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0" w:type="dxa"/>
            <w:vAlign w:val="bottom"/>
          </w:tcPr>
          <w:p>
            <w:pPr>
              <w:spacing w:after="0"/>
              <w:rPr>
                <w:sz w:val="19"/>
                <w:szCs w:val="19"/>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room night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$13.52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$13.07</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$0.45</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$13.51</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$13.07</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8"/>
                <w:szCs w:val="18"/>
                <w:color w:val="auto"/>
              </w:rPr>
            </w:pPr>
          </w:p>
        </w:tc>
      </w:tr>
      <w:tr>
        <w:trPr>
          <w:trHeight w:val="178"/>
        </w:trPr>
        <w:tc>
          <w:tcPr>
            <w:tcW w:w="2820" w:type="dxa"/>
            <w:vAlign w:val="bottom"/>
            <w:tcBorders>
              <w:left w:val="single" w:sz="8" w:color="CCEEFF"/>
            </w:tcBorders>
            <w:gridSpan w:val="8"/>
            <w:shd w:val="clear" w:color="auto" w:fill="CCEEFF"/>
          </w:tcPr>
          <w:p>
            <w:pPr>
              <w:ind w:left="20"/>
              <w:spacing w:after="0" w:line="179" w:lineRule="exact"/>
              <w:rPr>
                <w:sz w:val="20"/>
                <w:szCs w:val="20"/>
                <w:color w:val="auto"/>
              </w:rPr>
            </w:pPr>
            <w:r>
              <w:rPr>
                <w:rFonts w:ascii="Times New Roman" w:cs="Times New Roman" w:eastAsia="Times New Roman" w:hAnsi="Times New Roman"/>
                <w:sz w:val="15"/>
                <w:szCs w:val="15"/>
                <w:b w:val="1"/>
                <w:bCs w:val="1"/>
                <w:color w:val="auto"/>
              </w:rPr>
              <w:t>OTHER</w:t>
            </w:r>
            <w:r>
              <w:rPr>
                <w:rFonts w:ascii="Times New Roman" w:cs="Times New Roman" w:eastAsia="Times New Roman" w:hAnsi="Times New Roman"/>
                <w:sz w:val="20"/>
                <w:szCs w:val="20"/>
                <w:b w:val="1"/>
                <w:bCs w:val="1"/>
                <w:u w:val="single" w:color="auto"/>
                <w:color w:val="auto"/>
                <w:vertAlign w:val="superscript"/>
              </w:rPr>
              <w:t>1</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4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$57.3</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$64.3</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$57.3</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8"/>
                <w:szCs w:val="18"/>
                <w:color w:val="auto"/>
              </w:rPr>
            </w:pPr>
          </w:p>
        </w:tc>
      </w:tr>
      <w:tr>
        <w:trPr>
          <w:trHeight w:val="219"/>
        </w:trPr>
        <w:tc>
          <w:tcPr>
            <w:tcW w:w="282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325.7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367.3</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325.7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9"/>
                <w:szCs w:val="19"/>
                <w:color w:val="auto"/>
              </w:rPr>
            </w:pPr>
          </w:p>
        </w:tc>
      </w:tr>
      <w:tr>
        <w:trPr>
          <w:trHeight w:val="213"/>
        </w:trPr>
        <w:tc>
          <w:tcPr>
            <w:tcW w:w="28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$0.18</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$0.18</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$0.17</w:t>
            </w:r>
          </w:p>
        </w:tc>
        <w:tc>
          <w:tcPr>
            <w:tcW w:w="1060" w:type="dxa"/>
            <w:vAlign w:val="bottom"/>
            <w:tcBorders>
              <w:bottom w:val="single" w:sz="8" w:color="auto"/>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$0.18</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0" w:type="dxa"/>
            <w:vAlign w:val="bottom"/>
            <w:tcBorders>
              <w:bottom w:val="single" w:sz="8" w:color="auto"/>
            </w:tcBorders>
          </w:tcPr>
          <w:p>
            <w:pPr>
              <w:spacing w:after="0"/>
              <w:rPr>
                <w:sz w:val="18"/>
                <w:szCs w:val="18"/>
                <w:color w:val="auto"/>
              </w:rPr>
            </w:pPr>
          </w:p>
        </w:tc>
      </w:tr>
      <w:tr>
        <w:trPr>
          <w:trHeight w:val="172"/>
        </w:trPr>
        <w:tc>
          <w:tcPr>
            <w:tcW w:w="40" w:type="dxa"/>
            <w:vAlign w:val="bottom"/>
            <w:tcBorders>
              <w:left w:val="single" w:sz="8" w:color="auto"/>
            </w:tcBorders>
            <w:shd w:val="clear" w:color="auto" w:fill="CCEEFF"/>
          </w:tcPr>
          <w:p>
            <w:pPr>
              <w:spacing w:after="0"/>
              <w:rPr>
                <w:sz w:val="14"/>
                <w:szCs w:val="14"/>
                <w:color w:val="auto"/>
              </w:rPr>
            </w:pPr>
          </w:p>
        </w:tc>
        <w:tc>
          <w:tcPr>
            <w:tcW w:w="2780" w:type="dxa"/>
            <w:vAlign w:val="bottom"/>
            <w:gridSpan w:val="7"/>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CORPAY CONSOLIDATED</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3"/>
        </w:trPr>
        <w:tc>
          <w:tcPr>
            <w:tcW w:w="40" w:type="dxa"/>
            <w:vAlign w:val="bottom"/>
            <w:tcBorders>
              <w:top w:val="single" w:sz="8" w:color="CCEEFF"/>
              <w:left w:val="single" w:sz="8" w:color="auto"/>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9"/>
              </w:rPr>
              <w:t>REVENUES, NET</w:t>
            </w:r>
          </w:p>
        </w:tc>
        <w:tc>
          <w:tcPr>
            <w:tcW w:w="700" w:type="dxa"/>
            <w:vAlign w:val="bottom"/>
            <w:tcBorders>
              <w:top w:val="single" w:sz="8" w:color="auto"/>
              <w:bottom w:val="single" w:sz="8" w:color="CCEEFF"/>
            </w:tcBorders>
            <w:gridSpan w:val="4"/>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r>
      <w:tr>
        <w:trPr>
          <w:trHeight w:val="213"/>
        </w:trPr>
        <w:tc>
          <w:tcPr>
            <w:tcW w:w="4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$935.3</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$901.3</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$34.0</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$931.8</w:t>
            </w:r>
          </w:p>
        </w:tc>
        <w:tc>
          <w:tcPr>
            <w:tcW w:w="1060" w:type="dxa"/>
            <w:vAlign w:val="bottom"/>
            <w:tcBorders>
              <w:bottom w:val="single" w:sz="8" w:color="auto"/>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$880.8</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90" w:lineRule="exact"/>
        <w:rPr>
          <w:sz w:val="20"/>
          <w:szCs w:val="20"/>
          <w:color w:val="auto"/>
        </w:rPr>
      </w:pPr>
    </w:p>
    <w:p>
      <w:pPr>
        <w:ind w:left="160" w:hanging="100"/>
        <w:spacing w:after="0"/>
        <w:tabs>
          <w:tab w:leader="none" w:pos="16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Gift and Payroll Card operating segments.</w:t>
      </w:r>
    </w:p>
    <w:p>
      <w:pPr>
        <w:spacing w:after="0" w:line="7" w:lineRule="exact"/>
        <w:rPr>
          <w:sz w:val="20"/>
          <w:szCs w:val="20"/>
          <w:color w:val="auto"/>
        </w:rPr>
      </w:pPr>
    </w:p>
    <w:p>
      <w:pPr>
        <w:ind w:left="60" w:right="300"/>
        <w:spacing w:after="0" w:line="209" w:lineRule="auto"/>
        <w:tabs>
          <w:tab w:leader="none" w:pos="153"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heading entitled "Managements' Use of Non-GAAP Financial Measures" for a reconciliation of pro forma and macro adjusted revenue by product and metric non-GAAP measures to the comparable financial measure calculated in accordance with GAAP. The calculated change represents organic growth rate.</w:t>
      </w:r>
    </w:p>
    <w:p>
      <w:pPr>
        <w:spacing w:after="0" w:line="6" w:lineRule="exact"/>
        <w:rPr>
          <w:sz w:val="20"/>
          <w:szCs w:val="20"/>
          <w:color w:val="auto"/>
        </w:rPr>
      </w:pPr>
    </w:p>
    <w:p>
      <w:pPr>
        <w:ind w:left="60" w:right="3460"/>
        <w:spacing w:after="0" w:line="241" w:lineRule="auto"/>
        <w:tabs>
          <w:tab w:leader="none" w:pos="153"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total tag subscription transactions in the quarter. Average monthly tag subscriptions for 2024 is 7.1 million * Columns may not calculate due to rounding.</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Revenue per relevant key performance indicator (KPI), which may include transactions, spend volume, room nights, or other metrics,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price spreads. Relevant KPI is derived by broad product type and may differ from how we describe the business. Revenue per KPI per customer may change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Organic revenue growth is a supplemental non-GAAP financial measure of operating performance. 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See the heading entitled "Management’s Use of Non-GAAP Financial Measures" for more information and a reconciliation of the non-GAAP financial measure to the most directly comparable financial measure calculated in accordance with GAAP. We believe that organic revenue growth on a macro-neutral, one-time item, and consistent acquisition/divestiture/non-recurring item basis is useful to investors for understanding the performance of Corpay.</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4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expenses in the following categories:</w:t>
      </w:r>
    </w:p>
    <w:p>
      <w:pPr>
        <w:spacing w:after="0" w:line="115" w:lineRule="exact"/>
        <w:rPr>
          <w:sz w:val="20"/>
          <w:szCs w:val="20"/>
          <w:color w:val="auto"/>
        </w:rPr>
      </w:pPr>
    </w:p>
    <w:p>
      <w:pPr>
        <w:ind w:left="660" w:right="8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Processing</w:t>
      </w:r>
      <w:r>
        <w:rPr>
          <w:rFonts w:ascii="Times New Roman" w:cs="Times New Roman" w:eastAsia="Times New Roman" w:hAnsi="Times New Roman"/>
          <w:sz w:val="18"/>
          <w:szCs w:val="18"/>
          <w:color w:val="auto"/>
        </w:rPr>
        <w:t>—Our processing expense consists of expenses related to processing transactions, servicing our customers and merchants,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cost of goods sold related to our hardware and card sales in certain businesses.</w:t>
      </w:r>
    </w:p>
    <w:p>
      <w:pPr>
        <w:spacing w:after="0" w:line="50" w:lineRule="exact"/>
        <w:rPr>
          <w:rFonts w:ascii="Times New Roman" w:cs="Times New Roman" w:eastAsia="Times New Roman" w:hAnsi="Times New Roman"/>
          <w:sz w:val="18"/>
          <w:szCs w:val="18"/>
          <w:i w:val="1"/>
          <w:iCs w:val="1"/>
          <w:color w:val="auto"/>
        </w:rPr>
      </w:pPr>
    </w:p>
    <w:p>
      <w:pPr>
        <w:ind w:left="660" w:right="26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—Our selling expenses consist primarily of wages, benefits, sales commissions (other than merchant commissions) and related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sales, marketing and account management personnel and activities.</w:t>
      </w:r>
    </w:p>
    <w:p>
      <w:pPr>
        <w:spacing w:after="0" w:line="50"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—Our general and administrative expenses include compensation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bonuses) for our employees, finance and accounting, information technology, human resources, legal and other administrative personnel. Also included are facilities expenses, third-party professional services fees, travel and entertainment expenses, and other corporate-level expenses.</w:t>
      </w:r>
    </w:p>
    <w:p>
      <w:pPr>
        <w:spacing w:after="0" w:line="7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—Our depreciation expenses include depreciation of property and equipment, consisting of computer hardware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7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operating, net</w:t>
      </w:r>
      <w:r>
        <w:rPr>
          <w:rFonts w:ascii="Times New Roman" w:cs="Times New Roman" w:eastAsia="Times New Roman" w:hAnsi="Times New Roman"/>
          <w:sz w:val="18"/>
          <w:szCs w:val="18"/>
          <w:color w:val="auto"/>
        </w:rPr>
        <w:t>—Our other operating, net includes other operating expenses and income items that do not relate to our core operations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infrequently.</w:t>
      </w:r>
    </w:p>
    <w:p>
      <w:pPr>
        <w:spacing w:after="0" w:line="50" w:lineRule="exact"/>
        <w:rPr>
          <w:rFonts w:ascii="Times New Roman" w:cs="Times New Roman" w:eastAsia="Times New Roman" w:hAnsi="Times New Roman"/>
          <w:sz w:val="18"/>
          <w:szCs w:val="18"/>
          <w:i w:val="1"/>
          <w:iCs w:val="1"/>
          <w:color w:val="auto"/>
        </w:rPr>
      </w:pPr>
    </w:p>
    <w:p>
      <w:pPr>
        <w:ind w:left="660" w:right="20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—Our other expense, net includes gains or losses from the following: sales of assets or businesses,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extinguishment of debt, and investments. This category also includes other miscellaneous non-operating costs and revenue. Certain of these items may be presented separately on the Consolidated Statements of Income.</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—Our interest expense, net includes interest expense on our outstanding debt, interest income on cash balances and interest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 rate and cross-currency swaps.</w:t>
      </w:r>
    </w:p>
    <w:p>
      <w:pPr>
        <w:spacing w:after="0" w:line="50"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—Our provision for income taxes consists of corporate income taxes related primarily to profits resulting from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products and services on a global basis.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and trends are important in understanding our financial performance:</w:t>
      </w:r>
    </w:p>
    <w:p>
      <w:pPr>
        <w:spacing w:after="0" w:line="115" w:lineRule="exact"/>
        <w:rPr>
          <w:sz w:val="20"/>
          <w:szCs w:val="20"/>
          <w:color w:val="auto"/>
        </w:rPr>
      </w:pPr>
    </w:p>
    <w:p>
      <w:pPr>
        <w:ind w:left="660" w:right="4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economic conditions</w:t>
      </w:r>
      <w:r>
        <w:rPr>
          <w:rFonts w:ascii="Times New Roman" w:cs="Times New Roman" w:eastAsia="Times New Roman" w:hAnsi="Times New Roman"/>
          <w:sz w:val="18"/>
          <w:szCs w:val="18"/>
          <w:color w:val="auto"/>
        </w:rPr>
        <w:t>—Our results of operations are materially affected by conditions in the economy generally, in North America, Brazil,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U.K., and in other locations internationally, including the current conflict between Russia and Ukraine and other geopolitical events in the Middle East, as discussed elsewhere in this Quarterly Report on Form 10-Q. Factors affected by the economy include our transaction volumes, the credit risk of our customers and changes in tax laws across the globe. These factors affected our businesses in each of our segments.</w:t>
      </w:r>
    </w:p>
    <w:p>
      <w:pPr>
        <w:spacing w:after="0" w:line="71" w:lineRule="exact"/>
        <w:rPr>
          <w:rFonts w:ascii="Times New Roman" w:cs="Times New Roman" w:eastAsia="Times New Roman" w:hAnsi="Times New Roman"/>
          <w:sz w:val="18"/>
          <w:szCs w:val="18"/>
          <w:color w:val="auto"/>
        </w:rPr>
      </w:pPr>
    </w:p>
    <w:p>
      <w:pPr>
        <w:ind w:left="660" w:right="240" w:hanging="328"/>
        <w:spacing w:after="0" w:line="258"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Foreign currency changes</w:t>
      </w:r>
      <w:r>
        <w:rPr>
          <w:rFonts w:ascii="Times New Roman" w:cs="Times New Roman" w:eastAsia="Times New Roman" w:hAnsi="Times New Roman"/>
          <w:sz w:val="18"/>
          <w:szCs w:val="18"/>
          <w:color w:val="auto"/>
        </w:rPr>
        <w:t>—Our results of operations are significantly impacted by changes in foreign currency exchange rates; namely,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of the Australian dollar, Brazilian real, British pound, Canadian dollar, Czech koruna, euro, Mexican peso, New Zealand dollar and Russian ruble (for periods prior to the disposition of our Russian business), relative to the U.S. dollar. Approximately 54% and 57% of our revenue in the three months ended March 31, 2024 and 2023, respectively, was derived in U.S. dollars and was not affected by foreign currency exchange rates. See "Results of Operations" for information related to foreign currency impact on our total revenue, net.</w:t>
      </w:r>
    </w:p>
    <w:p>
      <w:pPr>
        <w:spacing w:after="0" w:line="77" w:lineRule="exact"/>
        <w:rPr>
          <w:rFonts w:ascii="Times New Roman" w:cs="Times New Roman" w:eastAsia="Times New Roman" w:hAnsi="Times New Roman"/>
          <w:sz w:val="18"/>
          <w:szCs w:val="18"/>
          <w:b w:val="1"/>
          <w:bCs w:val="1"/>
          <w:i w:val="1"/>
          <w:iCs w:val="1"/>
          <w:color w:val="auto"/>
        </w:rPr>
      </w:pPr>
    </w:p>
    <w:p>
      <w:pPr>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cross-border foreign risk management business aggregates foreign currency exposures arising from customer contracts and economically hedges the resulting net currency risks by entering into offsetting contracts with established financial institution counterparties. These contracts are subject to counterparty credit risk.</w:t>
      </w:r>
    </w:p>
    <w:p>
      <w:pPr>
        <w:spacing w:after="0" w:line="67" w:lineRule="exact"/>
        <w:rPr>
          <w:rFonts w:ascii="Times New Roman" w:cs="Times New Roman" w:eastAsia="Times New Roman" w:hAnsi="Times New Roman"/>
          <w:sz w:val="18"/>
          <w:szCs w:val="18"/>
          <w:b w:val="1"/>
          <w:bCs w:val="1"/>
          <w:i w:val="1"/>
          <w:iCs w:val="1"/>
          <w:color w:val="auto"/>
        </w:rPr>
      </w:pPr>
    </w:p>
    <w:p>
      <w:pPr>
        <w:ind w:left="660" w:right="1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further manage the impact of economic changes in the value of certain foreign-denominated net assets by utilizing cross currency interest rate swaps. See "Liquidity and capital resources" below for information regarding our cross currency interest rate swaps.</w:t>
      </w:r>
    </w:p>
    <w:p>
      <w:pPr>
        <w:spacing w:after="0" w:line="51" w:lineRule="exact"/>
        <w:rPr>
          <w:rFonts w:ascii="Times New Roman" w:cs="Times New Roman" w:eastAsia="Times New Roman" w:hAnsi="Times New Roman"/>
          <w:sz w:val="18"/>
          <w:szCs w:val="18"/>
          <w:b w:val="1"/>
          <w:bCs w:val="1"/>
          <w:i w:val="1"/>
          <w:iCs w:val="1"/>
          <w:color w:val="auto"/>
        </w:rPr>
      </w:pPr>
    </w:p>
    <w:p>
      <w:pPr>
        <w:ind w:left="660" w:right="60" w:hanging="328"/>
        <w:spacing w:after="0" w:line="258"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 price volatility</w:t>
      </w:r>
      <w:r>
        <w:rPr>
          <w:rFonts w:ascii="Times New Roman" w:cs="Times New Roman" w:eastAsia="Times New Roman" w:hAnsi="Times New Roman"/>
          <w:sz w:val="18"/>
          <w:szCs w:val="18"/>
          <w:color w:val="auto"/>
        </w:rPr>
        <w:t>—Our vehicle payments customers use our products and services primarily in connection with the purchase of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our revenue is 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We estimate approximately 8% and 12% of revenues, net were directly impacted by changes in fuel price in the three months ended March 31, 2024 and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2023, respectively. See "Results of Operations" for information related to the fuel price impact on our total revenues, net.</w:t>
      </w:r>
    </w:p>
    <w:p>
      <w:pPr>
        <w:spacing w:after="0" w:line="115" w:lineRule="exact"/>
        <w:rPr>
          <w:sz w:val="20"/>
          <w:szCs w:val="20"/>
          <w:color w:val="auto"/>
        </w:rPr>
      </w:pPr>
    </w:p>
    <w:p>
      <w:pPr>
        <w:ind w:left="660" w:hanging="328"/>
        <w:spacing w:after="0" w:line="254" w:lineRule="auto"/>
        <w:tabs>
          <w:tab w:leader="none" w:pos="655"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Fuel-price spread volatility</w:t>
      </w:r>
      <w:r>
        <w:rPr>
          <w:rFonts w:ascii="Times New Roman" w:cs="Times New Roman" w:eastAsia="Times New Roman" w:hAnsi="Times New Roman"/>
          <w:sz w:val="18"/>
          <w:szCs w:val="18"/>
          <w:color w:val="auto"/>
        </w:rPr>
        <w:t>—A portion of our revenue involves transactions where we derive revenue from fuel price spreads,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 price spread expansion. We estimate approximately 5% of revenues, net were directly impacted by fuel price spreads in the three months ended March 31, 2024 and 2023. See "Results of Operations" for information related to the fuel price spread impact on our total revenues, net.</w:t>
      </w:r>
    </w:p>
    <w:p>
      <w:pPr>
        <w:spacing w:after="0" w:line="77" w:lineRule="exact"/>
        <w:rPr>
          <w:rFonts w:ascii="Times New Roman" w:cs="Times New Roman" w:eastAsia="Times New Roman" w:hAnsi="Times New Roman"/>
          <w:sz w:val="18"/>
          <w:szCs w:val="18"/>
          <w:b w:val="1"/>
          <w:bCs w:val="1"/>
          <w:i w:val="1"/>
          <w:iCs w:val="1"/>
          <w:color w:val="auto"/>
        </w:rPr>
      </w:pPr>
    </w:p>
    <w:p>
      <w:pPr>
        <w:ind w:left="660" w:right="22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—Since 2002, we have completed over 95 acquisitions of companies and commercial account portfolios. Acquisitions have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85" w:lineRule="exact"/>
        <w:rPr>
          <w:rFonts w:ascii="Times New Roman" w:cs="Times New Roman" w:eastAsia="Times New Roman" w:hAnsi="Times New Roman"/>
          <w:sz w:val="18"/>
          <w:szCs w:val="18"/>
          <w:color w:val="auto"/>
        </w:rPr>
      </w:pPr>
    </w:p>
    <w:p>
      <w:pPr>
        <w:ind w:left="660" w:right="60" w:hanging="328"/>
        <w:spacing w:after="0" w:line="236" w:lineRule="auto"/>
        <w:tabs>
          <w:tab w:leader="none" w:pos="648" w:val="left"/>
        </w:tabs>
        <w:numPr>
          <w:ilvl w:val="0"/>
          <w:numId w:val="1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i w:val="1"/>
          <w:iCs w:val="1"/>
          <w:color w:val="auto"/>
        </w:rPr>
        <w:t>Interest rates</w:t>
      </w:r>
      <w:r>
        <w:rPr>
          <w:rFonts w:ascii="Times New Roman" w:cs="Times New Roman" w:eastAsia="Times New Roman" w:hAnsi="Times New Roman"/>
          <w:sz w:val="18"/>
          <w:szCs w:val="18"/>
          <w:color w:val="auto"/>
        </w:rPr>
        <w:t>—From January 1, 2022 to July 27, 2023, the U.S. Federal Open Market Committee increased the target federal funds rate eleven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for a total rate increase of 5.25%. Additional increases are possible in future periods. We are exposed to market risk changes in interest rates on our debt, particularly in rising interest rate environments, which is partially offset by incremental interest income earned on cash and restricted cash. As of March 31, 2024, we have a number of receive-variable SOFR, pay-fixed interest rate swap derivative contracts with a cumulative notional U.S. dollar value of $4.0 billion. The objective of these contracts is to reduce the variability of cash flows in the previously unhedged interest payments associated with variable rate debt, the sole source of which is due to changes in SOFR benchmark interest rate.</w:t>
      </w:r>
    </w:p>
    <w:p>
      <w:pPr>
        <w:spacing w:after="0" w:line="81" w:lineRule="exact"/>
        <w:rPr>
          <w:rFonts w:ascii="Times New Roman" w:cs="Times New Roman" w:eastAsia="Times New Roman" w:hAnsi="Times New Roman"/>
          <w:sz w:val="20"/>
          <w:szCs w:val="20"/>
          <w:b w:val="1"/>
          <w:bCs w:val="1"/>
          <w:i w:val="1"/>
          <w:iCs w:val="1"/>
          <w:color w:val="auto"/>
        </w:rPr>
      </w:pPr>
    </w:p>
    <w:p>
      <w:pPr>
        <w:ind w:left="66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color w:val="auto"/>
        </w:rPr>
        <w:t>See "Liquidity and capital resources" section below for additional information regarding our derivatives.</w:t>
      </w:r>
    </w:p>
    <w:p>
      <w:pPr>
        <w:spacing w:after="0" w:line="101" w:lineRule="exact"/>
        <w:rPr>
          <w:rFonts w:ascii="Times New Roman" w:cs="Times New Roman" w:eastAsia="Times New Roman" w:hAnsi="Times New Roman"/>
          <w:sz w:val="20"/>
          <w:szCs w:val="20"/>
          <w:b w:val="1"/>
          <w:bCs w:val="1"/>
          <w:i w:val="1"/>
          <w:iCs w:val="1"/>
          <w:color w:val="auto"/>
        </w:rPr>
      </w:pPr>
    </w:p>
    <w:p>
      <w:pPr>
        <w:ind w:left="660" w:right="48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—Over the long term, we expect that our expenses will decrease as a percentage of revenues as our revenues increase,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transaction volume processed. To support our expected revenue growth, we plan to continue to incur additional sales and marketing expense by investing in our direct marketing, third-party agents, internet marketing, telemarketing and field sales force.</w:t>
      </w:r>
    </w:p>
    <w:p>
      <w:pPr>
        <w:spacing w:after="0" w:line="65" w:lineRule="exact"/>
        <w:rPr>
          <w:rFonts w:ascii="Times New Roman" w:cs="Times New Roman" w:eastAsia="Times New Roman" w:hAnsi="Times New Roman"/>
          <w:sz w:val="18"/>
          <w:szCs w:val="18"/>
          <w:color w:val="auto"/>
        </w:rPr>
      </w:pPr>
    </w:p>
    <w:p>
      <w:pPr>
        <w:ind w:left="660" w:right="80" w:hanging="328"/>
        <w:spacing w:after="0" w:line="26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—We pay taxes in various taxing jurisdictions, including the U.S., most U.S. states and many non-U.S. jurisdictions. The tax rates in non-U.S. taxing jurisdictions are different than the U.S. tax rate. Consequently, as our earnings fluctuate between taxing jurisdictions, our effective tax rate fluctuates.</w:t>
      </w:r>
    </w:p>
    <w:p>
      <w:pPr>
        <w:spacing w:after="0" w:line="67" w:lineRule="exact"/>
        <w:rPr>
          <w:rFonts w:ascii="Times New Roman" w:cs="Times New Roman" w:eastAsia="Times New Roman" w:hAnsi="Times New Roman"/>
          <w:sz w:val="18"/>
          <w:szCs w:val="18"/>
          <w:color w:val="auto"/>
        </w:rPr>
      </w:pPr>
    </w:p>
    <w:p>
      <w:pPr>
        <w:ind w:left="66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for Economic Co-operation and Development (“OECD”), continues to put forth various initiatives, including Pillar Two rules which include the introduction of a global minimum tax at a rate of 15%. European Union member states agreed to implement the OECD’s Pillar Two rules with effective dates of January 1, 2024 and January 1, 2025, for different aspects of the directive and most have already enacted legislation. A number of other countries are also implementing similar legislation. As of March 31, 2024, based on the countries in which we do business that have enacted legislation effective January 1, 2024, the impact of these rules to our financial statements was not material. This may change as other countries enact similar legislation and further guidance is released. We continue to closely monitor regulatory developments to assess potential impacts.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Investments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w:t>
      </w:r>
    </w:p>
    <w:p>
      <w:pPr>
        <w:spacing w:after="0" w:line="119" w:lineRule="exact"/>
        <w:rPr>
          <w:sz w:val="20"/>
          <w:szCs w:val="20"/>
          <w:color w:val="auto"/>
        </w:rPr>
      </w:pPr>
    </w:p>
    <w:p>
      <w:pPr>
        <w:ind w:left="660" w:right="460" w:hanging="328"/>
        <w:spacing w:after="0" w:line="266" w:lineRule="auto"/>
        <w:tabs>
          <w:tab w:leader="none" w:pos="65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March 2024, we acquired 70% of Zapay, a Brazil-based digital mobility solution for paying vehicle-related taxes and compliance fees, for approximately $56.3 million, net of cash. As part of the agreement, we have the right to acquire the remainder of Zapay in four years. The majority investment in Zapay further scales our Vehicle Payments business in Brazil.</w:t>
      </w:r>
    </w:p>
    <w:p>
      <w:pPr>
        <w:spacing w:after="0" w:line="67" w:lineRule="exact"/>
        <w:rPr>
          <w:rFonts w:ascii="Times New Roman" w:cs="Times New Roman" w:eastAsia="Times New Roman" w:hAnsi="Times New Roman"/>
          <w:sz w:val="18"/>
          <w:szCs w:val="18"/>
          <w:b w:val="1"/>
          <w:bCs w:val="1"/>
          <w:i w:val="1"/>
          <w:iCs w:val="1"/>
          <w:color w:val="auto"/>
        </w:rPr>
      </w:pPr>
    </w:p>
    <w:p>
      <w:pPr>
        <w:ind w:left="660" w:right="100" w:hanging="328"/>
        <w:spacing w:after="0" w:line="258" w:lineRule="auto"/>
        <w:tabs>
          <w:tab w:leader="none" w:pos="653" w:val="left"/>
        </w:tabs>
        <w:numPr>
          <w:ilvl w:val="0"/>
          <w:numId w:val="16"/>
        </w:numPr>
        <w:rPr>
          <w:rFonts w:ascii="Calibri" w:cs="Calibri" w:eastAsia="Calibri" w:hAnsi="Calibri"/>
          <w:sz w:val="20"/>
          <w:szCs w:val="20"/>
          <w:color w:val="auto"/>
        </w:rPr>
      </w:pPr>
      <w:r>
        <w:rPr>
          <w:rFonts w:ascii="Times New Roman" w:cs="Times New Roman" w:eastAsia="Times New Roman" w:hAnsi="Times New Roman"/>
          <w:sz w:val="18"/>
          <w:szCs w:val="18"/>
          <w:color w:val="auto"/>
        </w:rPr>
        <w:t>In May 2024, we signed definitive agreements to acquire 100% of Paymerang, a U.S.-based leader in accounts payables automation solutions, for approximately $475 million. The acquisition expands our presence in several vertical markets. The transaction is expected to close in the second quarter of 2024, subject to regulatory approval and standard closing conditions.</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119" w:lineRule="exact"/>
        <w:rPr>
          <w:sz w:val="20"/>
          <w:szCs w:val="20"/>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January 2023, we acquired Global Reach, a U.K.-based cross-border payments provider, for approximately $102.9 million, net of cash. Results from Global Reach Group are reported in our Corporate Payments segment.</w:t>
      </w:r>
    </w:p>
    <w:p>
      <w:pPr>
        <w:spacing w:after="0" w:line="53" w:lineRule="exact"/>
        <w:rPr>
          <w:rFonts w:ascii="Times New Roman" w:cs="Times New Roman" w:eastAsia="Times New Roman" w:hAnsi="Times New Roman"/>
          <w:sz w:val="18"/>
          <w:szCs w:val="18"/>
          <w:b w:val="1"/>
          <w:bCs w:val="1"/>
          <w:i w:val="1"/>
          <w:iCs w:val="1"/>
          <w:color w:val="auto"/>
        </w:rPr>
      </w:pPr>
    </w:p>
    <w:p>
      <w:pPr>
        <w:ind w:left="660" w:right="160" w:hanging="328"/>
        <w:spacing w:after="0" w:line="266"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February 2023, we acquired the remainder of Mina Digital Limited, a cloud-based electric vehicle ("EV") charging software platform, and we also acquired Business Gateway AG, a European-based vehicle maintenance provider, for a total of approximately $23.8 million, net of cash. Results from Mina Digital Limited and Business Gateway AG are reported in our Vehicle Payments segment.</w:t>
      </w:r>
    </w:p>
    <w:p>
      <w:pPr>
        <w:spacing w:after="0" w:line="67" w:lineRule="exact"/>
        <w:rPr>
          <w:rFonts w:ascii="Times New Roman" w:cs="Times New Roman" w:eastAsia="Times New Roman" w:hAnsi="Times New Roman"/>
          <w:sz w:val="18"/>
          <w:szCs w:val="18"/>
          <w:b w:val="1"/>
          <w:bCs w:val="1"/>
          <w:i w:val="1"/>
          <w:iCs w:val="1"/>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September 2023, we acquired PayByPhone Technologies, Inc., a global mobile parking payment application, for approximately $301.6 million, net of cash. Results from PaybyPhone are reported in our Vehicle Payments segment.</w:t>
      </w:r>
    </w:p>
    <w:p>
      <w:pPr>
        <w:spacing w:after="0" w:line="53"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the third quarter of 2023, we disposed of our Russian business for $197.0 million, net of cash disposed and net of a $5.6 million foreign exchange loss upon the conversion of the ruble-denominated proceeds to U.S. dollars. Results from our Russian business were previously included in our Vehicle Payments segment.</w:t>
      </w:r>
    </w:p>
    <w:p>
      <w:pPr>
        <w:spacing w:after="0" w:line="5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Each of the 2023 acquisitions provide incremental geographic expansion of our products, with PayByPhone specifically intended to progress our broader strategy to expand our vehicle payments business into the consumer market.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the three months ended March 31, 2023</w:t>
      </w:r>
    </w:p>
    <w:p>
      <w:pPr>
        <w:spacing w:after="0" w:line="12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The following table sets forth selected unaudited consolidated statements of income for the three months ended March 31, 2024 and 2023 (in millions, except percentages)*.</w:t>
      </w:r>
    </w:p>
    <w:tbl>
      <w:tblPr>
        <w:tblLayout w:type="fixed"/>
        <w:tblInd w:w="0" w:type="dxa"/>
        <w:tblCellMar>
          <w:top w:w="0" w:type="dxa"/>
          <w:left w:w="0" w:type="dxa"/>
          <w:bottom w:w="0" w:type="dxa"/>
          <w:right w:w="0" w:type="dxa"/>
        </w:tblCellMar>
      </w:tblPr>
      <w:tr>
        <w:trPr>
          <w:trHeight w:val="165"/>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3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140" w:type="dxa"/>
            <w:vAlign w:val="bottom"/>
          </w:tcPr>
          <w:p>
            <w:pPr>
              <w:spacing w:after="0"/>
              <w:rPr>
                <w:sz w:val="14"/>
                <w:szCs w:val="14"/>
                <w:color w:val="auto"/>
              </w:rPr>
            </w:pPr>
          </w:p>
        </w:tc>
        <w:tc>
          <w:tcPr>
            <w:tcW w:w="1180" w:type="dxa"/>
            <w:vAlign w:val="bottom"/>
          </w:tcPr>
          <w:p>
            <w:pPr>
              <w:jc w:val="center"/>
              <w:ind w:right="5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51"/>
              <w:spacing w:after="0" w:line="162" w:lineRule="exact"/>
              <w:rPr>
                <w:sz w:val="20"/>
                <w:szCs w:val="20"/>
                <w:color w:val="auto"/>
              </w:rPr>
            </w:pPr>
            <w:r>
              <w:rPr>
                <w:rFonts w:ascii="Times New Roman" w:cs="Times New Roman" w:eastAsia="Times New Roman" w:hAnsi="Times New Roman"/>
                <w:sz w:val="16"/>
                <w:szCs w:val="16"/>
                <w:b w:val="1"/>
                <w:bCs w:val="1"/>
                <w:color w:val="auto"/>
              </w:rPr>
              <w:t>Ended March 31,</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Ended March 31,</w:t>
            </w: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6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40" w:type="dxa"/>
            <w:vAlign w:val="bottom"/>
          </w:tcPr>
          <w:p>
            <w:pPr>
              <w:spacing w:after="0"/>
              <w:rPr>
                <w:sz w:val="18"/>
                <w:szCs w:val="18"/>
                <w:color w:val="auto"/>
              </w:rPr>
            </w:pPr>
          </w:p>
        </w:tc>
        <w:tc>
          <w:tcPr>
            <w:tcW w:w="118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Revenues, net</w:t>
            </w: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expenses: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Processing</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net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gain</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by segment: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columns and rows may not calculate due to rounding.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revenues, net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Consolidated revenues were $935.3 million in the three months ended March 31, 2024, an increase of 3.8% compared to the prior period. The increase in consolidated revenues was due primarily to organic growth of 6%, driven by increases in spend and transaction volumes, implementation and ramping of new sales and business initiatives. Consolidated revenues also grew 1% from acquisitions completed in 2023 and 2024 and due to the slightly positive impact of the macroeconomic environment but were negatively impacted by approximately $31 million, or 3%, from the disposition of our Russia business in August 2023.</w:t>
      </w:r>
    </w:p>
    <w:p>
      <w:pPr>
        <w:spacing w:after="0" w:line="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Although we cannot precisely measure the impact of the macroeconomic environment, in total we believe it had a slightly positive impact on our consolidated revenues for the three months ended March 31, 2024 over the comparable period in 2023, driven primarily by favorable foreign exchange rates of approximately $14 million mostly in our Brazil and U.K. businesses.</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1340"/>
        <w:spacing w:after="0" w:line="365" w:lineRule="auto"/>
        <w:rPr>
          <w:sz w:val="20"/>
          <w:szCs w:val="20"/>
          <w:color w:val="auto"/>
        </w:rPr>
      </w:pPr>
      <w:r>
        <w:rPr>
          <w:rFonts w:ascii="Times New Roman" w:cs="Times New Roman" w:eastAsia="Times New Roman" w:hAnsi="Times New Roman"/>
          <w:sz w:val="18"/>
          <w:szCs w:val="18"/>
          <w:color w:val="auto"/>
        </w:rPr>
        <w:t xml:space="preserve">These increases were partially offset by lower fuel price spreads and fuel prices of approximately $6 million and $4 million, respectively. </w:t>
      </w:r>
      <w:r>
        <w:rPr>
          <w:rFonts w:ascii="Times New Roman" w:cs="Times New Roman" w:eastAsia="Times New Roman" w:hAnsi="Times New Roman"/>
          <w:sz w:val="18"/>
          <w:szCs w:val="18"/>
          <w:b w:val="1"/>
          <w:bCs w:val="1"/>
          <w:i w:val="1"/>
          <w:iCs w:val="1"/>
          <w:color w:val="auto"/>
        </w:rPr>
        <w:t>Consolidated operating expenses</w:t>
      </w:r>
    </w:p>
    <w:p>
      <w:pPr>
        <w:spacing w:after="0" w:line="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w:t>
      </w:r>
      <w:r>
        <w:rPr>
          <w:rFonts w:ascii="Times New Roman" w:cs="Times New Roman" w:eastAsia="Times New Roman" w:hAnsi="Times New Roman"/>
          <w:sz w:val="18"/>
          <w:szCs w:val="18"/>
          <w:color w:val="auto"/>
        </w:rPr>
        <w:t>Processing expenses were $207.4 million in the three months ended March 31, 2024, an increase of 1.2% compared to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in processing expenses were primarily due to approximately $5 million of expenses related to acquisitions completed in 2023 and 2024, higher variable expenses driven by increased transaction volumes, investments to drive future growth and the unfavorable impact of foreign exchange rates of approximately $3 million. The increases were partially offset by lower bad debt of $15 million due to our shift away from micro-SMB (small-medium business) clients in the U.S. and the impact of the disposition of our Russia business of approximately $1 million.</w:t>
      </w:r>
    </w:p>
    <w:p>
      <w:pPr>
        <w:spacing w:after="0" w:line="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w:t>
      </w:r>
      <w:r>
        <w:rPr>
          <w:rFonts w:ascii="Times New Roman" w:cs="Times New Roman" w:eastAsia="Times New Roman" w:hAnsi="Times New Roman"/>
          <w:sz w:val="18"/>
          <w:szCs w:val="18"/>
          <w:color w:val="auto"/>
        </w:rPr>
        <w:t>Selling expenses were $94.2 million in the three months ended March 31, 2024, an increase of 15.4% from the prior period. Increases in selling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were primarily due to increased commissions from higher sales volume, approximately $2 million of expenses related to acquisitions completed in 2023 and 2024 and the slightly unfavorable impact of foreign exchange rates. These increases were offset by the impact of the disposition of our Russia business of approximately $2 million.</w:t>
      </w:r>
    </w:p>
    <w:p>
      <w:pPr>
        <w:spacing w:after="0" w:line="6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$151.3 million in the three months ended March 31, 2024, a decrease of 2.2%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period. The decrease in general and administrative expenses was primarily due to lower overhead expense due to disciplined expense management and the impact of the disposition of our Russia business of approximately $3 million. These decreases were partially offset by the impact of acquisitions completed in 2023 and 2024 of approximately $6 million and the slightly unfavorable impact of foreign exchange rates.</w:t>
      </w:r>
    </w:p>
    <w:p>
      <w:pPr>
        <w:spacing w:after="0" w:line="6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$84.8 million in the three months ended March 31, 2024, a slight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0.6% from the prior period. Depreciation and amortization expenses increased due to incremental investments in capital expenditures, acquisitions completed in 2023 and 2024 and the slightly unfavorable impact of foreign exchange rates. These increases were offset by the impact of the disposition of our Russia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Consolidated operating income was $397.3 million in the three months ended March 31, 2024, an increase of 5.9% compared to the prior period. The increase in operating income was primarily due to the reasons discussed above, resulting in EBITDA margin expansion of 53 basis points over the prior period.</w:t>
      </w:r>
    </w:p>
    <w:p>
      <w:pPr>
        <w:spacing w:after="0" w:line="7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was $3.1 million in the three months ended March 31, 2024, which primarily represents the impact of fluctuations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foreign exchange rates on non-functional currency balances.</w:t>
      </w:r>
    </w:p>
    <w:p>
      <w:pPr>
        <w:spacing w:after="0" w:line="4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was $89.1 million in the three months ended March 31, 2024, an increase of $9.3 million from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net interest expense was primarily due to rising interest rates on our borrowings and lower interest income due to the sale of our Russia business, partially offset by lower debt balances and higher cash balances in certain foreign jurisdictions. The following table sets forth the average interest rates paid on borrowings under our Credit Facility, excluding the related unused facility fees and swaps.</w:t>
      </w:r>
    </w:p>
    <w:p>
      <w:pPr>
        <w:spacing w:after="0" w:line="2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8" w:lineRule="exact"/>
        <w:rPr>
          <w:sz w:val="20"/>
          <w:szCs w:val="20"/>
          <w:color w:val="auto"/>
        </w:rPr>
      </w:pPr>
    </w:p>
    <w:tbl>
      <w:tblPr>
        <w:tblLayout w:type="fixed"/>
        <w:tblInd w:w="1520" w:type="dxa"/>
        <w:tblCellMar>
          <w:top w:w="0" w:type="dxa"/>
          <w:left w:w="0" w:type="dxa"/>
          <w:bottom w:w="0" w:type="dxa"/>
          <w:right w:w="0" w:type="dxa"/>
        </w:tblCellMar>
      </w:tblPr>
      <w:tr>
        <w:trPr>
          <w:trHeight w:val="19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A &amp; B (USD)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B (GBP)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r>
    </w:tbl>
    <w:p>
      <w:pPr>
        <w:spacing w:after="0" w:line="17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 portfolio of interest rate swaps which are designated as cash flow hedges and four cross-currency interest rate swaps, which are designated as one net investment hedge. During the three months ended March 31, 2024, as a result of these swap contracts and net investment hedge, we recorded a benefit to interest expense of $14.7 million.</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and effective tax rate were $75.5 million and 24.7%, respectively,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2024, compared to $80.0 million and 27.1%, respectively, for the prior period. Income tax expense is based on an estimated annual effective rate, which requires us to make our best estimate of annual pretax accounting income or loss before consideration of tax or benefit discretely recognized in the period in which such occur. Our effective income tax rate for the three months ended March 31, 2024 differs from the U.S. federal statutory rate due primarily to the unfavorable impact of state taxes net of federal benefits, additional taxes on undistributed foreign-sourced income, and foreign withholding taxes on interest income from intercompany notes. For the three months ended March 31, 2024, the effective tax rate decreased due to discrete items of $8.5 million mainly attributable to tax benefits arising from stock option exercises and awards vesting.</w:t>
      </w:r>
    </w:p>
    <w:p>
      <w:pPr>
        <w:spacing w:after="0" w:line="75"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Corpay. </w:t>
      </w:r>
      <w:r>
        <w:rPr>
          <w:rFonts w:ascii="Times New Roman" w:cs="Times New Roman" w:eastAsia="Times New Roman" w:hAnsi="Times New Roman"/>
          <w:sz w:val="18"/>
          <w:szCs w:val="18"/>
          <w:color w:val="auto"/>
        </w:rPr>
        <w:t>For the reasons discussed above, our net income attributable to Corpay increased to $229.8 million, or 7.0%,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during the three months ended March 31, 2024.</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Payments</w:t>
      </w:r>
    </w:p>
    <w:p>
      <w:pPr>
        <w:spacing w:after="0" w:line="121"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8"/>
          <w:szCs w:val="18"/>
          <w:color w:val="auto"/>
        </w:rPr>
        <w:t>Vehicle Payments revenues were $494.1 million in the three months ended March 31, 2024, a decrease of 0.3% from the prior period. The decrease in revenue was primarily driven by the disposition of our Russia business in August 2023, which lowered revenue by approximately $31 million. Excluding the disposition, Vehicle Payments revenues increased primarily due to organic growth of 4% driven by new sales growth in our international markets, as well as the impact of acquisitions, which contributed approximately $11 million in revenue. The macroeconomic environment had a slightly positive impact of approximately $2 million, driven primarily by favorable changes in foreign exchange rates on revenue of $12 million, partially offset by unfavorable fuel price spreads of $6 million, and lower fuel prices of $4 million.</w:t>
      </w:r>
    </w:p>
    <w:p>
      <w:pPr>
        <w:spacing w:after="0" w:line="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Vehicle Payments operating income was $225.7 million in the three months ended March 31, 2024, an increase of 1.0% compared to the prior period, despite the impact of the disposition of our Russia business, which resulted in lower operating income of approximately $24 million. This negative impact was more than offset by organic growth described above as well as lower bad debt of approximately $15 million, as we shifted away from micro-SMB clients and to higher credit quality customers in the U.S. in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Payments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Corporate Payments revenues were $265.4 million in the three months ended March 31, 2024, an increase of 17.3%, from the prior period. Corporate Payments revenues increased primarily due to organic revenue growth of 17%, driven by strong new sales in our AP and cross-border solutions and a slight increase in spend volume.</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Corporate Payments operating income was $104.7 million in the three months ended March 31, 2024, an increase of 30.2% from the prior period. Corporate Payments operating income and margin increased primarily due to revenue growth, operating leverage and integration synergies, as revenues grew faster than expenses, partially offset by higher selling expenses driven by growth of the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Payments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Lodging Payments revenues were $111.3 million in the three months ended March 31, 2024, a decrease of 9.0% from the prior period. In 2023, Lodging Payments benefited from high weather-driven distressed passenger volume and insurance claims. Lodging Payments also continued to see softness in the base particularly related to smaller, field services companies that are deploying fewer workers as a result of the uncertain macro environment, which provided a tough comparable.</w:t>
      </w:r>
    </w:p>
    <w:p>
      <w:pPr>
        <w:spacing w:after="0" w:line="7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Lodging Payments operating income was $47.3 million in the three months ended March 31, 2024, a decrease of 13.4% from the prior period. Lodging Payments operating income and margin declined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revenues were $64.5 million in the three months ended March 31, 2024, an increase of 12.5% from the prior period, primarily due to organic revenue growth of 12%, driven by the timing of gift card sales and increased transaction volume over the prior period.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operating income was $19.7 million in the three months ended March 31, 2024, an increase of 17% from the prior period, with the increase primarily due to revenue growth and our operating leverage, as revenues grew faster than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5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We believe that our current level of cash and borrowing capacity under our Credit Facility and Securitization Facility (each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together with expected future cash flows from operations, will be sufficient to meet the needs of our existing operations and planned requirements for at least the next 12 months and into the foreseeable future, based on our current assumptions. At March 31, 2024, we had approximately $2.8 billion in total liquidity, consisting of approximately $1.5 billion available under our Credit Facility and unrestricted cash of $1.3 billion, a portion of which is required for working capital purposes. Restricted cash primarily represents customer deposits repayable on demand held in certain geographies with legal restrictions, collateral received from customers for cross-currency transactions in our cross-border payments business, which is restricted from use other than to repay customer deposits and secure and settle cross-currency transactions, and collateral posted with banks for hedging positions in our cross-border payments business.</w:t>
      </w:r>
    </w:p>
    <w:p>
      <w:pPr>
        <w:spacing w:after="0" w:line="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also utilize the Securitization Facility to finance a portion of our domestic receivables, to lower our cost of borrowing and more efficiently use capital. Accounts receivable collateralized within our Securitization Facility relate to trade receivables resulting primarily from charge card activity in Vehicle Payments and receivables related to our Lodging Payments business in the U.S. We also consider the available and undrawn amounts under our Securitization Facility and Credit Facility as funds available for working capital purposes and acquisitions. At March 31, 2024, we had no additional liquidity under our Securitization Facility.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have determined that outside basis differences associated with our investments in foreign subsidiaries would not result in a material deferred tax liability, and, consistent with our assertion that these amounts continue to be indefinitely invested, have not recorded incremental income taxes for the additional outside basis differences.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 periods ended March 31, 2024 and 2023 (in millions).</w:t>
      </w:r>
    </w:p>
    <w:p>
      <w:pPr>
        <w:spacing w:after="0" w:line="15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8"/>
              </w:rPr>
              <w:t>350.2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8"/>
              </w:rPr>
              <w:t>877.7</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center"/>
              <w:ind w:left="737"/>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center"/>
              <w:ind w:left="755"/>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737"/>
              <w:spacing w:after="0"/>
              <w:rPr>
                <w:sz w:val="20"/>
                <w:szCs w:val="20"/>
                <w:color w:val="auto"/>
              </w:rPr>
            </w:pPr>
            <w:r>
              <w:rPr>
                <w:rFonts w:ascii="Times New Roman" w:cs="Times New Roman" w:eastAsia="Times New Roman" w:hAnsi="Times New Roman"/>
                <w:sz w:val="18"/>
                <w:szCs w:val="18"/>
                <w:color w:val="auto"/>
                <w:w w:val="98"/>
              </w:rPr>
              <w:t>(158.6)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rPr>
              <w:t>(217.7)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$350.2 million in the three months ended March 31, 2024, compared to $877.7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comparable prior period. The decrease in operating cash flows was primarily driven by an increase in restricted cash during 2023.</w:t>
      </w:r>
    </w:p>
    <w:p>
      <w:pPr>
        <w:spacing w:after="0" w:line="4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$102.3 million in the three months ended March 31, 2024 compared to $159.0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prior period. The reduction in cash used for investing activities was primarily due to less spending on acquisitions completed in 2024 as compared to 2023. Our capital expenditures were $41.2 million in the three months ended March 31, 2024, an increase of $4.5 million, or 12%, from $36.7 million in the comparable prior period due to the impact of acquisitions and continued investments in technology.</w:t>
      </w:r>
    </w:p>
    <w:p>
      <w:pPr>
        <w:spacing w:after="0" w:line="6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was $158.6 million in the three months ended March 31, 2024, compared to $217.7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prior period. The decrease in net cash used by financing activities was primarily due to i) net borrowings on our credit facility and securitization facility of $42.0 million during the three months ended March 31, 2024 as compared to net repayments of $241.8 million during the comparable period in 2023 and (ii) an increase in proceeds from the issuance of common stock of $57.4 million, partially offset by an increase in repurchases of common stock of $279.2 million in the three months ended March 31, 2024 over the comparable period in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Corpay Technologies Operating Company, LLC, and certain of our domestic and foreign owned subsidiaries, as designated co-borrowers (the "Borrowers"), are parties to a $7.0 billion Credit Agreement (the "Credit Agreement"), with Bank of America, N.A., as administrative agent, swing line lender and letter of credit issuer, and a syndicate of financial institutions (the "Lenders"), which has been amended multiple times. The Credit Agreement provides for senior secured credit facilities (collectively, the "Credit Facility") consisting of a revolving credit facility in the amount of $1.775 billion, a term loan A facility in the amount of $3.325 billion and a term loan B facility in the amount of $1.9 billion. The revolving credit facility consists of (a) a revolving A credit facility in the amount of $1.275 billion, with sublimits for letters of credit and swing line loans and (b) a revolving B facility in the amount of $500 million with borrowings in U.S. dollars, euros, British pounds, Japanese yen or other currency as agreed in advance, and a sublimit for swing line loans. The Credit Agreement also includes an accordion feature for borrowing an additional $750 million in term loan A, term loan B, revolving A or revolving B facility debt and an unlimited amount when the leverage ratio on a pro-forma basis is less than 3.75 to 1.00. Proceeds from the credit facilities may be used for working capital purposes, acquisitions, and other general corporate purposes. The maturity date for the term loan A and revolving credit facilities A and B is June 24, 2027. The term loan B has a maturity date of April 30, 2028.</w:t>
      </w:r>
    </w:p>
    <w:p>
      <w:pPr>
        <w:spacing w:after="0" w:line="8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At March 31, 2024, the interest rate on the term loan A was 6.80%, the interest rate on the term loan B was 7.18%, the interest rate on the revolving A and B facilities (USD borrowings) was 6.80%, and the interest rate on the revolving B facility (GBP borrowings) was 6.60%. The unused credit facility fee was 0.25% at March 31, 2024.</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March 31, 2024, we had $3.2 billion in borrowings outstanding on the term loan A, net of discounts and debt issuance costs, and $1.8 billion in borrowings outstanding on the term loan B, net of discounts and debt issuance costs. We have unamortized debt issuance costs of $4.5 million related to the revolving facilities as of March 31, 2024 recorded within other assets in the Unaudited Consolidated Balance Sheets. We have unamortized debt discounts and debt issuance costs of $19.7 million related to our term loans at March 31, 2024 recorded in notes payable and other obligations, net of current potion within the Unaudited Consolidated Balance Sheets.</w:t>
      </w:r>
    </w:p>
    <w:p>
      <w:pPr>
        <w:spacing w:after="0" w:line="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made principal payments of $25.5 million on the term loans and net repayments of $371.4 million on the revolving facilities.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were in compliance with each of the covenants under the Credit Agreement.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are party to a $1.7 billion receivables purchase agreement among FLEETCOR Funding LLC, as seller, PNC Bank, National Association as administrator, and various purchaser agents, conduit purchasers and related committed purchasers parties thereto (the "Securitization Facility"). The Securitization Facility matures on August 18, 2025. At March 31, 2024, the interest rate on the Securitization Facility was 6.36%.</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68" w:lineRule="exact"/>
        <w:rPr>
          <w:sz w:val="20"/>
          <w:szCs w:val="20"/>
          <w:color w:val="auto"/>
        </w:rPr>
      </w:pPr>
    </w:p>
    <w:p>
      <w:pPr>
        <w:ind w:right="1000"/>
        <w:spacing w:after="0" w:line="375" w:lineRule="auto"/>
        <w:rPr>
          <w:sz w:val="20"/>
          <w:szCs w:val="20"/>
          <w:color w:val="auto"/>
        </w:rPr>
      </w:pPr>
      <w:r>
        <w:rPr>
          <w:rFonts w:ascii="Times New Roman" w:cs="Times New Roman" w:eastAsia="Times New Roman" w:hAnsi="Times New Roman"/>
          <w:sz w:val="18"/>
          <w:szCs w:val="18"/>
          <w:color w:val="auto"/>
        </w:rPr>
        <w:t xml:space="preserve">We were in compliance with all financial and non-financial covenant requirements related to our Securitization Facility as of March 31, 2024. </w:t>
      </w:r>
      <w:r>
        <w:rPr>
          <w:rFonts w:ascii="Times New Roman" w:cs="Times New Roman" w:eastAsia="Times New Roman" w:hAnsi="Times New Roman"/>
          <w:sz w:val="18"/>
          <w:szCs w:val="18"/>
          <w:b w:val="1"/>
          <w:bCs w:val="1"/>
          <w:i w:val="1"/>
          <w:iCs w:val="1"/>
          <w:color w:val="auto"/>
        </w:rPr>
        <w:t>Cross-Border Facilities</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carefully monitor and manage initial and variation margin requirements for our cross-border solutions, which can result in transitory periods of elevated liquidity needs in cases where the currency market experiences disruption. In order to help mitigate that liquidity risk, we have recently entered into facilities intended to provide additional means to manage working capital needs for our cross-border solutions.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2023, we entered into two unsecured overdraft facilities with a combined capacity of $105.0 million, which may be accessible via written request and corresponding authorization from the applicable lenders. There is no guarantee the uncommitted capacity will be available to us on a future date. Interest on drawn balances accrues under the agreements at either (a) at a fixed rate equal to the lender's reference rate or the Federal Funds Effective Rate (as defined in the respective agreements) plus 1% or (b) SOFR plus 1.25%. As of March 31, 2024, we had no borrowings outstanding under the uncommitted credit facilities.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2023, we also entered into a 364-day committed revolving credit facility with a total commitment of $40.0 million. This committed facility matures on October 10, 2024. Borrowings under the new facility will bear interest at the borrower’s option at a rate equal to (a) Term SOFR (as defined in the agreement) plus 1.25% or (b) the Base Rate (determined by reference to the greatest of (i) the Federal Funds Effective Rate, at that time, plus 0.50%, (ii) the Prime Rate, at that time, and (iii) Term SOFR (as defined in the agreement) at such time plus 1.00%). As of March 31, 2024, we had no borrowings outstanding under the committed credit facility.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January 22, 2019, we entered into three LIBOR-based swap contracts. One contract (which matured in January 2022) had a notional value of $1.0 billion, while the two remaining contracts (which matured in January and December 2023, respectively) each had a notional value of $500 million. The objective of these swap contracts was to reduce the variability of cash flows in the previously unhedged interest payments associated with $2.0 billion of variable rate debt, the sole source of which is due to changes in the LIBOR benchmark interest rate. These swap contracts qualify as hedging instruments and have been designated as cash flow hedges. On May 4, 2023, we amended the remaining LIBOR-based swap. The amendment replaced LIBOR on the swap with one-month term SOFR resulting in a pay-fixed monthly rate of 2.50%, without further changes to the terms of the swap.</w:t>
      </w:r>
    </w:p>
    <w:p>
      <w:pPr>
        <w:spacing w:after="0" w:line="12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During January 2023, we entered into five receive-variable SOFR, pay-fixed interest rate swap derivative contracts with a cumulative notional U.S. dollar value of $1.5 billion as shown disaggregated in the table below.</w:t>
      </w:r>
    </w:p>
    <w:p>
      <w:pPr>
        <w:spacing w:after="0" w:line="122"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color w:val="auto"/>
        </w:rPr>
        <w:t>In August 2023, we entered into eight additional receive-variable SOFR, pay-fixed interest rate swap derivative contracts with a cumulative notional U.S. dollar value of $2.0 billion, as shown disaggregated in the table below. Further, in December 2023, we entered into five additional receive-variable SOFR, pay-fixed interest rate swap derivative contracts with a cumulative notional U.S. dollar value of $500 million as shown disaggregated in the table below.</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As of March 31, 2024, we had the following outstanding interest rate swap derivatives that qualify as hedging instruments within designated cash flow hedges of variable interest rate risk (in millions):</w:t>
      </w:r>
    </w:p>
    <w:p>
      <w:pPr>
        <w:spacing w:after="0" w:line="179" w:lineRule="exact"/>
        <w:rPr>
          <w:sz w:val="20"/>
          <w:szCs w:val="20"/>
          <w:color w:val="auto"/>
        </w:rPr>
      </w:pPr>
    </w:p>
    <w:tbl>
      <w:tblPr>
        <w:tblLayout w:type="fixed"/>
        <w:tblInd w:w="2700" w:type="dxa"/>
        <w:tblCellMar>
          <w:top w:w="0" w:type="dxa"/>
          <w:left w:w="0" w:type="dxa"/>
          <w:bottom w:w="0" w:type="dxa"/>
          <w:right w:w="0" w:type="dxa"/>
        </w:tblCellMar>
      </w:tblPr>
      <w:tr>
        <w:trPr>
          <w:trHeight w:val="215"/>
        </w:trPr>
        <w:tc>
          <w:tcPr>
            <w:tcW w:w="23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w:t>
            </w:r>
          </w:p>
        </w:tc>
      </w:tr>
      <w:tr>
        <w:trPr>
          <w:trHeight w:val="226"/>
        </w:trPr>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1/31/2026</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4.35%</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7/31/2027</w:t>
            </w: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7/31/2027</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3.87%</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3.85%</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29"/>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1/31/2028</w:t>
            </w:r>
          </w:p>
        </w:tc>
      </w:tr>
      <w:tr>
        <w:trPr>
          <w:trHeight w:val="23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3.99%</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1/31/2028</w:t>
            </w:r>
          </w:p>
        </w:tc>
      </w:tr>
    </w:tbl>
    <w:p>
      <w:pPr>
        <w:spacing w:after="0" w:line="16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$4.0 billion of unspecified variable rate debt, the sole source of which is due to changes in the SOFR benchmark interest rate. For each of these swap contracts, we pay a fixed monthly rate and receive one month SOFR.</w:t>
      </w:r>
    </w:p>
    <w:p>
      <w:pPr>
        <w:spacing w:after="0" w:line="68" w:lineRule="exact"/>
        <w:rPr>
          <w:sz w:val="20"/>
          <w:szCs w:val="20"/>
          <w:color w:val="auto"/>
        </w:rPr>
      </w:pPr>
    </w:p>
    <w:p>
      <w:pPr>
        <w:ind w:right="1820"/>
        <w:spacing w:after="0" w:line="375" w:lineRule="auto"/>
        <w:rPr>
          <w:sz w:val="20"/>
          <w:szCs w:val="20"/>
          <w:color w:val="auto"/>
        </w:rPr>
      </w:pPr>
      <w:r>
        <w:rPr>
          <w:rFonts w:ascii="Times New Roman" w:cs="Times New Roman" w:eastAsia="Times New Roman" w:hAnsi="Times New Roman"/>
          <w:sz w:val="18"/>
          <w:szCs w:val="18"/>
          <w:color w:val="auto"/>
        </w:rPr>
        <w:t xml:space="preserve">Our cash flow hedges resulted in a $12.7 million reduction in interest expense, net during the three months ended March 31, 2024. </w:t>
      </w:r>
      <w:r>
        <w:rPr>
          <w:rFonts w:ascii="Times New Roman" w:cs="Times New Roman" w:eastAsia="Times New Roman" w:hAnsi="Times New Roman"/>
          <w:sz w:val="18"/>
          <w:szCs w:val="18"/>
          <w:b w:val="1"/>
          <w:bCs w:val="1"/>
          <w:i w:val="1"/>
          <w:iCs w:val="1"/>
          <w:color w:val="auto"/>
        </w:rPr>
        <w:t>Net Investment Hedge</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February 2023, we entered into a cross-currency interest rate swap that we designated as a net investment hedge of our investments in euro-denominated operations. This contract effectively converts $500 million of U.S. dollar equivalent to an obligation denominated in euro, and partially offsets the impact of changes in currency rates on our euro-denominated net investments. This contract also created a positive interest differential on the U.S. dollar-denominated portion of the swap, resulting in a 1.96% interest rate savings on the USD notional. We terminated this net investment hedge on February 1, 2024, which resulted in net cash payments totaling $3.9 million. The loss on the net investment hedge will remain in accumulated other comprehensive loss and will only be reclassified into earnings if and when the underlying euro-denominated net investment is sold or liquidated.</w:t>
      </w:r>
    </w:p>
    <w:p>
      <w:pPr>
        <w:spacing w:after="0" w:line="7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On February 2, 2024, we entered into four new cross-currency interest rate swaps that are designated as net investment hedges of our investments in euro-denominated operations. These contracts effectively convert an aggregate $500 million of U.S. dollar equivalent to an obligation denominated in euro, and partially offset the impact of changes in currency rates on our euro-denominated net investments. These contracts also create a positive interest differential on the U.S. dollar-denominated portion of the swap, resulting in a 1.55% interest rate savings on the USD notional.</w:t>
      </w:r>
    </w:p>
    <w:p>
      <w:pPr>
        <w:spacing w:after="0" w:line="8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Hedge effectiveness is tested based on changes in the fair value of the cross-currency swap due to changes in the USD/euro spot rate. We anticipate perfect effectiveness of the designated hedging relationship and record changes in the fair value of the cross-currency interest rate swap associated with changes in the spot rate through accumulated other comprehensive loss. Excluded components associated with the forward differential are recognized directly in earnings as interest expense, net. We recognized a benefit of $2.0 million in interest expense, net for the three months ended March 31, 2024 related to these excluded components.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line="246" w:lineRule="auto"/>
        <w:rPr>
          <w:sz w:val="20"/>
          <w:szCs w:val="20"/>
          <w:color w:val="auto"/>
        </w:rPr>
      </w:pPr>
      <w:r>
        <w:rPr>
          <w:rFonts w:ascii="Times New Roman" w:cs="Times New Roman" w:eastAsia="Times New Roman" w:hAnsi="Times New Roman"/>
          <w:sz w:val="18"/>
          <w:szCs w:val="18"/>
          <w:color w:val="auto"/>
        </w:rPr>
        <w:t>On April 15, 2024, the Company terminated its existing net investment hedge and simultaneously entered into four new cross-currency interest rate swaps designated as net investment hedges of our investments in euro-denominated operations. These contracts effectively convert an aggregate $500 million of U.S. dollar equivalent to an obligation denominated in euro, and partially offset the impact of changes in currency rates on our euro-denominated net assets. These contracts also create a positive interest differential on the U.S. dollar-denominated portion of the swap, resulting in a 1.85% interest rate savings on the USD notional.</w:t>
      </w:r>
    </w:p>
    <w:p>
      <w:pPr>
        <w:spacing w:after="0" w:line="8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May 7, 2024, the Company entered into three new cross-currency interest rate swaps designated as net investment hedges of our investments in CAD-denominated operations. These contracts effectively convert an aggregate $500 million of U.S. dollar equivalent to an obligation denominated in CAD, and partially offset the impact of changes in currency rates on our CAD-denominated net assets. These contracts also create a positive interest differential on the U.S. dollar-denominated portion of the swap, resulting in a 0.602% interest rate savings on the USD notional.</w:t>
      </w:r>
    </w:p>
    <w:p>
      <w:pPr>
        <w:spacing w:after="0" w:line="6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Further, on May 8, 2024, the Company entered into four new cross-currency interest rate swaps designated as net investment hedges of our investments in GBP-denominated operations. These contracts effectively convert an aggregate $750 million of U.S. dollar equivalent to an obligation denominated in GBP, and partially offset the impact of changes in currency rates on our GBP-denominated net assets. These contracts also create a positive interest differential on the U.S. dollar-denominated portion of the swap, resulting in a 0.317% interest rate savings on the USD notional.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0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On February 4, 2016, we announced that our Board approved a stock repurchase program (as updated from time to time, the "Program") authorizing us to repurchase our common stock from time to time until February 4, 2025. On January 25, 2024, the Board authorized an increase to the aggregate size of the Program by $1.0 billion to $8.1 billion. Since the beginning of the Program through March 31, 2024, 29,975,624 shares have been repurchased for an aggregate purchase price of $6.9 billion, leaving us up to $1.2 billion of remaining authorization available under the Program for future repurchases in shares of our common stock. Subsequent to March 31, 2024 and through the date of this filing, we repurchased an additional 1.4 million shares for an aggregate purchase price of $412.4 million.</w:t>
      </w:r>
    </w:p>
    <w:p>
      <w:pPr>
        <w:spacing w:after="0" w:line="1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the Program, any stock repurchases may be made at times and in such amounts as deemed appropriate by management.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applying the accounting policies that we use to prepare our consolidated financial statements, we necessarily make accounting estimates that affect our reported amounts of assets, liabilities, revenues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Accounting estimates necessarily require subjective determinations about future events and conditions. During the three months ended March 31, 2024,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2023. For critical accounting policies, refer to the Critical Accounting Estimates in Item 7 – Management’s Discussion and Analysis of Financial Condition and Results of Operations included in our Annual Report on Form 10-K for the year ended December 31, 2023 and our summary of significant accounting policies in Note 1 of our Notes to the Unaudited Consolidated Financial Statements in this Quarterly Report on Form 10-Q.</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Financial Measures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each non-GAAP financial measure to the most directly comparable financial measure calculated in accordance with GAAP, and discuss the reasons that we believe this information is useful to management and may be useful to investors. Because our non-GAAP financial measures are not standardized measures, they may not be directly comparable with the non-GAAP financial measures of other companies using the same or similar non-GAAP financial measures. Although management uses these non-GAAP measures to set goals and measure performance, they have no standardized meaning prescribed by GAAP. These non-GAAP measures are presented solely to permit investors to more fully understand how our management assesses underlying performance. These non-GAAP measures are not, and should not be viewed as, a substitute for GAAP measures, and should be viewed in conjunction with our GAAP financial statements and financial measures. As a result, such non-GAAP measures have limits in their usefulness to investors.</w:t>
      </w:r>
    </w:p>
    <w:p>
      <w:pPr>
        <w:spacing w:after="0" w:line="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Organic Revenues, net by KPI. </w:t>
      </w:r>
      <w:r>
        <w:rPr>
          <w:rFonts w:ascii="Times New Roman" w:cs="Times New Roman" w:eastAsia="Times New Roman" w:hAnsi="Times New Roman"/>
          <w:sz w:val="18"/>
          <w:szCs w:val="18"/>
          <w:color w:val="auto"/>
        </w:rPr>
        <w:t>Organic revenue growth is calculated as revenue in the current period adjusted for the impact of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We define the pro forma and macro adjusted revenue as revenue, net as reflected in our statement of income, adjusted to eliminate the impact of the macroeconomic environment and the impact of acquisitions and dispositions. The macroeconomic environment impact includes the impact that market fuel price spreads, fuel prices and foreign exchange rates have on our business. We use pro forma and macro adjusted revenue and transactions to evaluate the organic growth in our revenue and the associated transactions. We believe that organic revenue growth is useful to investors for understanding the performance of Corpay.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ind w:right="240"/>
        <w:spacing w:after="0" w:line="250" w:lineRule="auto"/>
        <w:rPr>
          <w:sz w:val="20"/>
          <w:szCs w:val="20"/>
          <w:color w:val="auto"/>
        </w:rPr>
      </w:pPr>
      <w:r>
        <w:rPr>
          <w:rFonts w:ascii="Times New Roman" w:cs="Times New Roman" w:eastAsia="Times New Roman" w:hAnsi="Times New Roman"/>
          <w:sz w:val="18"/>
          <w:szCs w:val="18"/>
          <w:color w:val="auto"/>
        </w:rPr>
        <w:t>Set forth below is a reconciliation of pro forma and macro adjusted revenue and key performance metric by segment, used to calculate organic revenue growth, to the most directly comparable GAAP measure, revenue, net and key performance metric (in millions):*</w:t>
      </w:r>
    </w:p>
    <w:p>
      <w:pPr>
        <w:spacing w:after="0" w:line="116"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Key Performance Metric</w:t>
            </w: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70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tcBorders>
              <w:bottom w:val="single" w:sz="8" w:color="auto"/>
            </w:tcBorders>
            <w:gridSpan w:val="4"/>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6"/>
                <w:szCs w:val="16"/>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420" w:type="dxa"/>
            <w:vAlign w:val="bottom"/>
            <w:tcBorders>
              <w:bottom w:val="single" w:sz="8" w:color="CCEEFF"/>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182"/>
        </w:trPr>
        <w:tc>
          <w:tcPr>
            <w:tcW w:w="20" w:type="dxa"/>
            <w:vAlign w:val="bottom"/>
            <w:shd w:val="clear" w:color="auto" w:fill="CCEEFF"/>
          </w:tcPr>
          <w:p>
            <w:pPr>
              <w:spacing w:after="0"/>
              <w:rPr>
                <w:sz w:val="15"/>
                <w:szCs w:val="15"/>
                <w:color w:val="auto"/>
              </w:rPr>
            </w:pPr>
          </w:p>
        </w:tc>
        <w:tc>
          <w:tcPr>
            <w:tcW w:w="3420" w:type="dxa"/>
            <w:vAlign w:val="bottom"/>
            <w:gridSpan w:val="9"/>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VEHICLE PAYMENTS - TRANSACTIONS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308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3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492.1</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495.5</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42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CORPORATE PAYMENTS - SPEND</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6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820" w:type="dxa"/>
            <w:vAlign w:val="bottom"/>
            <w:tcBorders>
              <w:top w:val="single" w:sz="8" w:color="CCEEFF"/>
            </w:tcBorders>
            <w:gridSpan w:val="4"/>
          </w:tcPr>
          <w:p>
            <w:pPr>
              <w:spacing w:after="0"/>
              <w:rPr>
                <w:sz w:val="18"/>
                <w:szCs w:val="18"/>
                <w:color w:val="auto"/>
              </w:rPr>
            </w:pPr>
          </w:p>
        </w:tc>
        <w:tc>
          <w:tcPr>
            <w:tcW w:w="960" w:type="dxa"/>
            <w:vAlign w:val="bottom"/>
            <w:tcBorders>
              <w:top w:val="single" w:sz="8" w:color="CCEEFF"/>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440" w:type="dxa"/>
            <w:vAlign w:val="bottom"/>
            <w:tcBorders>
              <w:top w:val="single" w:sz="8" w:color="CCEEFF"/>
            </w:tcBorders>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36,804</w:t>
            </w: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36,518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36,804</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36,518</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42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rPr>
              <w:t>LODGING PAYMENTS - ROOM NIGHTS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30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400" w:type="dxa"/>
            <w:vAlign w:val="bottom"/>
            <w:tcBorders>
              <w:top w:val="single" w:sz="8" w:color="CCEEFF"/>
            </w:tcBorders>
            <w:gridSpan w:val="2"/>
          </w:tcPr>
          <w:p>
            <w:pPr>
              <w:spacing w:after="0"/>
              <w:rPr>
                <w:sz w:val="18"/>
                <w:szCs w:val="18"/>
                <w:color w:val="auto"/>
              </w:rPr>
            </w:pPr>
          </w:p>
        </w:tc>
        <w:tc>
          <w:tcPr>
            <w:tcW w:w="960" w:type="dxa"/>
            <w:vAlign w:val="bottom"/>
            <w:tcBorders>
              <w:top w:val="single" w:sz="8" w:color="CCEEFF"/>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342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16"/>
                <w:szCs w:val="16"/>
                <w:b w:val="1"/>
                <w:bCs w:val="1"/>
                <w:u w:val="single" w:color="auto"/>
                <w:color w:val="auto"/>
                <w:vertAlign w:val="superscript"/>
              </w:rPr>
              <w:t>1</w:t>
            </w:r>
            <w:r>
              <w:rPr>
                <w:rFonts w:ascii="Times New Roman" w:cs="Times New Roman" w:eastAsia="Times New Roman" w:hAnsi="Times New Roman"/>
                <w:sz w:val="13"/>
                <w:szCs w:val="13"/>
                <w:b w:val="1"/>
                <w:bCs w:val="1"/>
                <w:color w:val="auto"/>
              </w:rPr>
              <w:t>- TRANSACTIONS</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96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8"/>
                <w:szCs w:val="18"/>
                <w:color w:val="auto"/>
              </w:rPr>
            </w:pPr>
          </w:p>
        </w:tc>
        <w:tc>
          <w:tcPr>
            <w:tcW w:w="1120" w:type="dxa"/>
            <w:vAlign w:val="bottom"/>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60" w:type="dxa"/>
            <w:vAlign w:val="bottom"/>
            <w:tcBorders>
              <w:top w:val="single" w:sz="8" w:color="auto"/>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
        </w:trPr>
        <w:tc>
          <w:tcPr>
            <w:tcW w:w="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20" w:type="dxa"/>
            <w:vAlign w:val="bottom"/>
          </w:tcPr>
          <w:p>
            <w:pPr>
              <w:spacing w:after="0"/>
              <w:rPr>
                <w:sz w:val="15"/>
                <w:szCs w:val="15"/>
                <w:color w:val="auto"/>
              </w:rPr>
            </w:pPr>
          </w:p>
        </w:tc>
        <w:tc>
          <w:tcPr>
            <w:tcW w:w="342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CORPAY CONSOLIDATED REVENUES,</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NET</w:t>
            </w:r>
          </w:p>
        </w:tc>
        <w:tc>
          <w:tcPr>
            <w:tcW w:w="460" w:type="dxa"/>
            <w:vAlign w:val="bottom"/>
            <w:gridSpan w:val="3"/>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96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880.8</w:t>
            </w:r>
          </w:p>
        </w:tc>
        <w:tc>
          <w:tcPr>
            <w:tcW w:w="1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420" w:type="dxa"/>
            <w:vAlign w:val="bottom"/>
            <w:gridSpan w:val="9"/>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Impact of fuel prices/spread</w:t>
            </w:r>
            <w:r>
              <w:rPr>
                <w:rFonts w:ascii="Times New Roman" w:cs="Times New Roman" w:eastAsia="Times New Roman" w:hAnsi="Times New Roman"/>
                <w:sz w:val="21"/>
                <w:szCs w:val="21"/>
                <w:color w:val="auto"/>
                <w:vertAlign w:val="superscript"/>
              </w:rPr>
              <w:t>2</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4"/>
          </w:tcPr>
          <w:p>
            <w:pPr>
              <w:jc w:val="center"/>
              <w:ind w:right="259"/>
              <w:spacing w:after="0"/>
              <w:rPr>
                <w:sz w:val="20"/>
                <w:szCs w:val="20"/>
                <w:color w:val="auto"/>
              </w:rPr>
            </w:pPr>
            <w:r>
              <w:rPr>
                <w:rFonts w:ascii="Times New Roman" w:cs="Times New Roman" w:eastAsia="Times New Roman" w:hAnsi="Times New Roman"/>
                <w:sz w:val="16"/>
                <w:szCs w:val="16"/>
                <w:color w:val="auto"/>
              </w:rPr>
              <w:t>Intentionally Left Blank</w:t>
            </w:r>
          </w:p>
        </w:tc>
        <w:tc>
          <w:tcPr>
            <w:tcW w:w="20" w:type="dxa"/>
            <w:vAlign w:val="bottom"/>
            <w:shd w:val="clear" w:color="auto" w:fill="000000"/>
          </w:tcPr>
          <w:p>
            <w:pPr>
              <w:spacing w:after="0"/>
              <w:rPr>
                <w:sz w:val="19"/>
                <w:szCs w:val="19"/>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gridSpan w:val="9"/>
          </w:tcPr>
          <w:p>
            <w:pPr>
              <w:spacing w:after="0" w:line="216" w:lineRule="exact"/>
              <w:rPr>
                <w:sz w:val="20"/>
                <w:szCs w:val="20"/>
                <w:color w:val="auto"/>
              </w:rPr>
            </w:pPr>
            <w:r>
              <w:rPr>
                <w:rFonts w:ascii="Times New Roman" w:cs="Times New Roman" w:eastAsia="Times New Roman" w:hAnsi="Times New Roman"/>
                <w:sz w:val="16"/>
                <w:szCs w:val="16"/>
                <w:color w:val="auto"/>
              </w:rPr>
              <w:t>Impact of foreign exchange rates</w:t>
            </w:r>
            <w:r>
              <w:rPr>
                <w:rFonts w:ascii="Times New Roman" w:cs="Times New Roman" w:eastAsia="Times New Roman" w:hAnsi="Times New Roman"/>
                <w:sz w:val="21"/>
                <w:szCs w:val="21"/>
                <w:color w:val="auto"/>
                <w:vertAlign w:val="superscript"/>
              </w:rPr>
              <w:t>2</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67"/>
        </w:trPr>
        <w:tc>
          <w:tcPr>
            <w:tcW w:w="2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6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center"/>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120" w:type="dxa"/>
            <w:vAlign w:val="bottom"/>
            <w:tcBorders>
              <w:right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r>
    </w:tbl>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Columns may not calculate due to rounding.</w:t>
      </w:r>
    </w:p>
    <w:p>
      <w:pPr>
        <w:spacing w:after="0" w:line="1" w:lineRule="exact"/>
        <w:rPr>
          <w:sz w:val="20"/>
          <w:szCs w:val="20"/>
          <w:color w:val="auto"/>
        </w:rPr>
      </w:pPr>
    </w:p>
    <w:p>
      <w:pPr>
        <w:ind w:left="740" w:hanging="86"/>
        <w:spacing w:after="0"/>
        <w:tabs>
          <w:tab w:leader="none" w:pos="74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Gift and Payroll Card operating segments.</w:t>
      </w:r>
    </w:p>
    <w:p>
      <w:pPr>
        <w:spacing w:after="0" w:line="47" w:lineRule="exact"/>
        <w:rPr>
          <w:sz w:val="20"/>
          <w:szCs w:val="20"/>
          <w:color w:val="auto"/>
        </w:rPr>
      </w:pPr>
    </w:p>
    <w:p>
      <w:pPr>
        <w:ind w:left="660" w:right="780" w:hanging="6"/>
        <w:spacing w:after="0" w:line="209" w:lineRule="auto"/>
        <w:tabs>
          <w:tab w:leader="none" w:pos="753"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Revenues reflect an estimated $4 million and $6 million negative impact from fuel prices and fuel price spreads, respectively, as well as the positive impact of movements in foreign exchange rates of approximately $14 million.</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and adjusted net income per diluted share attributable to Corpay. </w:t>
      </w:r>
      <w:r>
        <w:rPr>
          <w:rFonts w:ascii="Times New Roman" w:cs="Times New Roman" w:eastAsia="Times New Roman" w:hAnsi="Times New Roman"/>
          <w:sz w:val="18"/>
          <w:szCs w:val="18"/>
          <w:color w:val="auto"/>
        </w:rPr>
        <w:t>We have defined the non-GAAP measure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net income attributable to Corpay as net income attributable to Corpay as reflected in our statement of income, adjusted to eliminate (a) non-cash stock based compensation expense related to share based compensation awards, (b) amortization of deferred financing costs, discounts, intangible assets, and amortization of the premium recognized on the purchase of receivables, (c) integration and deal related costs, and (d) other non-recurring items, including the impact of certain discrete tax items, the impact of business dispositions, impairment charges, asset write-offs, restructuring and related costs, loss on extinguishment of debt, and legal settlements and regulatory-related legal fees. We adjust net income for the tax effect of adjustments using our effective income tax rate, exclusive of certain discrete tax items. We calculate adjusted net income and adjusted net income per diluted share to eliminate the effect of items that we do not consider indicative of our core operating performance.</w:t>
      </w:r>
    </w:p>
    <w:p>
      <w:pPr>
        <w:spacing w:after="0" w:line="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defined the non-GAAP measure adjusted net income per diluted share attributable to Corpay as the calculation previously noted divided by the weighted average diluted shares outstanding as reflected in our statement of income.</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net income attributable to Corpay and adjusted net income per diluted share attributable to Corpay are supplemental measures of operating performance that do not represent and should not be considered as an alternative to net income, net income per diluted share or cash flow from operations, as determined by GAAP. We believe it is useful to exclude non-cash</w:t>
      </w:r>
    </w:p>
    <w:p>
      <w:pPr>
        <w:sectPr>
          <w:pgSz w:w="11900" w:h="16838" w:orient="portrait"/>
          <w:cols w:equalWidth="0" w:num="1">
            <w:col w:w="11120"/>
          </w:cols>
          <w:pgMar w:left="320" w:top="783" w:right="459" w:bottom="1440" w:gutter="0" w:footer="0" w:header="0"/>
        </w:sect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83" w:right="4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share based compensation expense from adjusted net income because non-cash equity grants made at a certain price and point in time do not necessarily reflect how our business is performing at any particular time and share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certain discrete tax items, gains on business disposition, impairment charges, asset write-offs, restructuring and related costs, losses on extinguishment of debt, and legal settlements and regulatory-related legal fees do not necessarily reflect how our business is performing. We adjust net income for the tax effect of each of these adjustments using our effective income tax rate during the period, exclusive of certain discrete tax items.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uses adjusted net income attributable to Corpay, adjusted net income per diluted share attributable to Corpay, organic revenue growth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ind w:left="660" w:hanging="328"/>
        <w:spacing w:after="0" w:line="236" w:lineRule="auto"/>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as measurements of operating performance because they assist us in comparing our operating performance on a consistent basis;</w:t>
      </w:r>
    </w:p>
    <w:p>
      <w:pPr>
        <w:ind w:left="660" w:hanging="328"/>
        <w:spacing w:after="0" w:line="233" w:lineRule="auto"/>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for planning purposes, including the preparation of our internal annual operating budget;</w:t>
      </w:r>
    </w:p>
    <w:p>
      <w:pPr>
        <w:ind w:left="660" w:hanging="328"/>
        <w:spacing w:after="0" w:line="218" w:lineRule="auto"/>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to allocate resources to enhance the financial performance of our business;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to evaluate the performance and effectiveness of our operational strategies.</w:t>
      </w:r>
    </w:p>
    <w:p>
      <w:pPr>
        <w:spacing w:after="0" w:line="9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Set forth below is a reconciliation of adjusted net income attributable to Corpay and adjusted net income per diluted share attributable to Corpay to the most directly comparable GAAP measure, net income attributable to Corpay and net income per diluted share attributable to Corpay (in thousands, except shares and per share amounts)*:</w:t>
      </w:r>
    </w:p>
    <w:p>
      <w:pPr>
        <w:spacing w:after="0" w:line="165" w:lineRule="exact"/>
        <w:rPr>
          <w:sz w:val="20"/>
          <w:szCs w:val="20"/>
          <w:color w:val="auto"/>
        </w:rPr>
      </w:pPr>
    </w:p>
    <w:tbl>
      <w:tblPr>
        <w:tblLayout w:type="fixed"/>
        <w:tblInd w:w="190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214,835</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diluted share attributable to Corpay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w:t>
            </w:r>
          </w:p>
        </w:tc>
      </w:tr>
      <w:tr>
        <w:trPr>
          <w:trHeight w:val="230"/>
        </w:trPr>
        <w:tc>
          <w:tcPr>
            <w:tcW w:w="43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60,039</w:t>
            </w: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Integration and deal related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w:t>
            </w:r>
          </w:p>
        </w:tc>
      </w:tr>
      <w:tr>
        <w:trPr>
          <w:trHeight w:val="230"/>
        </w:trPr>
        <w:tc>
          <w:tcPr>
            <w:tcW w:w="438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Restructuring and related costs</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0"/>
        </w:trPr>
        <w:tc>
          <w:tcPr>
            <w:tcW w:w="43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2,3</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pre-tax adjustments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93,662</w:t>
            </w:r>
          </w:p>
        </w:tc>
      </w:tr>
      <w:tr>
        <w:trPr>
          <w:trHeight w:val="229"/>
        </w:trPr>
        <w:tc>
          <w:tcPr>
            <w:tcW w:w="43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(25,416)</w:t>
            </w: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283,081</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51"/>
        </w:trPr>
        <w:tc>
          <w:tcPr>
            <w:tcW w:w="43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Adjusted net income per diluted share attributable to</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3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Corpay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74,483</w:t>
            </w:r>
          </w:p>
        </w:tc>
      </w:tr>
    </w:tbl>
    <w:p>
      <w:pPr>
        <w:spacing w:after="0" w:line="82" w:lineRule="exact"/>
        <w:rPr>
          <w:sz w:val="20"/>
          <w:szCs w:val="20"/>
          <w:color w:val="auto"/>
        </w:rPr>
      </w:pPr>
    </w:p>
    <w:p>
      <w:pPr>
        <w:ind w:left="420" w:hanging="84"/>
        <w:spacing w:after="0"/>
        <w:tabs>
          <w:tab w:leader="none" w:pos="4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related to intangible assets, premium on receivables, deferred financing costs and debt discounts.</w:t>
      </w:r>
    </w:p>
    <w:p>
      <w:pPr>
        <w:spacing w:after="0" w:line="6" w:lineRule="exact"/>
        <w:rPr>
          <w:sz w:val="20"/>
          <w:szCs w:val="20"/>
          <w:color w:val="auto"/>
        </w:rPr>
      </w:pPr>
    </w:p>
    <w:p>
      <w:pPr>
        <w:ind w:left="420" w:hanging="84"/>
        <w:spacing w:after="0"/>
        <w:tabs>
          <w:tab w:leader="none" w:pos="4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prior period amounts have been reclassified to conform with current period presentation.</w:t>
      </w:r>
    </w:p>
    <w:p>
      <w:pPr>
        <w:spacing w:after="0" w:line="4" w:lineRule="exact"/>
        <w:rPr>
          <w:sz w:val="20"/>
          <w:szCs w:val="20"/>
          <w:color w:val="auto"/>
        </w:rPr>
      </w:pPr>
    </w:p>
    <w:p>
      <w:pPr>
        <w:ind w:left="340" w:right="1080" w:firstLine="26"/>
        <w:spacing w:after="0" w:line="204" w:lineRule="auto"/>
        <w:tabs>
          <w:tab w:leader="none" w:pos="457"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losses and gains on foreign currency transactions, legal expenses, and removes the amortization attributable to the Company's noncontrolling interest.</w:t>
      </w:r>
    </w:p>
    <w:p>
      <w:pPr>
        <w:spacing w:after="0" w:line="36" w:lineRule="exact"/>
        <w:rPr>
          <w:sz w:val="20"/>
          <w:szCs w:val="20"/>
          <w:color w:val="auto"/>
        </w:rPr>
      </w:pPr>
    </w:p>
    <w:p>
      <w:pPr>
        <w:ind w:left="340" w:right="6400" w:hanging="4"/>
        <w:spacing w:after="0" w:line="236" w:lineRule="auto"/>
        <w:tabs>
          <w:tab w:leader="none" w:pos="4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provision for income taxes of pre-tax adjustments *Columns may not calculate due to rounding.</w:t>
      </w:r>
    </w:p>
    <w:p>
      <w:pPr>
        <w:spacing w:after="0" w:line="302"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and EBITDA margin. </w:t>
      </w:r>
      <w:r>
        <w:rPr>
          <w:rFonts w:ascii="Times New Roman" w:cs="Times New Roman" w:eastAsia="Times New Roman" w:hAnsi="Times New Roman"/>
          <w:sz w:val="18"/>
          <w:szCs w:val="18"/>
          <w:color w:val="auto"/>
        </w:rPr>
        <w:t>EBITDA is defined as earnings before interest, income taxes, interest expense, net, other expense, net, depreciation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investment gain and other operating,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EBITDA and EBITDA margin to net income (in millions)*: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2040" w:type="dxa"/>
            <w:vAlign w:val="bottom"/>
          </w:tcPr>
          <w:p>
            <w:pPr>
              <w:spacing w:after="0"/>
              <w:rPr>
                <w:sz w:val="19"/>
                <w:szCs w:val="19"/>
                <w:color w:val="auto"/>
              </w:rPr>
            </w:pPr>
          </w:p>
        </w:tc>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20" w:type="dxa"/>
            <w:vAlign w:val="bottom"/>
          </w:tcPr>
          <w:p>
            <w:pPr>
              <w:spacing w:after="0"/>
              <w:rPr>
                <w:sz w:val="19"/>
                <w:szCs w:val="19"/>
                <w:color w:val="auto"/>
              </w:rPr>
            </w:pPr>
          </w:p>
        </w:tc>
      </w:tr>
      <w:tr>
        <w:trPr>
          <w:trHeight w:val="223"/>
        </w:trPr>
        <w:tc>
          <w:tcPr>
            <w:tcW w:w="20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214.8</w:t>
            </w:r>
          </w:p>
        </w:tc>
        <w:tc>
          <w:tcPr>
            <w:tcW w:w="20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80.0</w:t>
            </w:r>
          </w:p>
        </w:tc>
        <w:tc>
          <w:tcPr>
            <w:tcW w:w="20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79.8</w:t>
            </w:r>
          </w:p>
        </w:tc>
        <w:tc>
          <w:tcPr>
            <w:tcW w:w="20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20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gain</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20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84.2</w:t>
            </w:r>
          </w:p>
        </w:tc>
        <w:tc>
          <w:tcPr>
            <w:tcW w:w="20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net</w:t>
            </w:r>
          </w:p>
        </w:tc>
        <w:tc>
          <w:tcPr>
            <w:tcW w:w="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w:t>
            </w:r>
          </w:p>
        </w:tc>
        <w:tc>
          <w:tcPr>
            <w:tcW w:w="2020" w:type="dxa"/>
            <w:vAlign w:val="bottom"/>
          </w:tcPr>
          <w:p>
            <w:pPr>
              <w:spacing w:after="0"/>
              <w:rPr>
                <w:sz w:val="19"/>
                <w:szCs w:val="19"/>
                <w:color w:val="auto"/>
              </w:rPr>
            </w:pPr>
          </w:p>
        </w:tc>
      </w:tr>
      <w:tr>
        <w:trPr>
          <w:trHeight w:val="223"/>
        </w:trPr>
        <w:tc>
          <w:tcPr>
            <w:tcW w:w="20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460.1</w:t>
            </w:r>
          </w:p>
        </w:tc>
        <w:tc>
          <w:tcPr>
            <w:tcW w:w="2020" w:type="dxa"/>
            <w:vAlign w:val="bottom"/>
          </w:tcPr>
          <w:p>
            <w:pPr>
              <w:spacing w:after="0"/>
              <w:rPr>
                <w:sz w:val="19"/>
                <w:szCs w:val="19"/>
                <w:color w:val="auto"/>
              </w:rPr>
            </w:pPr>
          </w:p>
        </w:tc>
      </w:tr>
      <w:tr>
        <w:trPr>
          <w:trHeight w:val="20"/>
        </w:trPr>
        <w:tc>
          <w:tcPr>
            <w:tcW w:w="2040" w:type="dxa"/>
            <w:vAlign w:val="bottom"/>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204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901.3</w:t>
            </w:r>
          </w:p>
        </w:tc>
        <w:tc>
          <w:tcPr>
            <w:tcW w:w="202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margin</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2020" w:type="dxa"/>
            <w:vAlign w:val="bottom"/>
          </w:tcPr>
          <w:p>
            <w:pPr>
              <w:spacing w:after="0"/>
              <w:rPr>
                <w:sz w:val="19"/>
                <w:szCs w:val="19"/>
                <w:color w:val="auto"/>
              </w:rPr>
            </w:pPr>
          </w:p>
        </w:tc>
      </w:tr>
      <w:tr>
        <w:trPr>
          <w:trHeight w:val="234"/>
        </w:trPr>
        <w:tc>
          <w:tcPr>
            <w:tcW w:w="20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Columns may not calculate due to rounding.</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576"/>
        </w:trPr>
        <w:tc>
          <w:tcPr>
            <w:tcW w:w="2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Statements that are not historical facts, including statements about Corpay’s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"Risk Factors" in our Annual Report on Form 10-K for the year ended December 31, 2023 filed with the Securities and Exchange Commission on February 29, 2024, many of which are outside of our control, that could cause our actual results and experience to differ materially from any forward-looking statement.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not be realized due to a variety of factors, including, without limitation:</w:t>
      </w:r>
    </w:p>
    <w:p>
      <w:pPr>
        <w:spacing w:after="0" w:line="104"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strategic plan and portfolio review, manage our growth and achieve our performance targets;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Arial" w:cs="Arial" w:eastAsia="Arial" w:hAnsi="Arial"/>
          <w:sz w:val="14"/>
          <w:szCs w:val="14"/>
          <w:color w:val="808289"/>
        </w:rPr>
      </w:pPr>
      <w:r>
        <w:rPr>
          <w:rFonts w:ascii="Times New Roman" w:cs="Times New Roman" w:eastAsia="Times New Roman" w:hAnsi="Times New Roman"/>
          <w:sz w:val="18"/>
          <w:szCs w:val="18"/>
          <w:color w:val="auto"/>
        </w:rPr>
        <w:t>regulatory measures, voluntary actions, or changes in consumer preferences, that impact our transaction volume;</w:t>
      </w:r>
    </w:p>
    <w:p>
      <w:pPr>
        <w:spacing w:after="0" w:line="117" w:lineRule="exact"/>
        <w:rPr>
          <w:rFonts w:ascii="Arial" w:cs="Arial" w:eastAsia="Arial" w:hAnsi="Arial"/>
          <w:sz w:val="14"/>
          <w:szCs w:val="14"/>
          <w:color w:val="808289"/>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program fees or charges we may collect, whether through legal, regulatory or contractual changes;</w:t>
      </w:r>
    </w:p>
    <w:p>
      <w:pPr>
        <w:spacing w:after="0" w:line="117"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and the current inflationary environment and whether expected trends, including retail fuel prices, fuel price spreads, fuel transaction patterns, electric vehicle, and retail lodging price trends develop as anticipated and we are able to develop successful strategies in light of these trends;</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operational and political risks and compliance and regulatory risks and costs associated with international operations, including the impact of the global military conflicts between Russia and Ukraine and in the Middle East, on our business and operations;</w:t>
      </w:r>
    </w:p>
    <w:p>
      <w:pPr>
        <w:spacing w:after="0" w:line="53"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partners, fuel merchants, and lodging providers, their promotion and support of our products, and their financial performance;</w:t>
      </w:r>
    </w:p>
    <w:p>
      <w:pPr>
        <w:spacing w:after="0" w:line="53"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management assumptions and estimates, as well as differences in, and changes to, economic, market, interest rate, interchange fees, foreign exchange rates, and credit conditions, including changes in borrowers’ credit risks and payment behaviors;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higher borrowing costs and adverse financial market conditions impacting our funding and liquidity, and any reduction in our credit ratings;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risks and the sufficiency of our allowance for expected credit losses;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securitize our trade receivables;</w:t>
      </w:r>
    </w:p>
    <w:p>
      <w:pPr>
        <w:spacing w:after="0" w:line="117"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fraudulent activity, data breaches or failures of our information security controls or cybersecurity-related incidents that may compromise our systems or customers’ information;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in the operations of our computer systems and data centers;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new technology, products, and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alleged infringement of intellectual property rights of others and our ability to protect our intellectual property;</w:t>
      </w:r>
    </w:p>
    <w:p>
      <w:pPr>
        <w:spacing w:after="0" w:line="11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supervision, and examination of our business by foreign and domestic governmental authorities, as well as litigation and regulatory actions, including the lawsuit filed by the Federal Trade Commission (FTC);</w:t>
      </w:r>
    </w:p>
    <w:p>
      <w:pPr>
        <w:spacing w:after="0" w:line="5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and related requirements relating to privacy, information security and data protection; derivative contracts and hedging activities; use of third-party vendors and ongoing third-party business relationships; and failure to comply with anti-money laundering (AML) and anti-terrorism financing laws;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team and our ability to attract, motivate and retain qualified personnel consistent with our strategic plan;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legislation initiatives or challenges to our tax positions and/or interpretations, and state sales tax rules and regulations;</w:t>
      </w:r>
    </w:p>
    <w:p>
      <w:pPr>
        <w:spacing w:after="0" w:line="11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mergers, acquisitions and divestitures, including, without limitation, the related time and costs of implementing such transactions, integrating operations as part of these transactions and possible failures to achieve expected gains, revenue growth and/or expense savings from such transactions;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weaknesses and the ongoing effectiveness of internal control over financial reporting;</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both"/>
        <w:ind w:left="340" w:right="2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restatement of prior quarterly financial statements discussed in our Annual Report on Form 10-K for the year ended December 31, 2023 may affect investor confidence and raise reputational issues and may subject us to additional risks and uncertainties, including increased professional costs and the increased possibility of legal proceedings and regulatory inquiries; and</w:t>
      </w:r>
    </w:p>
    <w:p>
      <w:pPr>
        <w:spacing w:after="0" w:line="67"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and information in our Annual Report on Form 10-K and other filings that we make with the Securities and Exchange Commission (SEC) under the Exchange Act and Securities Act. See "Risk Factors" in our Annual Report on Form 10-K for the year ended December 31, 2023 filed with the Securities and Exchange Commission on February 29, 2024.</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get Corpay’s SEC filings for free by visiting the SEC web site at www.sec.gov.</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report includes non-GAAP financial measures, which are used by Corpay and investors as supplemental measures to evaluate the overall operating performance of companies in our industry. By providing these non-GAAP financial measures, together with reconciliations, we believe we are enhancing investors' understanding of our business and our results of operations, as well as assisting investors in evaluating how well we are executing strategic initiatives. See "Management’s Use of Non-GAAP Financial Measures" elsewhere in this Quarterly Report on Form 10-Q for additional information regarding these GAAP financial measures and a reconciliation to the nearest corresponding GAAP measure.</w:t>
      </w:r>
    </w:p>
    <w:p>
      <w:pPr>
        <w:spacing w:after="0" w:line="35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2024, there have been no material changes to our market risk from that disclosed in our Annual Report on Form 10-K for the year ended December 31, 2023.</w:t>
      </w:r>
    </w:p>
    <w:p>
      <w:pPr>
        <w:spacing w:after="0" w:line="33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of March 31, 2024,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and as a result of the material weaknesses described below, our Chief Executive Officer and Chief Financial Officer concluded that, as of March 31, 2024, our disclosure controls and procedures were not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not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2023, we identified the following material weaknesses in internal controls:</w:t>
      </w:r>
    </w:p>
    <w:p>
      <w:pPr>
        <w:spacing w:after="0" w:line="54" w:lineRule="exact"/>
        <w:rPr>
          <w:sz w:val="20"/>
          <w:szCs w:val="20"/>
          <w:color w:val="auto"/>
        </w:rPr>
      </w:pPr>
    </w:p>
    <w:p>
      <w:pPr>
        <w:ind w:left="660" w:right="160" w:hanging="4"/>
        <w:spacing w:after="0" w:line="261" w:lineRule="auto"/>
        <w:tabs>
          <w:tab w:leader="none" w:pos="9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in internal control related to ineffective information technology general controls (ITGCs) in the area of user access management over certain information technology systems used in the execution of controls that support the Company’s financial reporting processes. Our business process application and manual controls that are dependent on the affected ITGCs were also deemed ineffective because they could have been adversely impacted.</w:t>
      </w:r>
    </w:p>
    <w:p>
      <w:pPr>
        <w:spacing w:after="0" w:line="7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resulting from ineffective controls over the application of U.S. GAAP guidance related to the balance sheet recognition of customer funds held for the benefit of others, which resulted in the restatement of previously issued 2023 interim consolidated financial statements as further discussed within our Annual Report on Form 10-K.</w:t>
      </w:r>
    </w:p>
    <w:p>
      <w:pPr>
        <w:spacing w:after="0" w:line="6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a result of the material weaknesses, identified, the Company has begun updating its internal control over financial reporting as discussed in its remediation plan updated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Update</w:t>
      </w:r>
    </w:p>
    <w:p>
      <w:pPr>
        <w:spacing w:after="0" w:line="119" w:lineRule="exact"/>
        <w:rPr>
          <w:sz w:val="20"/>
          <w:szCs w:val="20"/>
          <w:color w:val="auto"/>
        </w:rPr>
      </w:pPr>
    </w:p>
    <w:p>
      <w:pPr>
        <w:ind w:left="660" w:right="80" w:hanging="4"/>
        <w:spacing w:after="0" w:line="261" w:lineRule="auto"/>
        <w:tabs>
          <w:tab w:leader="none" w:pos="9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been implementing and continues to implement measures designed to ensure that control deficiencies contributing to the ITGC material weakness are remediated, such that these controls are designed, implemented, and operating effectively. The remediation actions include: (i) enhancing the information technology compliance oversight function; (ii) developing a training program addressing ITGCs and policies, including educating</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control owners concerning the principles and requirements of internal controls, with a focus on those related to user access over information technology systems impacting financial reporting; (iii) developing and maintaining documentation underlying ITGCs to enhance the information evidencing the performance of ITGCs; (iv) developing enhanced integration functionality and controls related to the ongoing implementation of user access information technology system; (v) enhancing the information technology management review and testing plan to monitor ITGCs with a specific focus on systems supporting our financial reporting processes; and (vi) enhancing quarterly reporting on the remediation measures to the Audit Committee of the Board.</w:t>
      </w:r>
    </w:p>
    <w:p>
      <w:pPr>
        <w:spacing w:after="0" w:line="214" w:lineRule="exact"/>
        <w:rPr>
          <w:sz w:val="20"/>
          <w:szCs w:val="20"/>
          <w:color w:val="auto"/>
        </w:rPr>
      </w:pPr>
    </w:p>
    <w:p>
      <w:pPr>
        <w:ind w:left="660" w:right="160"/>
        <w:spacing w:after="0" w:line="266" w:lineRule="auto"/>
        <w:rPr>
          <w:sz w:val="20"/>
          <w:szCs w:val="20"/>
          <w:color w:val="auto"/>
        </w:rPr>
      </w:pPr>
      <w:r>
        <w:rPr>
          <w:rFonts w:ascii="Times New Roman" w:cs="Times New Roman" w:eastAsia="Times New Roman" w:hAnsi="Times New Roman"/>
          <w:sz w:val="18"/>
          <w:szCs w:val="18"/>
          <w:color w:val="auto"/>
        </w:rPr>
        <w:t>We believe that these actions will remediate the material weakness. The material weakness will not be considered remediated, however, until the applicable controls operate for a sufficient period of time and our management has concluded, through testing, that these controls are operating effectively.</w:t>
      </w:r>
    </w:p>
    <w:p>
      <w:pPr>
        <w:spacing w:after="0" w:line="203" w:lineRule="exact"/>
        <w:rPr>
          <w:sz w:val="20"/>
          <w:szCs w:val="20"/>
          <w:color w:val="auto"/>
        </w:rPr>
      </w:pPr>
    </w:p>
    <w:p>
      <w:pPr>
        <w:jc w:val="both"/>
        <w:ind w:left="660" w:right="340" w:hanging="4"/>
        <w:spacing w:after="0" w:line="281" w:lineRule="auto"/>
        <w:tabs>
          <w:tab w:leader="none" w:pos="9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has developed enhanced monitoring and oversight controls in the application of U.S. GAAP guidance pertaining to customer funds held for the benefit of others. We believe that these actions have remediated the material weakness, but the material weakness cannot be considered fully remediated until the improved controls have been in place and operate for a sufficient period of time to enable testing of the operating effectiveness of the controls. We expect that the remediation of this material weakness will be completed by the end of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Other than the changes to our internal control over financial reporting described above, there were no changes in our internal control over financial reporting (as defined in Rules 13a-15(f) or 15d-15(f) of the Exchange Act) during the quarter ended March 31, 2024, that have materially affected, or are reasonably likely to materially affect, our internal control over financial reporting.</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Lawsuits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January 20, 2023, the previous State Derivative Action plaintiffs filed a new derivative lawsuit in the Superior Court of Gwinnett County, Georgia. The new lawsuit, </w:t>
      </w:r>
      <w:r>
        <w:rPr>
          <w:rFonts w:ascii="Times New Roman" w:cs="Times New Roman" w:eastAsia="Times New Roman" w:hAnsi="Times New Roman"/>
          <w:sz w:val="18"/>
          <w:szCs w:val="18"/>
          <w:i w:val="1"/>
          <w:iCs w:val="1"/>
          <w:color w:val="auto"/>
        </w:rPr>
        <w:t>City of Aventura Police Officers’ Retirement Fund, derivatively on behalf of FleetCor Technologies, Inc. v. Ronald F. Clarke and Eric R. Dey</w:t>
      </w:r>
      <w:r>
        <w:rPr>
          <w:rFonts w:ascii="Times New Roman" w:cs="Times New Roman" w:eastAsia="Times New Roman" w:hAnsi="Times New Roman"/>
          <w:sz w:val="18"/>
          <w:szCs w:val="18"/>
          <w:color w:val="auto"/>
        </w:rPr>
        <w:t>,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J</w:t>
      </w:r>
      <w:r>
        <w:rPr>
          <w:rFonts w:ascii="Times New Roman" w:cs="Times New Roman" w:eastAsia="Times New Roman" w:hAnsi="Times New Roman"/>
          <w:sz w:val="18"/>
          <w:szCs w:val="18"/>
          <w:i w:val="1"/>
          <w:iCs w:val="1"/>
          <w:color w:val="auto"/>
        </w:rPr>
        <w:t>errell Whitten, derivatively on behalf of FleetCor Technologies,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Ronald F. Clarke and Eric R. Dey</w:t>
      </w:r>
      <w:r>
        <w:rPr>
          <w:rFonts w:ascii="Times New Roman" w:cs="Times New Roman" w:eastAsia="Times New Roman" w:hAnsi="Times New Roman"/>
          <w:sz w:val="18"/>
          <w:szCs w:val="18"/>
          <w:color w:val="auto"/>
        </w:rPr>
        <w:t>, against Mr. Clarke and Mr. Dey in Gwinnett County, Georgia. On May 1, 2024, both pending derivative cases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to the Fulton County Metro Atlanta Business Case Division and consolidated as </w:t>
      </w:r>
      <w:r>
        <w:rPr>
          <w:rFonts w:ascii="Times New Roman" w:cs="Times New Roman" w:eastAsia="Times New Roman" w:hAnsi="Times New Roman"/>
          <w:sz w:val="18"/>
          <w:szCs w:val="18"/>
          <w:i w:val="1"/>
          <w:iCs w:val="1"/>
          <w:color w:val="auto"/>
        </w:rPr>
        <w:t>In re Corpay, Inc. Shareholder Derivative Litigation</w:t>
      </w:r>
      <w:r>
        <w:rPr>
          <w:rFonts w:ascii="Times New Roman" w:cs="Times New Roman" w:eastAsia="Times New Roman" w:hAnsi="Times New Roman"/>
          <w:sz w:val="18"/>
          <w:szCs w:val="18"/>
          <w:color w:val="auto"/>
        </w:rPr>
        <w:t>, CAFN 2023CV383303 (consolidated with CAFN 2023CV381421). The defendants dispute the allegations in the consolidated derivative action and intend to vigorously defend against the claims.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Investigation</w:t>
      </w:r>
    </w:p>
    <w:p>
      <w:pPr>
        <w:spacing w:after="0" w:line="1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On December 20, 2019, the FTC filed a lawsuit in the Northern District of Georgia against the Company and Ron Clarke. See FTC v. FLEETCOR and Ronald F. Clarke, No. 19-cv-05727 (N.D. Ga.). The complaint alleges the Company and Ron Clarke violated the FTC Act’s prohibitions on unfair and deceptive acts and practices. The complaint seeks among other things injunctive relief, consumer redress, and costs of suit. The Company continues to believe that the FTC’s claims are without merit and these matters are not and will not be material to the Company’s financial performance.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FLEETCOR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Company opposed the FTC’s motion for a stay or to voluntarily dismiss, and the court denied the FTC’s motion on February 7, 2022. In the meantime, the FTC’s administrative action is stayed.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The Company intends to appeal this decision after final judgment is issued. On October 20-21, 2022, the court held a hearing on the scope of injunctive relief. At the conclusion of the hearing, the Court did not enter either the FTC’s proposed order or the Company’s proposed order, and instead suggested that the parties enter mediation. Following mediation, both parties filed proposed orders with the Court.</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8, 2023, the Court issued an Order for Permanent Injunction and Other Relief. The Company filed its notice of appeal to the United States Court of Appeals for the Eleventh Circuit on August 3, 2023. On August 17, 2023, the FTC Commission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ordered that the stay of the parallel Section 5 administration action will remain in place during the pendency of the Eleventh Circuit appeal. The Company has incurred and continues to incur legal and other fees related to this FTC complaint. Any settlement of this matter, or defense against the lawsuit, could involve costs to the Company, including legal fees, redress, penalties, and remediation expenses.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and Part II, Item 1A, "Risk Factors" in other reports we file with the Securities and Exchange Commission, from time to time, all of which could materially affect our business, financial condition or future results. There have been no material changes in our risk factors from those disclosed under the caption "Item 1A. Risk factors" to our annual report on Form 10-K for the year ended December 31, 2023.</w:t>
      </w: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Securities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announced on February 4, 2016 that its Board approved a stock repurchase program (as updated from time to time, the "Program") authorizing the Company to repurchase its common stock from time to time until February 4, 2025. On January 25, 2024, the Board authorized an increase to the aggregate size of the Program by $1.0 billion to $8.1 billion. Since the beginning of the Program through March 31, 2024, 29,975,624 shares have been repurchased for an aggregate purchase price of $6.9 billion, leaving the Company up to $1.2 billion of remaining authorization available under the Program for future repurchases in shares of its common stock.</w:t>
      </w:r>
    </w:p>
    <w:p>
      <w:pPr>
        <w:spacing w:after="0" w:line="1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March 31, 2024, with respect to purchases of common stock of the Company made during the three months ended March 31, 2024 by the Company as defined in Rule 10b-18(a)(3) under the Exchange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Value that May</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the</w:t>
            </w:r>
          </w:p>
        </w:tc>
        <w:tc>
          <w:tcPr>
            <w:tcW w:w="120" w:type="dxa"/>
            <w:vAlign w:val="bottom"/>
          </w:tcPr>
          <w:p>
            <w:pPr>
              <w:spacing w:after="0"/>
              <w:rPr>
                <w:sz w:val="12"/>
                <w:szCs w:val="12"/>
                <w:color w:val="auto"/>
              </w:rPr>
            </w:pPr>
          </w:p>
        </w:tc>
        <w:tc>
          <w:tcPr>
            <w:tcW w:w="162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146"/>
        </w:trPr>
        <w:tc>
          <w:tcPr>
            <w:tcW w:w="454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6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620" w:type="dxa"/>
            <w:vAlign w:val="bottom"/>
          </w:tcPr>
          <w:p>
            <w:pPr>
              <w:jc w:val="center"/>
              <w:ind w:right="24"/>
              <w:spacing w:after="0" w:line="146" w:lineRule="exact"/>
              <w:rPr>
                <w:sz w:val="20"/>
                <w:szCs w:val="20"/>
                <w:color w:val="auto"/>
              </w:rPr>
            </w:pPr>
            <w:r>
              <w:rPr>
                <w:rFonts w:ascii="Times New Roman" w:cs="Times New Roman" w:eastAsia="Times New Roman" w:hAnsi="Times New Roman"/>
                <w:sz w:val="14"/>
                <w:szCs w:val="14"/>
                <w:b w:val="1"/>
                <w:bCs w:val="1"/>
                <w:color w:val="auto"/>
              </w:rPr>
              <w:t>the Publicly Announced</w:t>
            </w:r>
          </w:p>
        </w:tc>
        <w:tc>
          <w:tcPr>
            <w:tcW w:w="0" w:type="dxa"/>
            <w:vAlign w:val="bottom"/>
          </w:tcPr>
          <w:p>
            <w:pPr>
              <w:spacing w:after="0"/>
              <w:rPr>
                <w:sz w:val="1"/>
                <w:szCs w:val="1"/>
                <w:color w:val="auto"/>
              </w:rPr>
            </w:pPr>
          </w:p>
        </w:tc>
      </w:tr>
      <w:tr>
        <w:trPr>
          <w:trHeight w:val="203"/>
        </w:trPr>
        <w:tc>
          <w:tcPr>
            <w:tcW w:w="4540" w:type="dxa"/>
            <w:vAlign w:val="bottom"/>
            <w:gridSpan w:val="2"/>
            <w:vMerge w:val="continue"/>
          </w:tcPr>
          <w:p>
            <w:pPr>
              <w:spacing w:after="0"/>
              <w:rPr>
                <w:sz w:val="17"/>
                <w:szCs w:val="17"/>
                <w:color w:val="auto"/>
              </w:rPr>
            </w:pPr>
          </w:p>
        </w:tc>
        <w:tc>
          <w:tcPr>
            <w:tcW w:w="17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7"/>
                <w:szCs w:val="17"/>
                <w:color w:val="auto"/>
              </w:rPr>
            </w:pPr>
          </w:p>
        </w:tc>
        <w:tc>
          <w:tcPr>
            <w:tcW w:w="16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Plan (in thousands)</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2024 through January 31, 2024</w:t>
            </w:r>
          </w:p>
        </w:tc>
        <w:tc>
          <w:tcPr>
            <w:tcW w:w="2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through February 29, 2024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272.53</w:t>
            </w:r>
          </w:p>
        </w:tc>
        <w:tc>
          <w:tcPr>
            <w:tcW w:w="10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2024 through March 31, 2024</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1,237,560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right="960" w:firstLine="6"/>
        <w:spacing w:after="0" w:line="208" w:lineRule="auto"/>
        <w:tabs>
          <w:tab w:leader="none" w:pos="107"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quarter ended March 31, 2024, pursuant to our Stock Incentive Plan, we withheld 147,777 shares, at an average price per share of $285.96, in order to satisfy employees' tax withholding obligations in connection with the vesting of awards of restricted stock.</w:t>
      </w:r>
    </w:p>
    <w:p>
      <w:pPr>
        <w:spacing w:after="0" w:line="28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 director or executive officer of the Company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7"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p>
      <w:pPr>
        <w:spacing w:after="0" w:line="3"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360" w:type="dxa"/>
            <w:vAlign w:val="bottom"/>
            <w:gridSpan w:val="4"/>
          </w:tcPr>
          <w:p>
            <w:pPr>
              <w:jc w:val="center"/>
              <w:spacing w:after="0"/>
              <w:rPr>
                <w:rFonts w:ascii="Times New Roman" w:cs="Times New Roman" w:eastAsia="Times New Roman" w:hAnsi="Times New Roman"/>
                <w:sz w:val="18"/>
                <w:szCs w:val="18"/>
                <w:color w:val="0000FF"/>
                <w:w w:val="97"/>
              </w:rPr>
            </w:pPr>
            <w:hyperlink r:id="rId72">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540" w:type="dxa"/>
            <w:vAlign w:val="bottom"/>
          </w:tcPr>
          <w:p>
            <w:pPr>
              <w:spacing w:after="0"/>
              <w:rPr>
                <w:sz w:val="17"/>
                <w:szCs w:val="17"/>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FLEETCOR Technologies, Inc., now known as Corpay, Inc., conformed</w:t>
            </w:r>
          </w:p>
        </w:tc>
      </w:tr>
      <w:tr>
        <w:trPr>
          <w:trHeight w:val="151"/>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to reflect amendments through June 9, 2022 (incorporated by reference to Exhibit 3.1 to the registrant’s Current Report on</w:t>
            </w: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10-K, File No. 001-35004, filed with the SEC on February 28, 2023)</w:t>
            </w:r>
          </w:p>
        </w:tc>
      </w:tr>
      <w:tr>
        <w:trPr>
          <w:trHeight w:val="243"/>
        </w:trPr>
        <w:tc>
          <w:tcPr>
            <w:tcW w:w="320" w:type="dxa"/>
            <w:vAlign w:val="bottom"/>
            <w:gridSpan w:val="3"/>
          </w:tcPr>
          <w:p>
            <w:pPr>
              <w:jc w:val="center"/>
              <w:ind w:left="10"/>
              <w:spacing w:after="0"/>
              <w:rPr>
                <w:rFonts w:ascii="Times New Roman" w:cs="Times New Roman" w:eastAsia="Times New Roman" w:hAnsi="Times New Roman"/>
                <w:sz w:val="18"/>
                <w:szCs w:val="18"/>
                <w:color w:val="3051F2"/>
                <w:w w:val="97"/>
              </w:rPr>
            </w:pPr>
            <w:hyperlink r:id="rId73">
              <w:r>
                <w:rPr>
                  <w:rFonts w:ascii="Times New Roman" w:cs="Times New Roman" w:eastAsia="Times New Roman" w:hAnsi="Times New Roman"/>
                  <w:sz w:val="18"/>
                  <w:szCs w:val="18"/>
                  <w:color w:val="3051F2"/>
                  <w:w w:val="97"/>
                </w:rPr>
                <w:t>3.</w:t>
              </w:r>
            </w:hyperlink>
            <w:r>
              <w:rPr>
                <w:rFonts w:ascii="Times New Roman" w:cs="Times New Roman" w:eastAsia="Times New Roman" w:hAnsi="Times New Roman"/>
                <w:sz w:val="18"/>
                <w:szCs w:val="18"/>
                <w:u w:val="single" w:color="auto"/>
                <w:color w:val="3051F2"/>
                <w:w w:val="97"/>
              </w:rPr>
              <w:t>2</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Certificate of Ownership and Merger Merging CPAY Merger Sub, Inc. into FLEETCOR Technologies, Inc. effective on March</w:t>
            </w:r>
          </w:p>
        </w:tc>
      </w:tr>
      <w:tr>
        <w:trPr>
          <w:trHeight w:val="151"/>
        </w:trPr>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3051F2"/>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24, 2024 (incorporated by reference to Exhibit 3.1 to the Registrant’s Current Report on Form 8-K, File No. 001-35004, filed</w:t>
            </w: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 the SEC on March 7, 2024)</w:t>
            </w:r>
          </w:p>
        </w:tc>
      </w:tr>
      <w:tr>
        <w:trPr>
          <w:trHeight w:val="243"/>
        </w:trPr>
        <w:tc>
          <w:tcPr>
            <w:tcW w:w="320" w:type="dxa"/>
            <w:vAlign w:val="bottom"/>
            <w:gridSpan w:val="3"/>
          </w:tcPr>
          <w:p>
            <w:pPr>
              <w:jc w:val="center"/>
              <w:ind w:left="10"/>
              <w:spacing w:after="0"/>
              <w:rPr>
                <w:rFonts w:ascii="Times New Roman" w:cs="Times New Roman" w:eastAsia="Times New Roman" w:hAnsi="Times New Roman"/>
                <w:sz w:val="18"/>
                <w:szCs w:val="18"/>
                <w:color w:val="0000FF"/>
                <w:w w:val="97"/>
              </w:rPr>
            </w:pPr>
            <w:hyperlink r:id="rId7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Corpay, Inc. Amended and Restated Bylaws, effective as of March 24, 2024 (incorporated by reference to Exhibit 3.2 to the</w:t>
            </w:r>
          </w:p>
        </w:tc>
      </w:tr>
      <w:tr>
        <w:trPr>
          <w:trHeight w:val="214"/>
        </w:trPr>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Registrant’s Current Report on Form 8-K, File No. 001-35004, filed with the SEC on March 7, 2024)</w:t>
            </w:r>
          </w:p>
        </w:tc>
      </w:tr>
      <w:tr>
        <w:trPr>
          <w:trHeight w:val="238"/>
        </w:trPr>
        <w:tc>
          <w:tcPr>
            <w:tcW w:w="900" w:type="dxa"/>
            <w:vAlign w:val="bottom"/>
            <w:gridSpan w:val="5"/>
          </w:tcPr>
          <w:p>
            <w:pPr>
              <w:jc w:val="center"/>
              <w:ind w:right="480"/>
              <w:spacing w:after="0"/>
              <w:rPr>
                <w:rFonts w:ascii="Times New Roman" w:cs="Times New Roman" w:eastAsia="Times New Roman" w:hAnsi="Times New Roman"/>
                <w:sz w:val="18"/>
                <w:szCs w:val="18"/>
                <w:color w:val="0000FF"/>
                <w:w w:val="95"/>
              </w:rPr>
            </w:pPr>
            <w:hyperlink r:id="rId7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Fourteenth Amendment to the Credit Agreement, dated as of January 31, 2024 among FLEETCOR Technologies Operating</w:t>
            </w:r>
          </w:p>
        </w:tc>
      </w:tr>
      <w:tr>
        <w:trPr>
          <w:trHeight w:val="151"/>
        </w:trPr>
        <w:tc>
          <w:tcPr>
            <w:tcW w:w="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Company, LLC, as the Company, Corpay, Inc, as the Parent, Cambridge Mercantile Corp. (USA) as the additional borrower,</w:t>
            </w:r>
          </w:p>
        </w:tc>
      </w:tr>
      <w:tr>
        <w:trPr>
          <w:trHeight w:val="180"/>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2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w w:val="99"/>
              </w:rPr>
              <w:t>Bank of America, N.A., as administrative agent, a domestic swing line lender, the foreign swing line lender and the L/C issuer,</w:t>
            </w:r>
          </w:p>
        </w:tc>
      </w:tr>
      <w:tr>
        <w:trPr>
          <w:trHeight w:val="176"/>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and the other lenders party hereto (incorporated by reference to Exhibit 10.64 to the registrant's Form 10-K, File No. 001-</w:t>
            </w: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35004, filed with the SEC on February 29, 2024)</w:t>
            </w:r>
          </w:p>
        </w:tc>
      </w:tr>
      <w:tr>
        <w:trPr>
          <w:trHeight w:val="252"/>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and rule 15d-14(a) of the Securities Exchange Act, as</w:t>
            </w:r>
          </w:p>
        </w:tc>
      </w:tr>
      <w:tr>
        <w:trPr>
          <w:trHeight w:val="214"/>
        </w:trPr>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r>
              <w:rPr>
                <w:rFonts w:ascii="Times New Roman" w:cs="Times New Roman" w:eastAsia="Times New Roman" w:hAnsi="Times New Roman"/>
                <w:sz w:val="18"/>
                <w:szCs w:val="18"/>
                <w:color w:val="000000"/>
                <w:w w:val="98"/>
              </w:rPr>
              <w:t>*</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and rule 15d-14(a) of the Securities Exchange Act, as</w:t>
            </w:r>
          </w:p>
        </w:tc>
      </w:tr>
      <w:tr>
        <w:trPr>
          <w:trHeight w:val="214"/>
        </w:trPr>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18 U.S.C. 1350, as adopted pursuant to Section 906 of the Sarbanes-Oxley</w:t>
            </w:r>
          </w:p>
        </w:tc>
      </w:tr>
      <w:tr>
        <w:trPr>
          <w:trHeight w:val="214"/>
        </w:trPr>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38"/>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2</w:t>
            </w:r>
            <w:r>
              <w:rPr>
                <w:rFonts w:ascii="Times New Roman" w:cs="Times New Roman" w:eastAsia="Times New Roman" w:hAnsi="Times New Roman"/>
                <w:sz w:val="18"/>
                <w:szCs w:val="18"/>
                <w:color w:val="000000"/>
                <w:w w:val="98"/>
              </w:rPr>
              <w:t>*</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1350, as adopted pursuant to Section 906 of the Sarbanes-Oxley</w:t>
            </w:r>
          </w:p>
        </w:tc>
      </w:tr>
      <w:tr>
        <w:trPr>
          <w:trHeight w:val="214"/>
        </w:trPr>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25"/>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financial information for the Registrant formatted in XBRL (Extensible Business Reporting Language): (i) the</w:t>
            </w:r>
          </w:p>
        </w:tc>
      </w:tr>
      <w:tr>
        <w:trPr>
          <w:trHeight w:val="184"/>
        </w:trPr>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2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Consolidated Balance Sheets, (ii) the Unaudited Consolidated Statements of Income, (iii) the Unaudited Consolidated</w:t>
            </w:r>
          </w:p>
        </w:tc>
      </w:tr>
      <w:tr>
        <w:trPr>
          <w:trHeight w:val="180"/>
        </w:trPr>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2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(iv) the Unaudited Consolidated Statements of Cash Flows and (v) the Notes to</w:t>
            </w:r>
          </w:p>
        </w:tc>
      </w:tr>
      <w:tr>
        <w:trPr>
          <w:trHeight w:val="234"/>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r>
      <w:tr>
        <w:trPr>
          <w:trHeight w:val="279"/>
        </w:trPr>
        <w:tc>
          <w:tcPr>
            <w:tcW w:w="9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104*</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their capacities indicated on May 9, 2024.</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Corpay, Inc.</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49"/>
        </w:trPr>
        <w:tc>
          <w:tcPr>
            <w:tcW w:w="49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80" w:type="dxa"/>
            <w:vAlign w:val="bottom"/>
          </w:tcPr>
          <w:p>
            <w:pPr>
              <w:spacing w:after="0"/>
              <w:rPr>
                <w:sz w:val="24"/>
                <w:szCs w:val="24"/>
                <w:color w:val="auto"/>
              </w:rPr>
            </w:pPr>
          </w:p>
        </w:tc>
        <w:tc>
          <w:tcPr>
            <w:tcW w:w="55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50"/>
        </w:trPr>
        <w:tc>
          <w:tcPr>
            <w:tcW w:w="492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Ronald F. Clarke</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145"/>
        </w:trPr>
        <w:tc>
          <w:tcPr>
            <w:tcW w:w="4920" w:type="dxa"/>
            <w:vAlign w:val="bottom"/>
            <w:tcBorders>
              <w:bottom w:val="single" w:sz="8" w:color="auto"/>
            </w:tcBorders>
            <w:vMerge w:val="continue"/>
          </w:tcPr>
          <w:p>
            <w:pPr>
              <w:spacing w:after="0"/>
              <w:rPr>
                <w:sz w:val="12"/>
                <w:szCs w:val="12"/>
                <w:color w:val="auto"/>
              </w:rPr>
            </w:pPr>
          </w:p>
        </w:tc>
        <w:tc>
          <w:tcPr>
            <w:tcW w:w="780" w:type="dxa"/>
            <w:vAlign w:val="bottom"/>
          </w:tcPr>
          <w:p>
            <w:pPr>
              <w:spacing w:after="0"/>
              <w:rPr>
                <w:sz w:val="12"/>
                <w:szCs w:val="12"/>
                <w:color w:val="auto"/>
              </w:rPr>
            </w:pPr>
          </w:p>
        </w:tc>
        <w:tc>
          <w:tcPr>
            <w:tcW w:w="5540" w:type="dxa"/>
            <w:vAlign w:val="bottom"/>
            <w:vMerge w:val="restart"/>
          </w:tcPr>
          <w:p>
            <w:pPr>
              <w:ind w:left="300"/>
              <w:spacing w:after="0" w:line="181" w:lineRule="exact"/>
              <w:rPr>
                <w:sz w:val="20"/>
                <w:szCs w:val="20"/>
                <w:color w:val="auto"/>
              </w:rPr>
            </w:pPr>
            <w:r>
              <w:rPr>
                <w:rFonts w:ascii="Times New Roman" w:cs="Times New Roman" w:eastAsia="Times New Roman" w:hAnsi="Times New Roman"/>
                <w:sz w:val="18"/>
                <w:szCs w:val="18"/>
                <w:color w:val="auto"/>
              </w:rPr>
              <w:t>Directors (Duly Authorized Officer and Principal</w:t>
            </w:r>
          </w:p>
        </w:tc>
        <w:tc>
          <w:tcPr>
            <w:tcW w:w="0" w:type="dxa"/>
            <w:vAlign w:val="bottom"/>
          </w:tcPr>
          <w:p>
            <w:pPr>
              <w:spacing w:after="0"/>
              <w:rPr>
                <w:sz w:val="1"/>
                <w:szCs w:val="1"/>
                <w:color w:val="auto"/>
              </w:rPr>
            </w:pPr>
          </w:p>
        </w:tc>
      </w:tr>
      <w:tr>
        <w:trPr>
          <w:trHeight w:val="21"/>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Ronald F. Clarke</w:t>
            </w:r>
          </w:p>
        </w:tc>
        <w:tc>
          <w:tcPr>
            <w:tcW w:w="780" w:type="dxa"/>
            <w:vAlign w:val="bottom"/>
          </w:tcPr>
          <w:p>
            <w:pPr>
              <w:spacing w:after="0" w:line="20" w:lineRule="exact"/>
              <w:rPr>
                <w:sz w:val="1"/>
                <w:szCs w:val="1"/>
                <w:color w:val="auto"/>
              </w:rPr>
            </w:pPr>
          </w:p>
        </w:tc>
        <w:tc>
          <w:tcPr>
            <w:tcW w:w="5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2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49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Tom Panther</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r>
        <w:trPr>
          <w:trHeight w:val="40"/>
        </w:trPr>
        <w:tc>
          <w:tcPr>
            <w:tcW w:w="49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5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Panther</w:t>
            </w:r>
          </w:p>
        </w:tc>
        <w:tc>
          <w:tcPr>
            <w:tcW w:w="7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Panther, certify that:</w:t>
      </w:r>
    </w:p>
    <w:p>
      <w:pPr>
        <w:spacing w:after="0" w:line="117"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Tom Panther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Tom Panther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Corpay, Inc., a Delaware corporation (the “Company”), on Form 10-Q for the period ended March 31, 2024, as filed with the Securities and Exchange Commission (the “Report”), Ronald F. Clarke, Chief Executive Officer of the Company, does hereby certify, pursuant to § 906 of the Sarbanes-Oxley Act of 2002 (18 U.S.C. § 1350), that to his knowledge:</w:t>
      </w:r>
    </w:p>
    <w:p>
      <w:pPr>
        <w:spacing w:after="0" w:line="122" w:lineRule="exact"/>
        <w:rPr>
          <w:sz w:val="20"/>
          <w:szCs w:val="20"/>
          <w:color w:val="auto"/>
        </w:rPr>
      </w:pPr>
    </w:p>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719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of Corpay, Inc., a Delaware corporation (the “Company”), on Form 10-Q for the period ended March 31, 2024, as filed with the Securities and Exchange Commission (the “Report”), Tom Panther, Chief Financial Officer of the Company, does hereby certify, pursuant to</w:t>
      </w:r>
    </w:p>
    <w:p>
      <w:pPr>
        <w:spacing w:after="0" w:line="1"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(18 U.S.C. § 1350), that to his knowledge:</w:t>
      </w:r>
    </w:p>
    <w:p>
      <w:pPr>
        <w:spacing w:after="0" w:line="1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Tom Panther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465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Tom Panther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9, 2024</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6"/>
    </w:lvl>
  </w:abstractNum>
  <w:abstractNum w:abstractNumId="5">
    <w:nsid w:val="62BBD95A"/>
    <w:multiLevelType w:val="hybridMultilevel"/>
    <w:lvl w:ilvl="0">
      <w:lvlJc w:val="left"/>
      <w:lvlText w:val="1"/>
      <w:numFmt w:val="bullet"/>
      <w:start w:val="1"/>
    </w:lvl>
  </w:abstractNum>
  <w:abstractNum w:abstractNumId="6">
    <w:nsid w:val="436C6125"/>
    <w:multiLevelType w:val="hybridMultilevel"/>
    <w:lvl w:ilvl="0">
      <w:lvlJc w:val="left"/>
      <w:lvlText w:val="2"/>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decimal"/>
      <w:start w:val="15"/>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3"/>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bullet"/>
      <w:start w:val="1"/>
    </w:lvl>
  </w:abstractNum>
  <w:abstractNum w:abstractNumId="18">
    <w:nsid w:val="189A769B"/>
    <w:multiLevelType w:val="hybridMultilevel"/>
    <w:lvl w:ilvl="0">
      <w:lvlJc w:val="left"/>
      <w:lvlText w:val="2"/>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2"/>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2"/>
    </w:lvl>
  </w:abstractNum>
  <w:abstractNum w:abstractNumId="29">
    <w:nsid w:val="6CEAF087"/>
    <w:multiLevelType w:val="hybridMultilevel"/>
    <w:lvl w:ilvl="0">
      <w:lvlJc w:val="left"/>
      <w:lvlText w:val="1"/>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72" Type="http://schemas.openxmlformats.org/officeDocument/2006/relationships/hyperlink" Target="https://www.sec.gov/Archives/edgar/data/1175454/000162828023005444/ex31certificateofincorpora.htm" TargetMode="External"/><Relationship Id="rId73" Type="http://schemas.openxmlformats.org/officeDocument/2006/relationships/hyperlink" Target="https://www.sec.gov/Archives/edgar/data/1175454/000162828024010593/exhibit31certificateofowne.htm" TargetMode="External"/><Relationship Id="rId74" Type="http://schemas.openxmlformats.org/officeDocument/2006/relationships/hyperlink" Target="https://www.sec.gov/Archives/edgar/data/1175454/000162828024010593/exhibit32amendedandrestate.htm" TargetMode="External"/><Relationship Id="rId75" Type="http://schemas.openxmlformats.org/officeDocument/2006/relationships/hyperlink" Target="https://www.sec.gov/Archives/edgar/data/1175454/000162828024008060/ex106414thamendmenttothec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2024-05-09T08:18:19Z</dcterms:created>
  <dcterms:modified xsi:type="dcterms:W3CDTF">2024-05-09T08:18:19Z</dcterms:modified>
</cp:coreProperties>
</file>