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4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001-35004</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FleetCor Technologies, Inc.</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51"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170"/>
              <w:spacing w:after="0"/>
              <w:rPr>
                <w:sz w:val="20"/>
                <w:szCs w:val="20"/>
                <w:color w:val="auto"/>
              </w:rPr>
            </w:pPr>
            <w:r>
              <w:rPr>
                <w:rFonts w:ascii="Arial" w:cs="Arial" w:eastAsia="Arial" w:hAnsi="Arial"/>
                <w:sz w:val="18"/>
                <w:szCs w:val="18"/>
                <w:b w:val="1"/>
                <w:bCs w:val="1"/>
                <w:color w:val="auto"/>
              </w:rPr>
              <w:t>72-1074903</w:t>
            </w:r>
          </w:p>
        </w:tc>
      </w:tr>
      <w:tr>
        <w:trPr>
          <w:trHeight w:val="252"/>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(State or other jurisdiction of</w:t>
            </w:r>
          </w:p>
        </w:tc>
        <w:tc>
          <w:tcPr>
            <w:tcW w:w="2980" w:type="dxa"/>
            <w:vAlign w:val="bottom"/>
          </w:tcPr>
          <w:p>
            <w:pPr>
              <w:jc w:val="center"/>
              <w:ind w:left="1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incorporation or organization)</w:t>
            </w:r>
          </w:p>
        </w:tc>
        <w:tc>
          <w:tcPr>
            <w:tcW w:w="298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Identification No.)</w:t>
            </w:r>
          </w:p>
        </w:tc>
      </w:tr>
      <w:tr>
        <w:trPr>
          <w:trHeight w:val="392"/>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5445 Triangle Parkway, Peachtree Corners, Georgia</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30092</w:t>
            </w:r>
          </w:p>
        </w:tc>
      </w:tr>
      <w:tr>
        <w:trPr>
          <w:trHeight w:val="270"/>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80" w:type="dxa"/>
            <w:vAlign w:val="bottom"/>
          </w:tcPr>
          <w:p>
            <w:pPr>
              <w:jc w:val="center"/>
              <w:ind w:left="149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(770) 449-0479</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0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ind w:right="1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4900" w:type="dxa"/>
            <w:vAlign w:val="bottom"/>
            <w:gridSpan w:val="2"/>
          </w:tcPr>
          <w:p>
            <w:pPr>
              <w:jc w:val="center"/>
              <w:ind w:right="4500"/>
              <w:spacing w:after="0"/>
              <w:rPr>
                <w:sz w:val="20"/>
                <w:szCs w:val="20"/>
                <w:color w:val="auto"/>
              </w:rPr>
            </w:pPr>
            <w:r>
              <w:rPr>
                <w:rFonts w:ascii="Arial" w:cs="Arial" w:eastAsia="Arial" w:hAnsi="Arial"/>
                <w:sz w:val="18"/>
                <w:szCs w:val="18"/>
                <w:b w:val="1"/>
                <w:bCs w:val="1"/>
                <w:color w:val="auto"/>
                <w:w w:val="83"/>
              </w:rPr>
              <w:t>Class</w:t>
            </w:r>
          </w:p>
        </w:tc>
        <w:tc>
          <w:tcPr>
            <w:tcW w:w="39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0"/>
              </w:rPr>
              <w:t>Outstanding at August 1, 2018</w:t>
            </w:r>
          </w:p>
        </w:tc>
      </w:tr>
      <w:tr>
        <w:trPr>
          <w:trHeight w:val="20"/>
        </w:trPr>
        <w:tc>
          <w:tcPr>
            <w:tcW w:w="2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1"/>
        </w:trPr>
        <w:tc>
          <w:tcPr>
            <w:tcW w:w="748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0"/>
              </w:rPr>
              <w:t>Common Stock, $0.001 par value</w:t>
            </w:r>
          </w:p>
        </w:tc>
        <w:tc>
          <w:tcPr>
            <w:tcW w:w="2340" w:type="dxa"/>
            <w:vAlign w:val="bottom"/>
          </w:tcPr>
          <w:p>
            <w:pPr>
              <w:jc w:val="right"/>
              <w:ind w:right="670"/>
              <w:spacing w:after="0"/>
              <w:rPr>
                <w:sz w:val="20"/>
                <w:szCs w:val="20"/>
                <w:color w:val="auto"/>
              </w:rPr>
            </w:pPr>
            <w:r>
              <w:rPr>
                <w:rFonts w:ascii="Arial" w:cs="Arial" w:eastAsia="Arial" w:hAnsi="Arial"/>
                <w:sz w:val="18"/>
                <w:szCs w:val="18"/>
                <w:b w:val="1"/>
                <w:bCs w:val="1"/>
                <w:color w:val="auto"/>
              </w:rPr>
              <w:t>88,388,545</w:t>
            </w:r>
          </w:p>
        </w:tc>
        <w:tc>
          <w:tcPr>
            <w:tcW w:w="1560" w:type="dxa"/>
            <w:vAlign w:val="bottom"/>
          </w:tcPr>
          <w:p>
            <w:pPr>
              <w:spacing w:after="0"/>
              <w:rPr>
                <w:sz w:val="24"/>
                <w:szCs w:val="24"/>
                <w:color w:val="auto"/>
              </w:rPr>
            </w:pPr>
          </w:p>
        </w:tc>
      </w:tr>
      <w:tr>
        <w:trPr>
          <w:trHeight w:val="162"/>
        </w:trPr>
        <w:tc>
          <w:tcPr>
            <w:tcW w:w="2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Three and Six Month Periods Ended June 30, 2018</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4"/>
          </w:tcPr>
          <w:p>
            <w:pPr>
              <w:ind w:left="260"/>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660" w:type="dxa"/>
            <w:vAlign w:val="bottom"/>
            <w:gridSpan w:val="19"/>
          </w:tcPr>
          <w:p>
            <w:pPr>
              <w:spacing w:after="0"/>
              <w:rPr>
                <w:sz w:val="20"/>
                <w:szCs w:val="20"/>
                <w:color w:val="auto"/>
              </w:rPr>
            </w:pPr>
            <w:r>
              <w:rPr>
                <w:rFonts w:ascii="Arial" w:cs="Arial" w:eastAsia="Arial" w:hAnsi="Arial"/>
                <w:sz w:val="18"/>
                <w:szCs w:val="18"/>
                <w:b w:val="1"/>
                <w:bCs w:val="1"/>
                <w:color w:val="auto"/>
              </w:rPr>
              <w:t>PART I—FINANCIAL INFORMATION</w:t>
            </w: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June 30, 2018 (unaudited) and December 31, 2017</w:t>
              </w:r>
            </w:hyperlink>
          </w:p>
        </w:tc>
        <w:tc>
          <w:tcPr>
            <w:tcW w:w="460" w:type="dxa"/>
            <w:vAlign w:val="bottom"/>
            <w:gridSpan w:val="3"/>
          </w:tcPr>
          <w:p>
            <w:pPr>
              <w:jc w:val="center"/>
              <w:ind w:left="271"/>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Income for the Three and Six Months Ended June 30, 2018 and 2017</w:t>
              </w:r>
            </w:hyperlink>
          </w:p>
        </w:tc>
        <w:tc>
          <w:tcPr>
            <w:tcW w:w="460" w:type="dxa"/>
            <w:vAlign w:val="bottom"/>
            <w:gridSpan w:val="3"/>
          </w:tcPr>
          <w:p>
            <w:pPr>
              <w:jc w:val="center"/>
              <w:ind w:left="271"/>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2</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Unaudited Consolidated Statements of Comprehensive (Loss) Income for the Three and Six Months Ended June 30, 2018 and 2017</w:t>
              </w:r>
            </w:hyperlink>
          </w:p>
        </w:tc>
        <w:tc>
          <w:tcPr>
            <w:tcW w:w="460" w:type="dxa"/>
            <w:vAlign w:val="bottom"/>
            <w:gridSpan w:val="3"/>
          </w:tcPr>
          <w:p>
            <w:pPr>
              <w:jc w:val="center"/>
              <w:ind w:left="271"/>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3</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946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Statements of Cash Flows for the Six Months Ended June 30, 2018 and 2017</w:t>
              </w:r>
            </w:hyperlink>
          </w:p>
        </w:tc>
        <w:tc>
          <w:tcPr>
            <w:tcW w:w="28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4</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2380" w:type="dxa"/>
            <w:vAlign w:val="bottom"/>
            <w:tcBorders>
              <w:top w:val="single" w:sz="8" w:color="0000EE"/>
            </w:tcBorders>
            <w:gridSpan w:val="4"/>
          </w:tcPr>
          <w:p>
            <w:pPr>
              <w:spacing w:after="0"/>
              <w:rPr>
                <w:sz w:val="24"/>
                <w:szCs w:val="24"/>
                <w:color w:val="auto"/>
              </w:rPr>
            </w:pPr>
          </w:p>
        </w:tc>
        <w:tc>
          <w:tcPr>
            <w:tcW w:w="3420" w:type="dxa"/>
            <w:vAlign w:val="bottom"/>
            <w:gridSpan w:val="4"/>
          </w:tcPr>
          <w:p>
            <w:pPr>
              <w:spacing w:after="0"/>
              <w:rPr>
                <w:sz w:val="24"/>
                <w:szCs w:val="24"/>
                <w:color w:val="auto"/>
              </w:rPr>
            </w:pPr>
          </w:p>
        </w:tc>
        <w:tc>
          <w:tcPr>
            <w:tcW w:w="3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5</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3"/>
          </w:tcPr>
          <w:p>
            <w:pPr>
              <w:jc w:val="center"/>
              <w:ind w:left="19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gridSpan w:val="13"/>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QUANTITATIVE AND QUALITATIVE DISCLOSURES ABOUT MARKET RISK</w:t>
              </w:r>
            </w:hyperlink>
          </w:p>
        </w:tc>
        <w:tc>
          <w:tcPr>
            <w:tcW w:w="2760" w:type="dxa"/>
            <w:vAlign w:val="bottom"/>
            <w:gridSpan w:val="3"/>
          </w:tcPr>
          <w:p>
            <w:pPr>
              <w:spacing w:after="0"/>
              <w:rPr>
                <w:sz w:val="24"/>
                <w:szCs w:val="24"/>
                <w:color w:val="auto"/>
              </w:rPr>
            </w:pPr>
          </w:p>
        </w:tc>
        <w:tc>
          <w:tcPr>
            <w:tcW w:w="840" w:type="dxa"/>
            <w:vAlign w:val="bottom"/>
            <w:gridSpan w:val="2"/>
          </w:tcPr>
          <w:p>
            <w:pPr>
              <w:spacing w:after="0"/>
              <w:rPr>
                <w:sz w:val="24"/>
                <w:szCs w:val="24"/>
                <w:color w:val="auto"/>
              </w:rPr>
            </w:pPr>
          </w:p>
        </w:tc>
        <w:tc>
          <w:tcPr>
            <w:tcW w:w="460" w:type="dxa"/>
            <w:vAlign w:val="bottom"/>
            <w:gridSpan w:val="3"/>
          </w:tcPr>
          <w:p>
            <w:pPr>
              <w:jc w:val="center"/>
              <w:ind w:left="191"/>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CONTROLS AND PROCEDURES</w:t>
              </w:r>
            </w:hyperlink>
          </w:p>
        </w:tc>
        <w:tc>
          <w:tcPr>
            <w:tcW w:w="3540" w:type="dxa"/>
            <w:vAlign w:val="bottom"/>
            <w:gridSpan w:val="5"/>
          </w:tcPr>
          <w:p>
            <w:pPr>
              <w:spacing w:after="0"/>
              <w:rPr>
                <w:sz w:val="24"/>
                <w:szCs w:val="24"/>
                <w:color w:val="auto"/>
              </w:rPr>
            </w:pPr>
          </w:p>
        </w:tc>
        <w:tc>
          <w:tcPr>
            <w:tcW w:w="3600" w:type="dxa"/>
            <w:vAlign w:val="bottom"/>
            <w:gridSpan w:val="5"/>
          </w:tcPr>
          <w:p>
            <w:pPr>
              <w:spacing w:after="0"/>
              <w:rPr>
                <w:sz w:val="24"/>
                <w:szCs w:val="24"/>
                <w:color w:val="auto"/>
              </w:rPr>
            </w:pPr>
          </w:p>
        </w:tc>
        <w:tc>
          <w:tcPr>
            <w:tcW w:w="460" w:type="dxa"/>
            <w:vAlign w:val="bottom"/>
            <w:gridSpan w:val="3"/>
          </w:tcPr>
          <w:p>
            <w:pPr>
              <w:jc w:val="center"/>
              <w:ind w:left="191"/>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0660" w:type="dxa"/>
            <w:vAlign w:val="bottom"/>
            <w:gridSpan w:val="19"/>
          </w:tcPr>
          <w:p>
            <w:pPr>
              <w:spacing w:after="0"/>
              <w:rPr>
                <w:sz w:val="20"/>
                <w:szCs w:val="20"/>
                <w:color w:val="auto"/>
              </w:rPr>
            </w:pPr>
            <w:r>
              <w:rPr>
                <w:rFonts w:ascii="Arial" w:cs="Arial" w:eastAsia="Arial" w:hAnsi="Arial"/>
                <w:sz w:val="18"/>
                <w:szCs w:val="18"/>
                <w:b w:val="1"/>
                <w:bCs w:val="1"/>
                <w:color w:val="auto"/>
              </w:rPr>
              <w:t>PART II—OTHER INFORMATION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460" w:type="dxa"/>
            <w:vAlign w:val="bottom"/>
            <w:gridSpan w:val="3"/>
          </w:tcPr>
          <w:p>
            <w:pPr>
              <w:jc w:val="center"/>
              <w:ind w:left="19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86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7880" w:type="dxa"/>
            <w:vAlign w:val="bottom"/>
            <w:gridSpan w:val="14"/>
          </w:tcPr>
          <w:p>
            <w:pPr>
              <w:spacing w:after="0"/>
              <w:rPr>
                <w:sz w:val="24"/>
                <w:szCs w:val="24"/>
                <w:color w:val="auto"/>
              </w:rPr>
            </w:pPr>
          </w:p>
        </w:tc>
        <w:tc>
          <w:tcPr>
            <w:tcW w:w="460" w:type="dxa"/>
            <w:vAlign w:val="bottom"/>
            <w:gridSpan w:val="3"/>
          </w:tcPr>
          <w:p>
            <w:pPr>
              <w:jc w:val="center"/>
              <w:ind w:left="19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460" w:type="dxa"/>
            <w:vAlign w:val="bottom"/>
            <w:gridSpan w:val="3"/>
          </w:tcPr>
          <w:p>
            <w:pPr>
              <w:jc w:val="center"/>
              <w:ind w:left="19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180" w:type="dxa"/>
            <w:vAlign w:val="bottom"/>
            <w:gridSpan w:val="9"/>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DEFAULTS UPON SENIOR SECURITIES</w:t>
              </w:r>
            </w:hyperlink>
          </w:p>
        </w:tc>
        <w:tc>
          <w:tcPr>
            <w:tcW w:w="2880" w:type="dxa"/>
            <w:vAlign w:val="bottom"/>
            <w:gridSpan w:val="3"/>
          </w:tcPr>
          <w:p>
            <w:pPr>
              <w:spacing w:after="0"/>
              <w:rPr>
                <w:sz w:val="24"/>
                <w:szCs w:val="24"/>
                <w:color w:val="auto"/>
              </w:rPr>
            </w:pPr>
          </w:p>
        </w:tc>
        <w:tc>
          <w:tcPr>
            <w:tcW w:w="3680" w:type="dxa"/>
            <w:vAlign w:val="bottom"/>
            <w:gridSpan w:val="6"/>
          </w:tcPr>
          <w:p>
            <w:pPr>
              <w:spacing w:after="0"/>
              <w:rPr>
                <w:sz w:val="24"/>
                <w:szCs w:val="24"/>
                <w:color w:val="auto"/>
              </w:rPr>
            </w:pPr>
          </w:p>
        </w:tc>
        <w:tc>
          <w:tcPr>
            <w:tcW w:w="460" w:type="dxa"/>
            <w:vAlign w:val="bottom"/>
            <w:gridSpan w:val="3"/>
          </w:tcPr>
          <w:p>
            <w:pPr>
              <w:jc w:val="center"/>
              <w:ind w:left="19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440" w:type="dxa"/>
            <w:vAlign w:val="bottom"/>
            <w:gridSpan w:val="7"/>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MINE SAFETY DISCLOSURES</w:t>
              </w:r>
            </w:hyperlink>
          </w:p>
        </w:tc>
        <w:tc>
          <w:tcPr>
            <w:tcW w:w="740" w:type="dxa"/>
            <w:vAlign w:val="bottom"/>
            <w:gridSpan w:val="2"/>
          </w:tcPr>
          <w:p>
            <w:pPr>
              <w:spacing w:after="0"/>
              <w:rPr>
                <w:sz w:val="24"/>
                <w:szCs w:val="24"/>
                <w:color w:val="auto"/>
              </w:rPr>
            </w:pPr>
          </w:p>
        </w:tc>
        <w:tc>
          <w:tcPr>
            <w:tcW w:w="6560" w:type="dxa"/>
            <w:vAlign w:val="bottom"/>
            <w:gridSpan w:val="9"/>
          </w:tcPr>
          <w:p>
            <w:pPr>
              <w:spacing w:after="0"/>
              <w:rPr>
                <w:sz w:val="24"/>
                <w:szCs w:val="24"/>
                <w:color w:val="auto"/>
              </w:rPr>
            </w:pPr>
          </w:p>
        </w:tc>
        <w:tc>
          <w:tcPr>
            <w:tcW w:w="460" w:type="dxa"/>
            <w:vAlign w:val="bottom"/>
            <w:gridSpan w:val="3"/>
          </w:tcPr>
          <w:p>
            <w:pPr>
              <w:jc w:val="center"/>
              <w:ind w:left="19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300" w:type="dxa"/>
            <w:vAlign w:val="bottom"/>
            <w:gridSpan w:val="11"/>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880" w:type="dxa"/>
            <w:vAlign w:val="bottom"/>
            <w:gridSpan w:val="5"/>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OTHER INFORMATION</w:t>
              </w:r>
            </w:hyperlink>
          </w:p>
        </w:tc>
        <w:tc>
          <w:tcPr>
            <w:tcW w:w="560" w:type="dxa"/>
            <w:vAlign w:val="bottom"/>
            <w:gridSpan w:val="2"/>
          </w:tcPr>
          <w:p>
            <w:pPr>
              <w:spacing w:after="0"/>
              <w:rPr>
                <w:sz w:val="24"/>
                <w:szCs w:val="24"/>
                <w:color w:val="auto"/>
              </w:rPr>
            </w:pPr>
          </w:p>
        </w:tc>
        <w:tc>
          <w:tcPr>
            <w:tcW w:w="7300" w:type="dxa"/>
            <w:vAlign w:val="bottom"/>
            <w:gridSpan w:val="11"/>
          </w:tcPr>
          <w:p>
            <w:pPr>
              <w:spacing w:after="0"/>
              <w:rPr>
                <w:sz w:val="24"/>
                <w:szCs w:val="24"/>
                <w:color w:val="auto"/>
              </w:rPr>
            </w:pPr>
          </w:p>
        </w:tc>
        <w:tc>
          <w:tcPr>
            <w:tcW w:w="460" w:type="dxa"/>
            <w:vAlign w:val="bottom"/>
            <w:gridSpan w:val="3"/>
          </w:tcPr>
          <w:p>
            <w:pPr>
              <w:jc w:val="center"/>
              <w:ind w:left="19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EXHIBITS</w:t>
              </w:r>
            </w:hyperlink>
          </w:p>
        </w:tc>
        <w:tc>
          <w:tcPr>
            <w:tcW w:w="1060" w:type="dxa"/>
            <w:vAlign w:val="bottom"/>
            <w:gridSpan w:val="3"/>
          </w:tcPr>
          <w:p>
            <w:pPr>
              <w:spacing w:after="0"/>
              <w:rPr>
                <w:sz w:val="24"/>
                <w:szCs w:val="24"/>
                <w:color w:val="auto"/>
              </w:rPr>
            </w:pPr>
          </w:p>
        </w:tc>
        <w:tc>
          <w:tcPr>
            <w:tcW w:w="7860" w:type="dxa"/>
            <w:vAlign w:val="bottom"/>
            <w:gridSpan w:val="13"/>
          </w:tcPr>
          <w:p>
            <w:pPr>
              <w:spacing w:after="0"/>
              <w:rPr>
                <w:sz w:val="24"/>
                <w:szCs w:val="24"/>
                <w:color w:val="auto"/>
              </w:rPr>
            </w:pPr>
          </w:p>
        </w:tc>
        <w:tc>
          <w:tcPr>
            <w:tcW w:w="460" w:type="dxa"/>
            <w:vAlign w:val="bottom"/>
            <w:gridSpan w:val="3"/>
          </w:tcPr>
          <w:p>
            <w:pPr>
              <w:jc w:val="center"/>
              <w:ind w:left="191"/>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920" w:type="dxa"/>
            <w:vAlign w:val="bottom"/>
            <w:gridSpan w:val="1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1160" w:type="dxa"/>
            <w:vAlign w:val="bottom"/>
            <w:gridSpan w:val="2"/>
          </w:tcPr>
          <w:p>
            <w:pPr>
              <w:spacing w:after="0"/>
              <w:rPr>
                <w:rFonts w:ascii="Arial" w:cs="Arial" w:eastAsia="Arial" w:hAnsi="Arial"/>
                <w:sz w:val="18"/>
                <w:szCs w:val="18"/>
                <w:b w:val="1"/>
                <w:bCs w:val="1"/>
                <w:color w:val="0000EE"/>
                <w:w w:val="96"/>
              </w:rPr>
            </w:pPr>
            <w:hyperlink w:anchor="page54">
              <w:r>
                <w:rPr>
                  <w:rFonts w:ascii="Arial" w:cs="Arial" w:eastAsia="Arial" w:hAnsi="Arial"/>
                  <w:sz w:val="18"/>
                  <w:szCs w:val="18"/>
                  <w:b w:val="1"/>
                  <w:bCs w:val="1"/>
                  <w:color w:val="0000EE"/>
                  <w:w w:val="96"/>
                </w:rPr>
                <w:t>SIGNATURES</w:t>
              </w:r>
            </w:hyperlink>
          </w:p>
        </w:tc>
        <w:tc>
          <w:tcPr>
            <w:tcW w:w="9500" w:type="dxa"/>
            <w:vAlign w:val="bottom"/>
            <w:gridSpan w:val="17"/>
          </w:tcPr>
          <w:p>
            <w:pPr>
              <w:spacing w:after="0"/>
              <w:rPr>
                <w:sz w:val="24"/>
                <w:szCs w:val="24"/>
                <w:color w:val="auto"/>
              </w:rPr>
            </w:pPr>
          </w:p>
        </w:tc>
        <w:tc>
          <w:tcPr>
            <w:tcW w:w="460" w:type="dxa"/>
            <w:vAlign w:val="bottom"/>
            <w:gridSpan w:val="3"/>
          </w:tcPr>
          <w:p>
            <w:pPr>
              <w:jc w:val="center"/>
              <w:ind w:left="191"/>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100" w:type="dxa"/>
            <w:vAlign w:val="bottom"/>
          </w:tcPr>
          <w:p>
            <w:pPr>
              <w:spacing w:after="0"/>
              <w:rPr>
                <w:sz w:val="24"/>
                <w:szCs w:val="24"/>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60"/>
          </w:cols>
          <w:pgMar w:left="240" w:top="125"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4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Par Value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10"/>
              <w:spacing w:after="0"/>
              <w:rPr>
                <w:sz w:val="20"/>
                <w:szCs w:val="20"/>
                <w:color w:val="auto"/>
              </w:rPr>
            </w:pPr>
            <w:r>
              <w:rPr>
                <w:rFonts w:ascii="Arial" w:cs="Arial" w:eastAsia="Arial" w:hAnsi="Arial"/>
                <w:sz w:val="16"/>
                <w:szCs w:val="16"/>
                <w:b w:val="1"/>
                <w:bCs w:val="1"/>
                <w:color w:val="auto"/>
                <w:w w:val="89"/>
              </w:rPr>
              <w:t>June 30, 2018</w:t>
            </w:r>
            <w:r>
              <w:rPr>
                <w:rFonts w:ascii="Arial" w:cs="Arial" w:eastAsia="Arial" w:hAnsi="Arial"/>
                <w:sz w:val="21"/>
                <w:szCs w:val="21"/>
                <w:b w:val="1"/>
                <w:bCs w:val="1"/>
                <w:color w:val="auto"/>
                <w:w w:val="89"/>
                <w:vertAlign w:val="superscript"/>
              </w:rPr>
              <w:t>1</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w w:val="95"/>
              </w:rPr>
              <w:t>December 31, 2017</w:t>
            </w:r>
          </w:p>
        </w:tc>
      </w:tr>
      <w:tr>
        <w:trPr>
          <w:trHeight w:val="237"/>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919,662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913,595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265,776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217,275</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Accounts and other receivables (less allowance for doubtful accounts of $48,245 at June 30,</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7"/>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 and $46,031 at December 31, 2017)</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1,716,937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1,420,011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Securitized accounts receivable—restricted for securitization investors</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939,000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811,000</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207,832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187,820</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4,049,207</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3,549,701</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179,096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180,057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4,556,206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4,715,823</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2,515,232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2,724,957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39,859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32,859</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145,533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11,485,133</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11,318,359</w:t>
            </w:r>
          </w:p>
        </w:tc>
      </w:tr>
      <w:tr>
        <w:trPr>
          <w:trHeight w:val="67"/>
        </w:trPr>
        <w:tc>
          <w:tcPr>
            <w:tcW w:w="7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31"/>
        </w:trPr>
        <w:tc>
          <w:tcPr>
            <w:tcW w:w="7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1,532,741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1,437,314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214,682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238,472</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852,617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732,171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Securitization facility</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939,000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811,000</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notes payable and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976,685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805,512</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85,789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71,033</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4,601,514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4,095,502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Notes payable and other obligations, less current portion</w:t>
            </w: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2,832,316</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2,902,104</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498,918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518,912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113,300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125,319</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3,444,534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3,546,335</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29"/>
        </w:trPr>
        <w:tc>
          <w:tcPr>
            <w:tcW w:w="7320" w:type="dxa"/>
            <w:vAlign w:val="bottom"/>
          </w:tcPr>
          <w:p>
            <w:pPr>
              <w:ind w:left="380"/>
              <w:spacing w:after="0"/>
              <w:rPr>
                <w:sz w:val="20"/>
                <w:szCs w:val="20"/>
                <w:color w:val="auto"/>
              </w:rPr>
            </w:pPr>
            <w:r>
              <w:rPr>
                <w:rFonts w:ascii="Arial" w:cs="Arial" w:eastAsia="Arial" w:hAnsi="Arial"/>
                <w:sz w:val="18"/>
                <w:szCs w:val="18"/>
                <w:color w:val="auto"/>
                <w:w w:val="92"/>
              </w:rPr>
              <w:t>Common stock, $0.001 par value; 475,000,000 shares authorized; 122,551,794 shares issued</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w w:val="96"/>
              </w:rPr>
              <w:t>and 88,376,611 shares outstanding at June 30, 2018; and 122,083,059 shares issued and</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89,803,982 shares outstanding at December 31, 2017</w:t>
            </w:r>
          </w:p>
        </w:tc>
        <w:tc>
          <w:tcPr>
            <w:tcW w:w="3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2,277,227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2,214,224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3,357,962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2,958,921</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(870,688)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(551,857)</w:t>
            </w:r>
          </w:p>
        </w:tc>
      </w:tr>
      <w:tr>
        <w:trPr>
          <w:trHeight w:val="229"/>
        </w:trPr>
        <w:tc>
          <w:tcPr>
            <w:tcW w:w="7320" w:type="dxa"/>
            <w:vAlign w:val="bottom"/>
          </w:tcPr>
          <w:p>
            <w:pPr>
              <w:ind w:left="380"/>
              <w:spacing w:after="0"/>
              <w:rPr>
                <w:sz w:val="20"/>
                <w:szCs w:val="20"/>
                <w:color w:val="auto"/>
              </w:rPr>
            </w:pPr>
            <w:r>
              <w:rPr>
                <w:rFonts w:ascii="Arial" w:cs="Arial" w:eastAsia="Arial" w:hAnsi="Arial"/>
                <w:sz w:val="18"/>
                <w:szCs w:val="18"/>
                <w:color w:val="auto"/>
              </w:rPr>
              <w:t>Less treasury stock (34,175,183 shares at June 30, 2018 and 32,279,077 shares at</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December 31, 2017)</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(1,325,539)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(944,888)</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3,439,085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3,676,522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11,485,133</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11,318,359</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40" w:right="80"/>
        <w:spacing w:after="0" w:line="255"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Reflects the impact of the Company's adoption of Accounting Standards Update 2014-09, "Revenue from Contracts with Customers (Topic 606)"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 See footnote 1, "Summary of Significant Accounting Policies", in the accompanying notes to the unaudited consolidated financial statements.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125" w:right="239" w:bottom="665"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665"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270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2018¹</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2018¹</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584,985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1,170,484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1,061,670</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55,003</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111,201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227,686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205,146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77,794</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96,382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87,587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186,696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183,041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129,575</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264,783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216,043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524,870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411,111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loss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46,978</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64,376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53,354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231,175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190,389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460,494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357,757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54,323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108,705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103,077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130,987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351,789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254,680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shares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89,466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92,060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shares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92,702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94,223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92,970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94,392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60" w:right="160" w:firstLine="3"/>
        <w:spacing w:after="0" w:line="254" w:lineRule="auto"/>
        <w:tabs>
          <w:tab w:leader="none" w:pos="254"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 See footnote 1, "Summary of Significant Accounting Policies", in the accompanying notes to the unaudited consolidated financial statements.</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Unaudited Consolidated Statements of Comprehensive (Loss)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280" w:type="dxa"/>
            <w:vAlign w:val="bottom"/>
            <w:gridSpan w:val="4"/>
          </w:tcPr>
          <w:p>
            <w:pPr>
              <w:jc w:val="right"/>
              <w:ind w:right="554"/>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351,789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254,680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 gains,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56,354</w:t>
            </w:r>
          </w:p>
        </w:tc>
      </w:tr>
      <w:tr>
        <w:trPr>
          <w:trHeight w:val="237"/>
        </w:trPr>
        <w:tc>
          <w:tcPr>
            <w:tcW w:w="6060" w:type="dxa"/>
            <w:vAlign w:val="bottom"/>
          </w:tcPr>
          <w:p>
            <w:pPr>
              <w:ind w:left="700"/>
              <w:spacing w:after="0"/>
              <w:rPr>
                <w:sz w:val="20"/>
                <w:szCs w:val="20"/>
                <w:color w:val="auto"/>
              </w:rPr>
            </w:pPr>
            <w:r>
              <w:rPr>
                <w:rFonts w:ascii="Arial" w:cs="Arial" w:eastAsia="Arial" w:hAnsi="Arial"/>
                <w:sz w:val="18"/>
                <w:szCs w:val="18"/>
                <w:color w:val="auto"/>
              </w:rPr>
              <w:t>Total other comprehensive (loss)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(318,831)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56,354</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32,958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311,034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2018¹</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2017¹</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351,789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254,680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25,033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21,593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44,243</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discounts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112,540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104,894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 on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(32,660)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loss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 non-cash operating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Accounts and other receivables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(519,527)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(380,196)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(18,778)</w:t>
            </w: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accrued expenses and customer deposits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189,750</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275,089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207,743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(42,507)</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16,432</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(380,651)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(52,393)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on securitization facility,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(66,725)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from revolver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774,019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Payments on revolver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(215,901)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on swing line of credit,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10,245</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(67,805)</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rates on cash</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24,416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121,847</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1,130,870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643,770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1,185,438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765,617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68,431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112,982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188,157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60" w:right="140" w:firstLine="2"/>
        <w:spacing w:after="0" w:line="235" w:lineRule="auto"/>
        <w:tabs>
          <w:tab w:leader="none" w:pos="154"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Reflects the impact of the Company's adoption of Accounting Standards Update 2016-18, "Statement of Cash Flows (Topic 230)", which was adopted by the Company on January 1, 2018 and applied retrospectively to results for 2017. The adoption of Topic 230 resulted in the statement of cash flows presenting the changes in the total of cash, cash equivalents and restricted cash. As a result, the Company will no longer present transfers between cash and cash equivalents and restricted cash in the statement of cash flows.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00"/>
          </w:cols>
          <w:pgMar w:left="240" w:top="125" w:right="25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07" w:lineRule="exact"/>
        <w:rPr>
          <w:sz w:val="20"/>
          <w:szCs w:val="20"/>
          <w:color w:val="auto"/>
        </w:rPr>
      </w:pPr>
    </w:p>
    <w:p>
      <w:pPr>
        <w:ind w:right="784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0"/>
        <w:spacing w:after="0" w:line="276" w:lineRule="auto"/>
        <w:rPr>
          <w:sz w:val="20"/>
          <w:szCs w:val="20"/>
          <w:color w:val="auto"/>
        </w:rPr>
      </w:pPr>
      <w:r>
        <w:rPr>
          <w:rFonts w:ascii="Arial" w:cs="Arial" w:eastAsia="Arial" w:hAnsi="Arial"/>
          <w:sz w:val="17"/>
          <w:szCs w:val="17"/>
          <w:color w:val="auto"/>
        </w:rPr>
        <w:t>Throughout this report, the terms “our,” “we,” “us,” and the “Company” refers to FLEETCOR Technologies, Inc. and its subsidiaries. The Company prepared the accompanying interim consolidated financial statements in accordance with Rule 10-01 of Regulation S-X. Accordingly, they do not include all of the information and footnotes required by accounting principles generally accepted in the United States (“GAAP”). The unaudited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period. Gains and losses from foreign currency transactions of these subsidiaries are included in net income. The Company recognized foreign exchange losses of $0.2 million and foreign exchange gains of $0.8 million in the three months ended June 30, 2018 and 2017, respectively, which are recorded within other (income) expense, net in the Unaudited Consolidated Statements of Income. The Company recognized foreign exchange gains of $0.4 million and foreign exchange losses of $0.8 million in the six months ended June 30, 2018 and 2017,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through its Cambridge Global Payments ("Cambridge") subsidiary, facilitates cross-currency corporate payments by writing derivatives to customers, which are not designated as hedging instruments. The majority of this business' revenue is from exchanges of currency at spot rates, which enable customers to make cross-currency payments. In addition, the Company also writes foreign currency forward and option contracts for its customers to facilitate future payments. The duration of these derivative contracts at inception is generally less than one year. The Company aggregates its foreign exchange exposures arising from customer contracts, including forwards, options and spot exchanges of currency, and hedges (economic hedge) the resulting net currency risks by entering into offsetting contracts with established financial institution counterparties. The changes in fair value related to these contracts are recorded in the Unaudited Consolidated Statements of Income.</w:t>
      </w:r>
    </w:p>
    <w:p>
      <w:pPr>
        <w:spacing w:after="0" w:line="70"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The Company recognizes all derivatives in "prepaid expenses and other current assets" and "other current liabilities" in the accompanying Unaudited Consolidated Balance Sheets at their fair value. All cash flows associated with derivatives are included in cash flows from operating activities in the Unaudited Consolidated Statements of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 of ASC 606</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which replaces numerous requirements in U.S. GAAP, including industry-specific requirements, and provides companies with a single revenue recognition model for recognizing revenue from contracts with customers. The core principle of ASU 2014-09 is that an entity should recognize revenue to depict the transfer of promised goods or services in an amount that reflects the consideration to which the entity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ASU 2014-09, as amended by ASU 2015-14, "Revenue from Contracts with Customers (Topic 606): Deferral of the Effective Date", is effective for years beginning after December 15, 2017, including interim periods, with early adoption permitted for years beginning after December 15, 2016. Since the issuance of ASU 2014-09, the FASB has issued additional interpretive guidance, including new accounting standard updates, which clarifies certain points of the standard and modifies certain requirements.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January 1, 2018, we adopted ASC 606 using the modified retrospective method, for contracts that were not completed as of the date of initial application, resulting in a cumulative effect adjustment to retained earnings on January 1, 2018. For contracts that were modified before January 1, 2018, the Company has not retrospectively restated contracts for those modifications but instead reflected the aggregate effect of these modifications when identifying the satisfied and unsatisfied performance obligations, as allowed within the transition practical expedients. The cumulative impact to our retained earnings at January 1, 2018 was $30.9 million, due to the capitalization of costs to acquire contracts under the new standard, with a corresponding increase to prepaid expense and other current assets of $10.2 million, other assets of $30.3 million and deferred income taxes (liabilities) of $9.6 million. Additionally, under the new standard certain costs (e.g., merchant commissions and fees paid to credit card associations) will be presented net in revenues as the amounts represent payments to our customers that are not considered in exchange for a distinct good or service that the customer transfers to the Company.</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impact to the Company's revenue, operating expenses, income from continuing operations after taxes, net income and basic and diluted earnings per share (EPS) for the three and six months ended June 30, 2018 was as follows:</w:t>
      </w:r>
    </w:p>
    <w:p>
      <w:pPr>
        <w:spacing w:after="0" w:line="29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1"/>
              </w:rPr>
              <w:t>2018 As Reported</w:t>
            </w:r>
          </w:p>
        </w:tc>
        <w:tc>
          <w:tcPr>
            <w:tcW w:w="120" w:type="dxa"/>
            <w:vAlign w:val="bottom"/>
            <w:vMerge w:val="restart"/>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Impact of ASC 606</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2018 Prior to</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2018 As Reported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Impact of ASC 606</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40"/>
              <w:spacing w:after="0" w:line="153" w:lineRule="exact"/>
              <w:rPr>
                <w:sz w:val="20"/>
                <w:szCs w:val="20"/>
                <w:color w:val="auto"/>
              </w:rPr>
            </w:pPr>
            <w:r>
              <w:rPr>
                <w:rFonts w:ascii="Arial" w:cs="Arial" w:eastAsia="Arial" w:hAnsi="Arial"/>
                <w:sz w:val="14"/>
                <w:szCs w:val="14"/>
                <w:b w:val="1"/>
                <w:bCs w:val="1"/>
                <w:color w:val="auto"/>
              </w:rPr>
              <w:t>2018 Prior to</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Adoption</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584,985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608,321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1,170,484</w:t>
            </w:r>
          </w:p>
        </w:tc>
        <w:tc>
          <w:tcPr>
            <w:tcW w:w="620" w:type="dxa"/>
            <w:vAlign w:val="bottom"/>
            <w:tcBorders>
              <w:bottom w:val="single" w:sz="8" w:color="CCEEFF"/>
            </w:tcBorders>
            <w:gridSpan w:val="3"/>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1,218,038</w:t>
            </w:r>
          </w:p>
        </w:tc>
        <w:tc>
          <w:tcPr>
            <w:tcW w:w="0" w:type="dxa"/>
            <w:vAlign w:val="bottom"/>
          </w:tcPr>
          <w:p>
            <w:pPr>
              <w:spacing w:after="0"/>
              <w:rPr>
                <w:sz w:val="1"/>
                <w:szCs w:val="1"/>
                <w:color w:val="auto"/>
              </w:rPr>
            </w:pPr>
          </w:p>
        </w:tc>
      </w:tr>
      <w:tr>
        <w:trPr>
          <w:trHeight w:val="224"/>
        </w:trPr>
        <w:tc>
          <w:tcPr>
            <w:tcW w:w="2500" w:type="dxa"/>
            <w:vAlign w:val="bottom"/>
          </w:tcPr>
          <w:p>
            <w:pPr>
              <w:ind w:left="40"/>
              <w:spacing w:after="0"/>
              <w:rPr>
                <w:sz w:val="20"/>
                <w:szCs w:val="20"/>
                <w:color w:val="auto"/>
              </w:rPr>
            </w:pPr>
            <w:r>
              <w:rPr>
                <w:rFonts w:ascii="Arial" w:cs="Arial" w:eastAsia="Arial" w:hAnsi="Arial"/>
                <w:sz w:val="16"/>
                <w:szCs w:val="16"/>
                <w:color w:val="auto"/>
              </w:rPr>
              <w:t>Expenses: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Merchant commissions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53,290</w:t>
            </w:r>
          </w:p>
        </w:tc>
        <w:tc>
          <w:tcPr>
            <w:tcW w:w="0" w:type="dxa"/>
            <w:vAlign w:val="bottom"/>
          </w:tcPr>
          <w:p>
            <w:pPr>
              <w:spacing w:after="0"/>
              <w:rPr>
                <w:sz w:val="1"/>
                <w:szCs w:val="1"/>
                <w:color w:val="auto"/>
              </w:rPr>
            </w:pPr>
          </w:p>
        </w:tc>
      </w:tr>
      <w:tr>
        <w:trPr>
          <w:trHeight w:val="237"/>
        </w:trPr>
        <w:tc>
          <w:tcPr>
            <w:tcW w:w="2500" w:type="dxa"/>
            <w:vAlign w:val="bottom"/>
          </w:tcPr>
          <w:p>
            <w:pPr>
              <w:ind w:left="380"/>
              <w:spacing w:after="0"/>
              <w:rPr>
                <w:sz w:val="20"/>
                <w:szCs w:val="20"/>
                <w:color w:val="auto"/>
              </w:rPr>
            </w:pPr>
            <w:r>
              <w:rPr>
                <w:rFonts w:ascii="Arial" w:cs="Arial" w:eastAsia="Arial" w:hAnsi="Arial"/>
                <w:sz w:val="16"/>
                <w:szCs w:val="16"/>
                <w:color w:val="auto"/>
              </w:rPr>
              <w:t>Processing</w:t>
            </w:r>
          </w:p>
        </w:tc>
        <w:tc>
          <w:tcPr>
            <w:tcW w:w="1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111,201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108,488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227,686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222,902</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Selling</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93,637</w:t>
            </w:r>
          </w:p>
        </w:tc>
        <w:tc>
          <w:tcPr>
            <w:tcW w:w="0" w:type="dxa"/>
            <w:vAlign w:val="bottom"/>
          </w:tcPr>
          <w:p>
            <w:pPr>
              <w:spacing w:after="0"/>
              <w:rPr>
                <w:sz w:val="1"/>
                <w:szCs w:val="1"/>
                <w:color w:val="auto"/>
              </w:rPr>
            </w:pPr>
          </w:p>
        </w:tc>
      </w:tr>
      <w:tr>
        <w:trPr>
          <w:trHeight w:val="237"/>
        </w:trPr>
        <w:tc>
          <w:tcPr>
            <w:tcW w:w="250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96,382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96,382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186,696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186,696</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and</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68,610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140,112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140,112</w:t>
            </w:r>
          </w:p>
        </w:tc>
        <w:tc>
          <w:tcPr>
            <w:tcW w:w="0" w:type="dxa"/>
            <w:vAlign w:val="bottom"/>
          </w:tcPr>
          <w:p>
            <w:pPr>
              <w:spacing w:after="0"/>
              <w:rPr>
                <w:sz w:val="1"/>
                <w:szCs w:val="1"/>
                <w:color w:val="auto"/>
              </w:rPr>
            </w:pPr>
          </w:p>
        </w:tc>
      </w:tr>
      <w:tr>
        <w:trPr>
          <w:trHeight w:val="217"/>
        </w:trPr>
        <w:tc>
          <w:tcPr>
            <w:tcW w:w="25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264,783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264,048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524,870</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521,401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33,608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64,376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64,376</w:t>
            </w:r>
          </w:p>
        </w:tc>
        <w:tc>
          <w:tcPr>
            <w:tcW w:w="0" w:type="dxa"/>
            <w:vAlign w:val="bottom"/>
          </w:tcPr>
          <w:p>
            <w:pPr>
              <w:spacing w:after="0"/>
              <w:rPr>
                <w:sz w:val="1"/>
                <w:szCs w:val="1"/>
                <w:color w:val="auto"/>
              </w:rPr>
            </w:pPr>
          </w:p>
        </w:tc>
      </w:tr>
      <w:tr>
        <w:trPr>
          <w:trHeight w:val="217"/>
        </w:trPr>
        <w:tc>
          <w:tcPr>
            <w:tcW w:w="25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231,175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230,440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460,494</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457,025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108,705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107,857</w:t>
            </w:r>
          </w:p>
        </w:tc>
        <w:tc>
          <w:tcPr>
            <w:tcW w:w="0" w:type="dxa"/>
            <w:vAlign w:val="bottom"/>
          </w:tcPr>
          <w:p>
            <w:pPr>
              <w:spacing w:after="0"/>
              <w:rPr>
                <w:sz w:val="1"/>
                <w:szCs w:val="1"/>
                <w:color w:val="auto"/>
              </w:rPr>
            </w:pPr>
          </w:p>
        </w:tc>
      </w:tr>
      <w:tr>
        <w:trPr>
          <w:trHeight w:val="217"/>
        </w:trPr>
        <w:tc>
          <w:tcPr>
            <w:tcW w:w="25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176,852</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176,208</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351,789</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43"/>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349,168</w:t>
            </w:r>
          </w:p>
        </w:tc>
        <w:tc>
          <w:tcPr>
            <w:tcW w:w="0" w:type="dxa"/>
            <w:vAlign w:val="bottom"/>
          </w:tcPr>
          <w:p>
            <w:pPr>
              <w:spacing w:after="0"/>
              <w:rPr>
                <w:sz w:val="1"/>
                <w:szCs w:val="1"/>
                <w:color w:val="auto"/>
              </w:rPr>
            </w:pPr>
          </w:p>
        </w:tc>
      </w:tr>
      <w:tr>
        <w:trPr>
          <w:trHeight w:val="73"/>
        </w:trPr>
        <w:tc>
          <w:tcPr>
            <w:tcW w:w="25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5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earnings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620" w:type="dxa"/>
            <w:vAlign w:val="bottom"/>
            <w:tcBorders>
              <w:bottom w:val="single" w:sz="8" w:color="CCEEFF"/>
            </w:tcBorders>
            <w:gridSpan w:val="3"/>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3.78</w:t>
            </w:r>
          </w:p>
        </w:tc>
        <w:tc>
          <w:tcPr>
            <w:tcW w:w="620" w:type="dxa"/>
            <w:vAlign w:val="bottom"/>
            <w:gridSpan w:val="3"/>
          </w:tcPr>
          <w:p>
            <w:pPr>
              <w:jc w:val="right"/>
              <w:ind w:right="243"/>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adoption of ASC 606 did not impact our accounting for revenues derived from late fees, finance charges, and certain other charge card fees or certain of our foreign currency contracts, which continue to be accounted for under existing authoritative guidance, as discussed further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February 2016, the FASB issued ASU 2016-02, “Leases”, which requires lessees to recognize a right-of-use asset and a lease liability on the balance sheet for all leases with the exception of short-term leases. This ASU also requires disclosures to provide additional information about the amounts recorded in the financial statements. This ASU is effective for the Company for annual periods beginning after December 15, 2018 and interim periods therein. Early adoption is permitted. On July 31, 2018, the FASB issued ASU 2018-11, “Leases (Topic 842): Targeted Improvements”, which provides (1) an optional transition method that entities can use when adopting ASC 842 and (2) a practical expedient that permits lessors to not separate nonlease components from the associated lease component if certain conditions are met. Under this new transition method, an entity initially applies the new leases standard at the adoption date and recognizes a cumulative-effect adjustment to the opening balance of retained earnings in the period of adoption. If the new transition method in ASU 2018-11 is not elected, the new standard must be adopted using a modified retrospective transition and requires application of the new guidance for leases that exist or are entered into after the beginning of the earliest comparative period presented. The Company is currently evaluating the impact of ASU 2016-02 on our consolidated financial statements, is in the process of evaluating software tools to assist with implementation and is gathering leases for evaluation under the new standard. The Company expects to recognize right of use assets and liabilities for its operating leases in the consolidated balance sheet upon adoption and using the optional transition method recently issued.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Breakage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March 2016, the FASB issued ASU 2016-04, “Liabilities-Extinguishments of Liabilities: Recognition of Breakage for Certain Prepaid Stored-Value Products”, which requires entities that sell prepaid stored value products redeemable for goods, services or cash at third-party merchants to derecognize liabilities related to those products for breakage. This ASU is effective for the Company for reporting periods beginning after December 15, 2017. The ASU must be adopted using either a modified</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retrospective approach with a cumulative effect adjustment to retained earnings as of the beginning of the period of adoption or a full retrospective approach. The Company adopted this guidance on January 1, 2018, which did not have a material impact on the Company's results of operations, financial condition,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w:t>
      </w:r>
    </w:p>
    <w:p>
      <w:pPr>
        <w:spacing w:after="0" w:line="11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 October 2016, the FASB issued ASU 2016-16 “Income Taxes (Topic 740): Intra-Entity Transfers of Assets Other Than Inventory.” The new guidance requires the recognition of the income tax consequences of an intercompany asset transfer, other than transfers of inventory, when the transfer occurs. For intercompany transfers of inventory, the income tax effects will continue to be deferred until the inventory has been sold to a third party. The Company adopted this ASU on January 1, 2018, which resulted in an increase of approximately $17.1 million to retained earnings and deferred tax assets net of valuation allowances.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Classification</w:t>
      </w:r>
    </w:p>
    <w:p>
      <w:pPr>
        <w:spacing w:after="0" w:line="11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amends the guidance in ASC 230, Statement of Cash Flows. This amended guidance reduces the diversity in practice that has resulted from the lack of consistent principles related to the classification of certain cash receipts and payments in the statement of cash flows. This ASU is effective for the Company for reporting periods beginning after December 15, 2017. Entities must apply the guidance retrospectively to all periods presented but may apply it prospectively from the earliest date practicable if retrospective application would be impracticable. The Company adopted this new guidance on January 1, 2018. The adoption of this new guidance did not have a material impact on the results of operations, financial condition, or cash flows.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November 2016, the FASB issued ASU 2016-18, "Statement of Cash Flows (Topic 230): Restricted Cash", which amends the guidance in ASC 230, Statement of Cash Flows, on the classification and presentation of restricted cash in the statement of cash flows. This ASU is effective for the Company for reporting periods beginning after December 15, 2017 and changes due to adoption are applied using a retrospective transition method to each period presented. The Company adopted this new guidance on January 1, 2018, and applied retrospectively to results for 2017. The adoption of Topic 230 resulted in the statement of cash flows presenting the changes in the total of cash, cash equivalents and restricted cash.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 Impairment</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January 2017, the FASB issued ASU 2017-04, "Simplifying the Test for Goodwill Impairment", which eliminates the requirement to calculate the implied fair value of goodwill (i.e., Step 2 of the goodwill impairment test) to measure a goodwill impairment charge. Instead, entities will record an impairment charge based on the excess of a reporting unit’s carrying amount over its fair value (i.e., measure the charge based on Step 1). The standard has tiered effective dates, starting in 2020 for calendar-year public business entities that meet the definition of an SEC filer. Early adoption is permitted for interim and annual goodwill impairment testing dates after January 1, 2017. The adoption of this ASU on January 1, 2018 is not expected to have a material impact on the results of operations, financial condition, or cash flows, unless a goodwill impairment is identified.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2017, the FASB issued ASU 2017-01, "Clarifying the Definition of a Business", which amends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The guidance is effective for the Company for reporting periods beginning after December 15, 2017, and interim periods within those years. The Company adopted this new guidance on January 1, 2018. The adoption of this new guidance did not have a material impact on the results of operations, financial condition,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Modifications to Stock-Based Compensation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guidance is effective for the Company for reporting periods beginning after December 15, 2017, and interim periods within those years. The Company adopted this new guidance on January 1, 2018. The adoption of this new guidance did not have a material impact on the results of operations, financial condition,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Financial Instruments</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which amends the hedge accounting recognition and presentation requirements in ASC 815. The FASB issued accounting guidance to better align hedge accounting with a company’s risk management activities, simplify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application of hedge accounting and improve the disclosures of hedging arrangements. The guidance is effective for the Company for reporting periods beginning after December 15, 2018, and interim periods within those years. Early adoption is permitted. The Company's adoption of this ASU is not expected to have a material impact on the results of operations, financial condition,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Classification</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Reclassification of Certain Tax Effects from Accumulated Other Comprehensive Income", that gives entities the option to reclassify to retained earnings tax effects related to items that have been stranded in accumulated other comprehensive income as a result of the Tax Cuts and Jobs Act (the "Tax Act"). An entity that elects to reclassify these amounts must reclassify stranded tax effects related to the Tax Act’s change in U.S. federal tax rate for all items accounted for in other comprehensive income. These entities can also elect to reclassify other stranded effects that relate to the Tax Act but do not directly relate to the change in the federal rate. For all entities, the guidance is effective for fiscal years beginning after December 15, 2018, and interim periods within those fiscal years. Early adoption is permitted for periods for which financial statements have not yet been issues or made available for issuance. Entities can choose whether to apply the amendments retrospectively to each period in which the effect of the Tax Act is recognized or to apply the amendments in the period of adoption. The Company's adoption of this ASU is not expected to have a material impact on the results of operations, financial condition, or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Share-Based Payments</w:t>
      </w:r>
    </w:p>
    <w:p>
      <w:pPr>
        <w:spacing w:after="0" w:line="11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In June 2018, the FASB issued ASU 2018-07, "Compensation—Stock Compensation (Topic 718): Improvements to Non-employee Share-Based Payment Accounting", that supersedes ASC 505-50 and expands the scope of ASC 718 to include all share-based payment arrangements related to the acquisition of goods and services from both non-employees and employees. Under the new guidance,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able to be used in lieu of an expected term in the option-pricing model for non-employee awards. The guidance is effective for the Company for fiscal years beginning after December 15, 2018, including interim periods within that fiscal year. Early adoption is permitted, including in interim periods, but no earlier than an entity’s adoption of ASC 606. The Company's adoption of this ASU is not expected to have a material impact on the results of operations, financial condition,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provides payment solutions to our business, merchant, consumer and payment network customers. Our payment solutions are primarily focused on specific commercial spend categories, including fuel, lodging, tolls, and general corporate payments, as well as gift card solutions (stored value cards). The Company provides products that help businesses of all sizes control, simplify and secure payment of various domestic and cross-border payables using specialized payment products. The Company also provides other payment solutions for fleet maintenance, employee benefits and long haul transportation-related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Payment Services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primary performance obligation for the majority of its payment solution products (fuel, lodging, tolls, corporate payments, among others) is to stand-ready to provide authorization and processing services ("payment services") for an unknown or unspecified quantity of transactions and the consideration received is contingent upon the customer’s use (e.g., number of transactions submitted and processed) of the related payment services. Accordingly, the total transaction price is variable. Payment services involves a series of distinct daily services that are substantially the same, with the same pattern of transfer to the customer. As a result, the Company allocates and recognizes variable consideration in the period it has the contractual right to invoice the customer.</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records revenue for its payment services net of (i) the cost of the underlying products and services; (ii) assessments and other fees charged by the credit and debit payment networks (along with any rebates provided by them); (iii) customer rebates and other discounts; and (iv) taxes assessed (e.g. VAT and VAT-like taxes) by a government, imposed concurrent with, a revenue producing transaction.</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majority of the transaction price the Company receives for fulfilling the Payment Services performance obligation are comprised of one or a combination of the following: 1) interchange fees earned from the payment networks; 2) discount fees earned from merchants; 3) fees calculated based on a number of transactions processed; and 4) fees calculated based upon a percentage of the transaction value of fuel, food, toll and transportation cards and vouchers.</w:t>
      </w:r>
    </w:p>
    <w:p>
      <w:pPr>
        <w:spacing w:after="0" w:line="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recognizes revenue when the underlying transactions are complete and its performance obligations are satisfied. Transactions are considered complete depending upon the related payment solution but generally when the Company has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authorized the transaction, validated that the transaction has no errors and accepted and posted the data to the Company’s records.</w:t>
      </w:r>
    </w:p>
    <w:p>
      <w:pPr>
        <w:spacing w:after="0" w:line="3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performance obligation for its foreign exchange payment services is providing a foreign currency payment to a customer’s designated recipient and therefore, the Company recognizes revenue on foreign exchange payment services when the underlying payment is made. Revenues from foreign exchange and payment services are primarily comprised of the difference between the exchange rate set by the Company to the customer and the rate available in the wholesale foreign exchange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Gift Card Products and Services</w:t>
      </w:r>
    </w:p>
    <w:p>
      <w:pPr>
        <w:spacing w:after="0" w:line="3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Gift product line delivers both stored value cards and card-based services primarily in the form of gift cards to retailers. These services each represent performance obligations that are separate and distinct. Revenue for stored valued cards are recognized (gross of the underlying cost of the related card) at the point in time when control passes to the Company's customer, which is generally upon shipment.</w:t>
      </w:r>
    </w:p>
    <w:p>
      <w:pPr>
        <w:spacing w:after="0" w:line="3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Card-based services consist of transaction processing and reporting of gift card transactions where the Company recognizes revenue based on output measure of elapsed time for an unknown or unspecified quantity of transactions. As a result, the Company will allocate and recognize variable consideration over the estimated period of time over which the performance obligation is satisfied.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revenue from late fees and finance charges, in jurisdictions where permitted under local regulations, primarily in the U.S. and Canada in accordance with ASC 310, "Receivables". Such fees are recognized net of a provision for estimated uncollectible amounts, at the time the fees and finance charges are assessed and services are provided. The Company ceases billing and accruing for late fees and finance charges approximately 30 - 40 days after the customer’s balance becomes delinquent.</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also writes foreign currency forward and option contracts for its customers to facilitate future payments in foreign currencies, and recognizes revenue in accordance with authoritative fair value and derivative accounting (ASC 815, " Derivatives").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also derived from the sale of equipment in certain of the Company’s businesses, which is recognized at the time the device is sold and the risks and rewards of ownership have passed. This revenue is recognized gross of the cost of sales related to the equipment in "revenues, net" within the Unaudited Consolidated Statements of Income. The related cost of sales for the equipment is recorded within "processing expenses" in the Unaudited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3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provides its services to customers across different payment solutions and geographies. Revenue by product (in millions) for the three and six months ended June 30, 2018 was as follows:</w:t>
      </w:r>
    </w:p>
    <w:p>
      <w:pPr>
        <w:spacing w:after="0" w:line="200" w:lineRule="exact"/>
        <w:rPr>
          <w:sz w:val="20"/>
          <w:szCs w:val="20"/>
          <w:color w:val="auto"/>
        </w:rPr>
      </w:pP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60" w:type="dxa"/>
            <w:vAlign w:val="bottom"/>
            <w:gridSpan w:val="6"/>
          </w:tcPr>
          <w:p>
            <w:pPr>
              <w:ind w:left="120"/>
              <w:spacing w:after="0"/>
              <w:rPr>
                <w:sz w:val="20"/>
                <w:szCs w:val="20"/>
                <w:color w:val="auto"/>
              </w:rPr>
            </w:pPr>
            <w:r>
              <w:rPr>
                <w:rFonts w:ascii="Arial" w:cs="Arial" w:eastAsia="Arial" w:hAnsi="Arial"/>
                <w:sz w:val="18"/>
                <w:szCs w:val="18"/>
                <w:b w:val="1"/>
                <w:bCs w:val="1"/>
                <w:color w:val="auto"/>
                <w:w w:val="98"/>
              </w:rPr>
              <w:t>Three Months Ended June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4"/>
        </w:trPr>
        <w:tc>
          <w:tcPr>
            <w:tcW w:w="34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Revenue, net by Product Category*</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right"/>
              <w:ind w:right="1000"/>
              <w:spacing w:after="0" w:line="194" w:lineRule="exact"/>
              <w:rPr>
                <w:sz w:val="20"/>
                <w:szCs w:val="20"/>
                <w:color w:val="auto"/>
              </w:rPr>
            </w:pPr>
            <w:r>
              <w:rPr>
                <w:rFonts w:ascii="Arial" w:cs="Arial" w:eastAsia="Arial" w:hAnsi="Arial"/>
                <w:sz w:val="18"/>
                <w:szCs w:val="18"/>
                <w:b w:val="1"/>
                <w:bCs w:val="1"/>
                <w:color w:val="auto"/>
                <w:w w:val="95"/>
              </w:rPr>
              <w:t>30,</w:t>
            </w:r>
          </w:p>
        </w:tc>
        <w:tc>
          <w:tcPr>
            <w:tcW w:w="100" w:type="dxa"/>
            <w:vAlign w:val="bottom"/>
          </w:tcPr>
          <w:p>
            <w:pPr>
              <w:spacing w:after="0"/>
              <w:rPr>
                <w:sz w:val="16"/>
                <w:szCs w:val="16"/>
                <w:color w:val="auto"/>
              </w:rPr>
            </w:pPr>
          </w:p>
        </w:tc>
        <w:tc>
          <w:tcPr>
            <w:tcW w:w="226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w w:val="93"/>
              </w:rPr>
              <w:t>Six Months Ended June 30,</w:t>
            </w:r>
          </w:p>
        </w:tc>
      </w:tr>
      <w:tr>
        <w:trPr>
          <w:trHeight w:val="48"/>
        </w:trPr>
        <w:tc>
          <w:tcPr>
            <w:tcW w:w="20" w:type="dxa"/>
            <w:vAlign w:val="bottom"/>
          </w:tcPr>
          <w:p>
            <w:pPr>
              <w:spacing w:after="0"/>
              <w:rPr>
                <w:sz w:val="4"/>
                <w:szCs w:val="4"/>
                <w:color w:val="auto"/>
              </w:rPr>
            </w:pPr>
          </w:p>
        </w:tc>
        <w:tc>
          <w:tcPr>
            <w:tcW w:w="272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Fuel</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Corporate Payments</w:t>
            </w:r>
          </w:p>
        </w:tc>
        <w:tc>
          <w:tcPr>
            <w:tcW w:w="7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194</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Tolls</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Lodging</w:t>
            </w:r>
          </w:p>
        </w:tc>
        <w:tc>
          <w:tcPr>
            <w:tcW w:w="7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Gift</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108</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585</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1,170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geography (in millions) for the three and six months ended June 30, 2018 was as follows: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3120" w:type="dxa"/>
            <w:vAlign w:val="bottom"/>
            <w:gridSpan w:val="3"/>
          </w:tcPr>
          <w:p>
            <w:pPr>
              <w:ind w:left="20"/>
              <w:spacing w:after="0"/>
              <w:rPr>
                <w:sz w:val="20"/>
                <w:szCs w:val="20"/>
                <w:color w:val="auto"/>
              </w:rPr>
            </w:pPr>
            <w:r>
              <w:rPr>
                <w:rFonts w:ascii="Arial" w:cs="Arial" w:eastAsia="Arial" w:hAnsi="Arial"/>
                <w:sz w:val="18"/>
                <w:szCs w:val="18"/>
                <w:b w:val="1"/>
                <w:bCs w:val="1"/>
                <w:color w:val="auto"/>
              </w:rPr>
              <w:t>Revenue, net by Geography*</w:t>
            </w:r>
          </w:p>
        </w:tc>
        <w:tc>
          <w:tcPr>
            <w:tcW w:w="2500" w:type="dxa"/>
            <w:vAlign w:val="bottom"/>
            <w:gridSpan w:val="5"/>
          </w:tcPr>
          <w:p>
            <w:pPr>
              <w:ind w:left="4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17"/>
                <w:szCs w:val="17"/>
                <w:color w:val="auto"/>
              </w:rPr>
            </w:pPr>
          </w:p>
        </w:tc>
        <w:tc>
          <w:tcPr>
            <w:tcW w:w="22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48"/>
        </w:trPr>
        <w:tc>
          <w:tcPr>
            <w:tcW w:w="20" w:type="dxa"/>
            <w:vAlign w:val="bottom"/>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691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Brazil</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203</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146</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1,170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from contracts with customers, within the scope of Topic 606, represents approximately 90% of total consolidated revenues, net, in the three and six month periods ended June 30,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revenue contract liabilities for customers subject to ASC 606 were $21.5 million and $24.7 million as of June 30, 2018 and January 1, 2018, respectively. We expect to recognize substantially all of these amounts in revenues within approximately 12 months. Revenue recognized in the three and six months ended June 30, 2018, that was included in the deferred revenue contract liability as of January 1, 2018 was approximately $17.7 million and $39.1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to Obtain or Fulfill a Contract</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With the adoption of ASC 606, the Company began capitalizing the incremental costs of obtaining a contract with a customer if the Company expects to recover those costs. The incremental costs of obtaining a contract are those that the Company incurs to obtain a contract with a customer that it would not have incurred if the contract had not been obtained (for example, a sales commission).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fulfill a contract are capitalized if those costs meet all of the following criteria:</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relate directly to a contract or to an anticipated contract that the Company can specifically identify.</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generate or enhance resources of the Company that will be used in satisfying (or in continuing to satisfy) performance obligations in the future.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10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order to determine the appropriate amortization period for contract costs, the Company considered a combination of factors, including customer attrition rates, estimated terms of customer relationships, the useful lives of technology used by the Company to provide products and services to its customers, whether further contract renewals are expected and if there is any incremental commission to be paid on a contract renewal. Contract acquisition and fulfillment costs are amortized using the straight-line method over the expected period of benefit (ranging from five to ten years). Costs to obtain a contract with an expected period of benefit of one year or less are recognized as an expense when incurred. The amortization of contract acquisition costs associated with sales commissions that qualify for capitalization will be recorded as selling expense in the Company’s Unaudited Consolidated Statements of Income. The amortization of contract acquisition costs associated with cash payments for client incentives is included as a reduction of revenues in the Company’s Unaudited Consolidated Statements of Income. During the three and six months ended June 30, 2018, amortization of capitalized contract costs recorded in selling expense was $2.7 million and $6 million, respectively.</w:t>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Costs to obtain or fulfill a contract are classified as contract cost assets within "prepaid expenses and other current assets" and "other assets" in the Company’s Unaudited Consolidated Balance Sheets. At June 30, 2018, the Company had capitalized costs to obtain a contract of $11.4 million within prepaid expenses and $32.3 million within "other assets" in the Company’s Unaudited Consolidated Balance Sheets,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Practical Expedients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ASC 606 requires disclosure of the aggregate amount of the transaction price allocated to unsatisfied performance obligations; however, as allowed by ASC 606, the Company has elected to exclude this disclosure for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has elected to exclude all sales taxes and other similar taxes from the transaction price. Accordingly, the Company presents all collections from customers for these taxes on a net basis, rather than having to assess whether the Company is acting as an agent or a principal in each taxing jurisdiction.</w:t>
      </w:r>
    </w:p>
    <w:p>
      <w:pPr>
        <w:spacing w:after="0" w:line="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certain arrangements with customers, the Company has determined that certain promised services and products are immaterial in the context of the contract, both quantitatively and qualitatively.</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a practical expedient, the Company is not required to adjust the promised amount of consideration for the effects of a significant financing component if the Company expects, at contract inception, that the period between when the Company transfers a promised service or product to a customer and when the customer pays for the service or product will be one year or less. As of June 30, 2018, the Company’s contracts with customers did not contain a significant financing component.</w:t>
      </w:r>
    </w:p>
    <w:p>
      <w:pPr>
        <w:spacing w:after="0" w:line="7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adopted Topic 606 as of January 1, 2018, using the modified retrospective method for all contracts not completed as of the date of adoption. For contracts that were modified before the effective date, the Company utilized a practical expedient to consider the aggregate effect of all modifications when identifying performance obligations and allocating transaction price.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maintains a $950 million revolving trade accounts receivable Securitization Facility. Accounts receivable collateralized within our Securitization Facility relate to our U.S. trade receivables resulting from charge card activity. Pursuant to the terms of the Securitization Facility, the Company transfers certain of its domestic receivables, on a revolving basis, to FLEETCOR Funding LLC (Funding) a wholly-owned bankruptcy remote subsidiary. In turn, Funding transfers, on a revolving basis, up to $950 million of undivided ownership interests in this pool of accounts receivable to a multi-seller, asset-backed commercial paper conduit (Conduit). Funding maintains a subordinated interest, in the form of over-collateralization, in a portion of the receivables sold to the Conduit. Purchases by the Conduit are financed with the sale of highly-rated commercial paper.</w:t>
      </w:r>
    </w:p>
    <w:p>
      <w:pPr>
        <w:spacing w:after="0" w:line="17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utilizes proceeds from the transferred assets as an alternative to other forms of financing to reduce its overall borrowing costs. The Company has agreed to continue servicing the sold receivables for the financial institution at market rates, which approximates the Company’s cost of servicing. The Company retains a residual interest in the accounts receivable sold as a form of credit enhancement. The residual interest’s fair value approximates carrying value due to its short-term nature. Funding determines the level of funding achieved by the sale of trade accounts receivable, subject to a maximum amount.</w:t>
      </w:r>
    </w:p>
    <w:p>
      <w:pPr>
        <w:spacing w:after="0" w:line="154"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The Company’s Unaudited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Company’s accounts receivable and securitized accounts receivable include the following at June 30, 2018 and December 31, 2017 (in thousands):</w:t>
      </w:r>
    </w:p>
    <w:p>
      <w:pPr>
        <w:spacing w:after="0" w:line="197" w:lineRule="exact"/>
        <w:rPr>
          <w:sz w:val="20"/>
          <w:szCs w:val="20"/>
          <w:color w:val="auto"/>
        </w:rPr>
      </w:pPr>
    </w:p>
    <w:tbl>
      <w:tblPr>
        <w:tblLayout w:type="fixed"/>
        <w:tblInd w:w="210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domestic accounts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661,677</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Gross domestic securitized accounts receivable</w:t>
            </w: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939,000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811,000</w:t>
            </w:r>
          </w:p>
        </w:tc>
      </w:tr>
      <w:tr>
        <w:trPr>
          <w:trHeight w:val="27"/>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foreign receivables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804,365</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gross receivables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2,704,182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2,277,042</w:t>
            </w:r>
          </w:p>
        </w:tc>
      </w:tr>
      <w:tr>
        <w:trPr>
          <w:trHeight w:val="27"/>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(46,031)</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Net accounts and securitized accounts receivable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2,655,937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2,231,011</w:t>
            </w:r>
          </w:p>
        </w:tc>
      </w:tr>
      <w:tr>
        <w:trPr>
          <w:trHeight w:val="27"/>
        </w:trPr>
        <w:tc>
          <w:tcPr>
            <w:tcW w:w="4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rollforward of the Company’s allowance for doubtful accounts related to accounts receivable for the six month period ended June 30 is as follows (in thousands):</w:t>
      </w:r>
    </w:p>
    <w:p>
      <w:pPr>
        <w:spacing w:after="0" w:line="130"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Allowance for doubtful accounts beginning of period</w:t>
            </w:r>
          </w:p>
        </w:tc>
        <w:tc>
          <w:tcPr>
            <w:tcW w:w="212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46,031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32,506</w:t>
            </w:r>
          </w:p>
        </w:tc>
        <w:tc>
          <w:tcPr>
            <w:tcW w:w="0" w:type="dxa"/>
            <w:vAlign w:val="bottom"/>
          </w:tcPr>
          <w:p>
            <w:pPr>
              <w:spacing w:after="0"/>
              <w:rPr>
                <w:sz w:val="1"/>
                <w:szCs w:val="1"/>
                <w:color w:val="auto"/>
              </w:rPr>
            </w:pPr>
          </w:p>
        </w:tc>
      </w:tr>
      <w:tr>
        <w:trPr>
          <w:trHeight w:val="243"/>
        </w:trPr>
        <w:tc>
          <w:tcPr>
            <w:tcW w:w="3880" w:type="dxa"/>
            <w:vAlign w:val="bottom"/>
          </w:tcPr>
          <w:p>
            <w:pPr>
              <w:ind w:left="700"/>
              <w:spacing w:after="0"/>
              <w:rPr>
                <w:sz w:val="20"/>
                <w:szCs w:val="20"/>
                <w:color w:val="auto"/>
              </w:rPr>
            </w:pPr>
            <w:r>
              <w:rPr>
                <w:rFonts w:ascii="Arial" w:cs="Arial" w:eastAsia="Arial" w:hAnsi="Arial"/>
                <w:sz w:val="18"/>
                <w:szCs w:val="18"/>
                <w:color w:val="auto"/>
              </w:rPr>
              <w:t>Provision for bad debts</w:t>
            </w: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26,495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Write-offs</w:t>
            </w:r>
          </w:p>
        </w:tc>
        <w:tc>
          <w:tcPr>
            <w:tcW w:w="1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(24,281)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(12,318)</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Allowance for doubtful accounts end of period</w:t>
            </w:r>
          </w:p>
        </w:tc>
        <w:tc>
          <w:tcPr>
            <w:tcW w:w="114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48,245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47,836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140" w:type="dxa"/>
            <w:vAlign w:val="bottom"/>
            <w:vMerge w:val="restart"/>
          </w:tcPr>
          <w:p>
            <w:pPr>
              <w:jc w:val="right"/>
              <w:ind w:right="853"/>
              <w:spacing w:after="0"/>
              <w:rPr>
                <w:sz w:val="20"/>
                <w:szCs w:val="20"/>
                <w:color w:val="auto"/>
              </w:rPr>
            </w:pPr>
            <w:r>
              <w:rPr>
                <w:rFonts w:ascii="Arial" w:cs="Arial" w:eastAsia="Arial" w:hAnsi="Arial"/>
                <w:sz w:val="18"/>
                <w:szCs w:val="18"/>
                <w:color w:val="auto"/>
                <w:w w:val="89"/>
              </w:rPr>
              <w:t>11</w:t>
            </w: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color w:val="auto"/>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the basis for evaluating such inputs, a three-tier value hierarchy prioritizes the inputs used in measuring fair value as follows:</w:t>
      </w:r>
    </w:p>
    <w:p>
      <w:pPr>
        <w:spacing w:after="0" w:line="131"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rFonts w:ascii="Arial" w:cs="Arial" w:eastAsia="Arial" w:hAnsi="Arial"/>
          <w:sz w:val="18"/>
          <w:szCs w:val="18"/>
          <w:color w:val="auto"/>
        </w:rPr>
      </w:pPr>
    </w:p>
    <w:p>
      <w:pPr>
        <w:ind w:left="640" w:right="38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1" w:lineRule="exact"/>
        <w:rPr>
          <w:rFonts w:ascii="Arial" w:cs="Arial" w:eastAsia="Arial" w:hAnsi="Arial"/>
          <w:sz w:val="18"/>
          <w:szCs w:val="18"/>
          <w:color w:val="auto"/>
        </w:rPr>
      </w:pPr>
    </w:p>
    <w:p>
      <w:pPr>
        <w:ind w:left="640" w:right="180" w:hanging="321"/>
        <w:spacing w:after="0" w:line="25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w:t>
      </w:r>
    </w:p>
    <w:p>
      <w:pPr>
        <w:spacing w:after="0" w:line="217" w:lineRule="exact"/>
        <w:rPr>
          <w:sz w:val="20"/>
          <w:szCs w:val="20"/>
          <w:color w:val="auto"/>
        </w:rPr>
      </w:pPr>
    </w:p>
    <w:p>
      <w:pPr>
        <w:ind w:right="620"/>
        <w:spacing w:after="0" w:line="340" w:lineRule="auto"/>
        <w:rPr>
          <w:sz w:val="20"/>
          <w:szCs w:val="20"/>
          <w:color w:val="auto"/>
        </w:rPr>
      </w:pPr>
      <w:r>
        <w:rPr>
          <w:rFonts w:ascii="Arial" w:cs="Arial" w:eastAsia="Arial" w:hAnsi="Arial"/>
          <w:sz w:val="18"/>
          <w:szCs w:val="18"/>
          <w:color w:val="auto"/>
        </w:rPr>
        <w:t>The following table presents the Company’s financial assets and liabilities which are measured at fair values on a recurring basis at June 30, 2018 and December 31, 2017,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500,824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500,824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609,048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609,048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collateral for 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40,969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40,969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Cash collateral obligation for 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Money market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39,035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517,723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collateral for foreign exchange contracts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26,888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26,821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collateral obligation for foreign exchange contracts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10,882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has highly-liquid investments classified as cash equivalents, with original maturities of 90 days or less, included in our Unaudited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on an overnight basis in repurchase agreements, money markets and certificates of deposit. The value of overnight repurchase agreements is determined based upon the quoted market prices for the treasury securities associated with the repurchase agreements. The value of money market instruments is the</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financial institutions' month-end statement, as these instruments are not tradeable and must be settled directly by us with the respective financial institution. Certificates of deposit are valued at cost, plus interest accrued. Given the short-term nature of these instruments, the carrying value approximates fair value. Foreign exchange derivative contracts are carried at fair value, with changes in fair value recognized in the Unaudited Consolidated Statements of Income. The fair value of the Company's derivatives is derived with reference to a valuation from a derivatives dealer operating in an active market, which approximates the fair value of these instruments. The fair value represents what would be received and or paid by the Company if the contracts were terminated as of the reporting date. Cash collateral received for foreign exchange derivatives is recorded within customer deposits in the Company's Unaudited Consolidated Balance Sheet at June 30, 2018. Cash collateral paid for foreign exchange derivatives is recorded within restricted cash in the Company's Unaudited Consolidated Balance Sheet at June 30, 2018.</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2018 and 2017.</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assets that are measured at fair value on a nonrecurring basis or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 projections of cash flows upon disposition and discount rates. Accordingly, these fair value measurements are in Level 3 of the fair value hierarchy.</w:t>
      </w:r>
    </w:p>
    <w:p>
      <w:pPr>
        <w:spacing w:after="0" w:line="18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 based interest rates that reset on a quarterly basis. These are each Level 2 fair value measurements, except for cash, which is a Level 1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4, 2016, the Company's Board of Directors approved a stock repurchase program (the "Program") under which the Company may purchase up to an aggregate of $500 million of its common stock over the following 18 month period. On July 27, 2017, the Company's Board of Directors authorized an increase in the size of the Program by an additional $250 million and an extension of the Program by an additional 18 months. On November 1, 2017, the Company announced that its Board of Directors had authorized an increase in the size of the Program by an additional $350 million, and on July 17, 2018, our Board of Directors authorized an additional increase of $500 million in the size of the Program resulting in total aggregate repurchases authorized under the Program of $1.6 billion. With the increase and giving effect to the Company's $970.8 million of previous repurchases, the Company may repurchase up to $629.2 million in shares of its common stock at any time prior to February 1, 2019.</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Since the beginning of the Program, 6,010,210 shares for an aggregate purchase price of $970.8 million have been repurchased. There were 1,896,106 shares totaling $380.7 million repurchased under the Program during the six months ended June 30,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Stock Incentive Plans (the Plans) pursuant to which the Company’s board of directors may grant stock options or restricted stock to employees.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February 7, 2018, the stockholders of the Company approved the FleetCor Technologies, Inc. Amended and Restated 2010 Equity Incentive Plan (the "Amended Plan"). The Amended Plan was authorized and approved by the Company's Board of Directors on December 20, 2017, and Company's stockholders at a meeting held on February 7, 2018. The Amended Plan amends the Registrant’s existing 2010 Equity Incentive Plan (as amended, the "Prior Plan") to, among other things, increase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common stock available for issuance from 13,250,000 to 16,750,000 and make certain other amendments to the Prior Plan.</w:t>
      </w:r>
    </w:p>
    <w:p>
      <w:pPr>
        <w:spacing w:after="0" w:line="156" w:lineRule="exact"/>
        <w:rPr>
          <w:sz w:val="20"/>
          <w:szCs w:val="20"/>
          <w:color w:val="auto"/>
        </w:rPr>
      </w:pPr>
    </w:p>
    <w:p>
      <w:pPr>
        <w:ind w:right="540"/>
        <w:spacing w:after="0" w:line="340" w:lineRule="auto"/>
        <w:rPr>
          <w:sz w:val="20"/>
          <w:szCs w:val="20"/>
          <w:color w:val="auto"/>
        </w:rPr>
      </w:pPr>
      <w:r>
        <w:rPr>
          <w:rFonts w:ascii="Arial" w:cs="Arial" w:eastAsia="Arial" w:hAnsi="Arial"/>
          <w:sz w:val="18"/>
          <w:szCs w:val="18"/>
          <w:color w:val="auto"/>
        </w:rPr>
        <w:t>The table below summarizes the expense recognized related to share-based payments recognized for the three and six month periods ended June 30 (in thousands):</w:t>
      </w:r>
    </w:p>
    <w:p>
      <w:pPr>
        <w:spacing w:after="0" w:line="76"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680" w:type="dxa"/>
            <w:vAlign w:val="bottom"/>
            <w:gridSpan w:val="4"/>
          </w:tcPr>
          <w:p>
            <w:pPr>
              <w:ind w:left="5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3"/>
          </w:tcPr>
          <w:p>
            <w:pPr>
              <w:ind w:left="880"/>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4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22,051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26,038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7,750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11,454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18,205</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33,505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44,243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tax benefits recorded on stock based compensation were $18.9 million and $24.3 million for the six month period ended June 30, 2018 and 2017, respectively.</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summarizes the Company’s total unrecognized compensation cost related to stock-based compensation as of June 30, 2018 (cost in thousands):</w:t>
      </w:r>
    </w:p>
    <w:p>
      <w:pPr>
        <w:spacing w:after="0" w:line="117"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8"/>
              </w:rPr>
              <w:t>Unrecognized</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Period of Expense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54"/>
              <w:spacing w:after="0"/>
              <w:rPr>
                <w:sz w:val="20"/>
                <w:szCs w:val="20"/>
                <w:color w:val="auto"/>
              </w:rPr>
            </w:pPr>
            <w:r>
              <w:rPr>
                <w:rFonts w:ascii="Arial" w:cs="Arial" w:eastAsia="Arial" w:hAnsi="Arial"/>
                <w:sz w:val="16"/>
                <w:szCs w:val="16"/>
                <w:b w:val="1"/>
                <w:bCs w:val="1"/>
                <w:color w:val="auto"/>
                <w:w w:val="89"/>
              </w:rPr>
              <w:t>Compensation</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Recognition</w:t>
            </w: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3"/>
              </w:rPr>
              <w:t>(in Years)</w:t>
            </w:r>
          </w:p>
        </w:tc>
      </w:tr>
      <w:tr>
        <w:trPr>
          <w:trHeight w:val="33"/>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77,704</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22,109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0.71</w:t>
            </w: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99,813</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Stock options are granted with an exercise price estimated to be equal to the fair market value on the date of grant as authorized by the Company’s board of directors. Options granted have vesting provisions ranging from one to five years and vesting of the options is generally based on the passage of time or performance. Stock option grants are subject to forfeiture if employment terminates prior to vesting.</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summarizes the changes in the number of shares of common stock under option for the six month period ended June 30, 2018 (shares and aggregate intrinsic value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8"/>
              </w:rPr>
              <w:t>Weighted</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Average Fair</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Options</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Value of</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Price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Options</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at End of</w:t>
            </w:r>
          </w:p>
        </w:tc>
        <w:tc>
          <w:tcPr>
            <w:tcW w:w="200" w:type="dxa"/>
            <w:vAlign w:val="bottom"/>
          </w:tcPr>
          <w:p>
            <w:pPr>
              <w:spacing w:after="0"/>
              <w:rPr>
                <w:sz w:val="17"/>
                <w:szCs w:val="17"/>
                <w:color w:val="auto"/>
              </w:rPr>
            </w:pPr>
          </w:p>
        </w:tc>
        <w:tc>
          <w:tcPr>
            <w:tcW w:w="1180" w:type="dxa"/>
            <w:vAlign w:val="bottom"/>
          </w:tcPr>
          <w:p>
            <w:pPr>
              <w:jc w:val="center"/>
              <w:ind w:right="137"/>
              <w:spacing w:after="0"/>
              <w:rPr>
                <w:sz w:val="20"/>
                <w:szCs w:val="20"/>
                <w:color w:val="auto"/>
              </w:rPr>
            </w:pPr>
            <w:r>
              <w:rPr>
                <w:rFonts w:ascii="Arial" w:cs="Arial" w:eastAsia="Arial" w:hAnsi="Arial"/>
                <w:sz w:val="16"/>
                <w:szCs w:val="16"/>
                <w:b w:val="1"/>
                <w:bCs w:val="1"/>
                <w:color w:val="auto"/>
                <w:w w:val="89"/>
              </w:rPr>
              <w:t>Exercisable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7"/>
              </w:rPr>
              <w:t>Granted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344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c>
          <w:tcPr>
            <w:tcW w:w="200" w:type="dxa"/>
            <w:vAlign w:val="bottom"/>
          </w:tcPr>
          <w:p>
            <w:pPr>
              <w:spacing w:after="0"/>
              <w:rPr>
                <w:sz w:val="18"/>
                <w:szCs w:val="18"/>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2"/>
              </w:rPr>
              <w:t>During the Period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109.78</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663,815</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202.61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202.68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57,825</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138.91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7,925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115.68</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752,617</w:t>
            </w: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8"/>
                <w:szCs w:val="18"/>
                <w:color w:val="auto"/>
              </w:rPr>
              <w:t>Expected to vest as of June 30, 2018</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7,925</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aggregate intrinsic value of stock options exercisable at June 30, 2018 was $576.7 million. The weighted average remaining contractual term of options exercisable at June 30, 2018 was 5.3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stock option awards granted was estimated using the Black-Scholes option pricing model with the following weighted-average assumptions for grants or modifications during the six month periods ended June 30, 2018 and 2017:</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2040" w:type="dxa"/>
            <w:vAlign w:val="bottom"/>
            <w:gridSpan w:val="3"/>
          </w:tcPr>
          <w:p>
            <w:pPr>
              <w:ind w:left="1320"/>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140" w:type="dxa"/>
            <w:vAlign w:val="bottom"/>
          </w:tcPr>
          <w:p>
            <w:pPr>
              <w:spacing w:after="0"/>
              <w:rPr>
                <w:sz w:val="20"/>
                <w:szCs w:val="20"/>
                <w:color w:val="auto"/>
              </w:rPr>
            </w:pPr>
          </w:p>
        </w:tc>
        <w:tc>
          <w:tcPr>
            <w:tcW w:w="14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572"/>
              <w:spacing w:after="0"/>
              <w:rPr>
                <w:sz w:val="20"/>
                <w:szCs w:val="20"/>
                <w:color w:val="auto"/>
              </w:rPr>
            </w:pPr>
            <w:r>
              <w:rPr>
                <w:rFonts w:ascii="Arial" w:cs="Arial" w:eastAsia="Arial" w:hAnsi="Arial"/>
                <w:sz w:val="16"/>
                <w:szCs w:val="16"/>
                <w:b w:val="1"/>
                <w:bCs w:val="1"/>
                <w:color w:val="auto"/>
              </w:rPr>
              <w:t>2017</w:t>
            </w:r>
          </w:p>
        </w:tc>
      </w:tr>
      <w:tr>
        <w:trPr>
          <w:trHeight w:val="33"/>
        </w:trPr>
        <w:tc>
          <w:tcPr>
            <w:tcW w:w="41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4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Awards of restricted stock and restricted stock units are independent of stock option grants and are subject to forfeiture if employment terminates prior to vesting. The vesting of shares granted is generally based on the passage of time, performance or market conditions, or a combination of these. Shares vesting based on the passage of time have vesting provisions of one to three years.</w:t>
      </w:r>
    </w:p>
    <w:p>
      <w:pPr>
        <w:spacing w:after="0" w:line="208" w:lineRule="exact"/>
        <w:rPr>
          <w:sz w:val="20"/>
          <w:szCs w:val="20"/>
          <w:color w:val="auto"/>
        </w:rPr>
      </w:pPr>
    </w:p>
    <w:p>
      <w:pPr>
        <w:ind w:right="320"/>
        <w:spacing w:after="0" w:line="340" w:lineRule="auto"/>
        <w:rPr>
          <w:sz w:val="20"/>
          <w:szCs w:val="20"/>
          <w:color w:val="auto"/>
        </w:rPr>
      </w:pPr>
      <w:r>
        <w:rPr>
          <w:rFonts w:ascii="Arial" w:cs="Arial" w:eastAsia="Arial" w:hAnsi="Arial"/>
          <w:sz w:val="18"/>
          <w:szCs w:val="18"/>
          <w:color w:val="auto"/>
        </w:rPr>
        <w:t>The following table summarizes the changes in the number of shares of restricted stock and restricted stock units for the six months ended June 30, 2018 (shares in thousands):</w:t>
      </w:r>
    </w:p>
    <w:p>
      <w:pPr>
        <w:spacing w:after="0" w:line="76"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1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4240" w:type="dxa"/>
            <w:vAlign w:val="bottom"/>
          </w:tcPr>
          <w:p>
            <w:pPr>
              <w:spacing w:after="0"/>
              <w:rPr>
                <w:sz w:val="18"/>
                <w:szCs w:val="18"/>
                <w:color w:val="auto"/>
              </w:rPr>
            </w:pPr>
          </w:p>
        </w:tc>
        <w:tc>
          <w:tcPr>
            <w:tcW w:w="1320" w:type="dxa"/>
            <w:vAlign w:val="bottom"/>
          </w:tcPr>
          <w:p>
            <w:pPr>
              <w:ind w:left="700"/>
              <w:spacing w:after="0"/>
              <w:rPr>
                <w:sz w:val="20"/>
                <w:szCs w:val="20"/>
                <w:color w:val="auto"/>
              </w:rPr>
            </w:pPr>
            <w:r>
              <w:rPr>
                <w:rFonts w:ascii="Arial" w:cs="Arial" w:eastAsia="Arial" w:hAnsi="Arial"/>
                <w:sz w:val="16"/>
                <w:szCs w:val="16"/>
                <w:b w:val="1"/>
                <w:bCs w:val="1"/>
                <w:color w:val="auto"/>
              </w:rPr>
              <w:t>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4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155.58</w:t>
            </w:r>
          </w:p>
        </w:tc>
      </w:tr>
      <w:tr>
        <w:trPr>
          <w:trHeight w:val="243"/>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205.33</w:t>
            </w:r>
          </w:p>
        </w:tc>
      </w:tr>
      <w:tr>
        <w:trPr>
          <w:trHeight w:val="27"/>
        </w:trPr>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158.79</w:t>
            </w:r>
          </w:p>
        </w:tc>
      </w:tr>
      <w:tr>
        <w:trPr>
          <w:trHeight w:val="243"/>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Canceled or 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156.17</w:t>
            </w:r>
          </w:p>
        </w:tc>
      </w:tr>
      <w:tr>
        <w:trPr>
          <w:trHeight w:val="27"/>
        </w:trPr>
        <w:tc>
          <w:tcPr>
            <w:tcW w:w="4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2018</w:t>
            </w:r>
          </w:p>
        </w:tc>
        <w:tc>
          <w:tcPr>
            <w:tcW w:w="13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Acquisitions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June 2018, the Company made investments in businesses of $11.2 million and payments of $3.8 million related to acquisitions occurring in prior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2017, the Company completed acquisitions with an aggregate purchase price of $725.1 million, net of cash acquired of $96.3 million and inclusive of notes payable of $29.3 million. During 2017, the Company made investments in other businesses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Global Payments</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August 9, 2017, the Company acquired Cambridge, a business to business (B2B) international payments provider, for approximately $616.0 million in cash, net of cash acquired of $94.5 million and inclusive of a note payable of $23.8 million. Cambridge processes B2B cross-border payments, assisting business clients in making international payments. The purpose of this acquisition is to further expand the Company's corporate payments footprint. The Company financed the acquisition using a combination of existing cash and borrowings under its existing credit facility. The results from Cambridge are reported in its North America segment. The following table summarizes the preliminary acquisition accounting for Cambridge (in thousands):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37,666</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61,801</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7,106</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500,169</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and other 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271,793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(194,394)</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(93,364)</w:t>
            </w:r>
          </w:p>
        </w:tc>
      </w:tr>
      <w:tr>
        <w:trPr>
          <w:trHeight w:val="257"/>
        </w:trPr>
        <w:tc>
          <w:tcPr>
            <w:tcW w:w="6560" w:type="dxa"/>
            <w:vAlign w:val="bottom"/>
          </w:tcPr>
          <w:p>
            <w:pPr>
              <w:ind w:left="20"/>
              <w:spacing w:after="0"/>
              <w:rPr>
                <w:sz w:val="20"/>
                <w:szCs w:val="20"/>
                <w:color w:val="auto"/>
              </w:rPr>
            </w:pPr>
            <w:r>
              <w:rPr>
                <w:rFonts w:ascii="Arial" w:cs="Arial" w:eastAsia="Arial" w:hAnsi="Arial"/>
                <w:sz w:val="18"/>
                <w:szCs w:val="18"/>
                <w:color w:val="auto"/>
              </w:rPr>
              <w:t>Aggregate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615,992</w:t>
            </w:r>
          </w:p>
        </w:tc>
      </w:tr>
      <w:tr>
        <w:trPr>
          <w:trHeight w:val="20"/>
        </w:trPr>
        <w:tc>
          <w:tcPr>
            <w:tcW w:w="6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Banking relationships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Trade name and trademarks</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35,110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Customer relationships - excluding Accounts Payable Solutions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7-18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178,190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 Accounts Payable Solutions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41,749</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271,793</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Along with the Company's acquisition of Cambridge, the Company signed noncompete agreements with certain parties with an estimated fair value of $5.8 million. Acquisition accounting for Cambridge is preliminary as the Company is still completing the valuation for goodwill, intangible assets, income taxes, certain acquired contingencies, derivatives and the working capital adjustment period remains open. Goodwill recorded is comprised primarily of expected synergies from combining the operations of the Company and Cambridge, as well as assembled workforce.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2017, the Company acquired Creative Lodging Solutions ("CLS"), a lodging business, and a fuel card provider in Russia for approximately $109.1 million, net of cash acquired of $1.8 million and inclusive of a note payable of $5.5 million. The Company financed the acquisitions using a combination of existing cash and borrowings under its existing credit facility. The accounting for these acquisitions is preliminary as the Company is still completing the valuation of goodwill, intangible assets, income taxes and evaluation of acquired contingencies. The following table summarizes the preliminary acquisition accounting for the acquisitions (in thousands):</w:t>
      </w:r>
    </w:p>
    <w:p>
      <w:pPr>
        <w:spacing w:after="0" w:line="122"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42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38,038</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3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59,946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3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53,459</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3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(17,217)</w:t>
            </w:r>
          </w:p>
        </w:tc>
        <w:tc>
          <w:tcPr>
            <w:tcW w:w="0" w:type="dxa"/>
            <w:vAlign w:val="bottom"/>
          </w:tcPr>
          <w:p>
            <w:pPr>
              <w:spacing w:after="0"/>
              <w:rPr>
                <w:sz w:val="1"/>
                <w:szCs w:val="1"/>
                <w:color w:val="auto"/>
              </w:rPr>
            </w:pPr>
          </w:p>
        </w:tc>
      </w:tr>
      <w:tr>
        <w:trPr>
          <w:trHeight w:val="257"/>
        </w:trPr>
        <w:tc>
          <w:tcPr>
            <w:tcW w:w="3160" w:type="dxa"/>
            <w:vAlign w:val="bottom"/>
          </w:tcPr>
          <w:p>
            <w:pPr>
              <w:ind w:left="20"/>
              <w:spacing w:after="0"/>
              <w:rPr>
                <w:sz w:val="20"/>
                <w:szCs w:val="20"/>
                <w:color w:val="auto"/>
              </w:rPr>
            </w:pPr>
            <w:r>
              <w:rPr>
                <w:rFonts w:ascii="Arial" w:cs="Arial" w:eastAsia="Arial" w:hAnsi="Arial"/>
                <w:sz w:val="18"/>
                <w:szCs w:val="18"/>
                <w:color w:val="auto"/>
              </w:rPr>
              <w:t>Aggregate purchase prices</w:t>
            </w:r>
          </w:p>
        </w:tc>
        <w:tc>
          <w:tcPr>
            <w:tcW w:w="344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109,123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440" w:type="dxa"/>
            <w:vAlign w:val="bottom"/>
            <w:vMerge w:val="restart"/>
          </w:tcPr>
          <w:p>
            <w:pPr>
              <w:jc w:val="right"/>
              <w:ind w:right="2010"/>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51,529</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17145</wp:posOffset>
            </wp:positionV>
            <wp:extent cx="943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Company's acquisition of CLS, the Company signed noncompete agreements with certain parties with an estimated fair value of $3.9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-115570</wp:posOffset>
            </wp:positionV>
            <wp:extent cx="943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Company’s goodwill by reportable business segment is as follows (in thousands):</w:t>
      </w:r>
    </w:p>
    <w:p>
      <w:pPr>
        <w:spacing w:after="0" w:line="185" w:lineRule="exact"/>
        <w:rPr>
          <w:sz w:val="20"/>
          <w:szCs w:val="20"/>
          <w:color w:val="auto"/>
        </w:rPr>
      </w:pPr>
    </w:p>
    <w:tbl>
      <w:tblPr>
        <w:tblLayout w:type="fixed"/>
        <w:tblInd w:w="14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Acquisition</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Accounting</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27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2017</w:t>
            </w: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June 30, 2018</w:t>
            </w:r>
          </w:p>
        </w:tc>
      </w:tr>
      <w:tr>
        <w:trPr>
          <w:trHeight w:val="33"/>
        </w:trPr>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3,084,123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3,079,626</w:t>
            </w:r>
          </w:p>
        </w:tc>
      </w:tr>
      <w:tr>
        <w:trPr>
          <w:trHeight w:val="27"/>
        </w:trPr>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1,631,700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1,476,580</w:t>
            </w:r>
          </w:p>
        </w:tc>
      </w:tr>
      <w:tr>
        <w:trPr>
          <w:trHeight w:val="237"/>
        </w:trPr>
        <w:tc>
          <w:tcPr>
            <w:tcW w:w="27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4,715,823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4,556,206</w:t>
            </w:r>
          </w:p>
        </w:tc>
      </w:tr>
      <w:tr>
        <w:trPr>
          <w:trHeight w:val="27"/>
        </w:trPr>
        <w:tc>
          <w:tcPr>
            <w:tcW w:w="2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and December 31, 2017, other intangible assets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Avg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Useful</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Lives</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Carrying</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Amounts</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96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and vendor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relationships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2,627,119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1,933,856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2,698,428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2,093,081</w:t>
            </w:r>
          </w:p>
        </w:tc>
        <w:tc>
          <w:tcPr>
            <w:tcW w:w="0" w:type="dxa"/>
            <w:vAlign w:val="bottom"/>
          </w:tcPr>
          <w:p>
            <w:pPr>
              <w:spacing w:after="0"/>
              <w:rPr>
                <w:sz w:val="1"/>
                <w:szCs w:val="1"/>
                <w:color w:val="auto"/>
              </w:rPr>
            </w:pP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Arial" w:cs="Arial" w:eastAsia="Arial" w:hAnsi="Arial"/>
                <w:sz w:val="18"/>
                <w:szCs w:val="18"/>
                <w:color w:val="auto"/>
              </w:rPr>
              <w:t>trademarks—indefinite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lived</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481,581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481,581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499,587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499,587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trademarks—other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Software</w:t>
            </w: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213,563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77,390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219,019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102,365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Non-compete 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45,827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8"/>
                <w:szCs w:val="18"/>
                <w:color w:val="auto"/>
              </w:rPr>
              <w:t>Total other intangibles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3,371,056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(855,824)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2,515,232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3,468,241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2,724,957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Changes in foreign exchange rates resulted in a $101.0 million decrease to the carrying values of other intangible assets in the six months ended June 30, 2018. Amortization expense related to intangible assets for the six months ended June 30, 2018 and 2017 was $112.5 million and $104.9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instruments consist primarily of term notes, revolving lines of credit and a Securitization Facility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notes payable—domestic(a), net of discounts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2,993,667</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A Facility—domestic(a)</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635,000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line of credit B Facility—foreign(a)</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28,334</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B Facility—swing line(a)</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debt(c)</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43,736</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and other obligations</w:t>
            </w: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3,809,001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3,707,616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Facility(b)</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811,000</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4,748,001</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4,518,616</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w:t>
            </w:r>
          </w:p>
        </w:tc>
        <w:tc>
          <w:tcPr>
            <w:tcW w:w="300" w:type="dxa"/>
            <w:vAlign w:val="bottom"/>
            <w:tcBorders>
              <w:bottom w:val="single" w:sz="8" w:color="auto"/>
            </w:tcBorders>
            <w:vMerge w:val="continue"/>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1,915,685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1,616,512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2,832,316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2,902,104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4,748,001</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4,518,616</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540" w:right="80" w:hanging="316"/>
        <w:spacing w:after="0" w:line="287"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a Credit Agreement, which has been amended multiple times and provides for senior secured credit facilities consisting of a revolving A credit facility in the amount of $1.285 billion, a term loan A facility in the amount of $2.69 billion and a term loan B facility in the amount of $350 million as of June 30, 2018.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 The Credit Agreement also includes an accordion feature for borrowing an additional $750 million in term A, term B or revolver A debt. Proceeds from the credit facilities may be used for working capital purposes, acquisitions, and other general corporate purposes. The maturity dates are August 2, 2022 for term A loan, revolving loans, and letters of credit under the Credit Agreement and August 2, 2024 for the term B loan.</w:t>
      </w:r>
    </w:p>
    <w:p>
      <w:pPr>
        <w:spacing w:after="0" w:line="170" w:lineRule="exact"/>
        <w:rPr>
          <w:rFonts w:ascii="Arial" w:cs="Arial" w:eastAsia="Arial" w:hAnsi="Arial"/>
          <w:sz w:val="16"/>
          <w:szCs w:val="16"/>
          <w:color w:val="auto"/>
        </w:rPr>
      </w:pPr>
    </w:p>
    <w:p>
      <w:pPr>
        <w:ind w:left="540" w:right="160"/>
        <w:spacing w:after="0" w:line="286" w:lineRule="auto"/>
        <w:rPr>
          <w:rFonts w:ascii="Arial" w:cs="Arial" w:eastAsia="Arial" w:hAnsi="Arial"/>
          <w:sz w:val="16"/>
          <w:szCs w:val="16"/>
          <w:color w:val="auto"/>
        </w:rPr>
      </w:pPr>
      <w:r>
        <w:rPr>
          <w:rFonts w:ascii="Arial" w:cs="Arial" w:eastAsia="Arial" w:hAnsi="Arial"/>
          <w:sz w:val="16"/>
          <w:szCs w:val="16"/>
          <w:color w:val="auto"/>
        </w:rPr>
        <w:t>Interest on amounts outstanding under the Credit Agreement (other than the term B loan) accrues based on the British Bankers Association LIBOR Rate (the Eurocurrency Rate), plus a margin based on a leverage ratio, or our option, the Base Rate (defined as the rate equal to the highest of (a) the Federal Funds Rate plus 0.50%, (b) the prime rate announced by Bank of America, N.A., or (c) the Eurocurrency Rate plus 1.00%) plus a margin based on a leverage ratio. Interest on the term B loan facility accrues based on the Eurocurrency Rate plus 2.00% for Eurocurrency Loans and at</w:t>
      </w:r>
    </w:p>
    <w:p>
      <w:pPr>
        <w:spacing w:after="0" w:line="1" w:lineRule="exact"/>
        <w:rPr>
          <w:rFonts w:ascii="Arial" w:cs="Arial" w:eastAsia="Arial" w:hAnsi="Arial"/>
          <w:sz w:val="16"/>
          <w:szCs w:val="16"/>
          <w:color w:val="auto"/>
        </w:rPr>
      </w:pPr>
    </w:p>
    <w:p>
      <w:pPr>
        <w:ind w:left="540" w:right="60"/>
        <w:spacing w:after="0" w:line="255" w:lineRule="auto"/>
        <w:rPr>
          <w:rFonts w:ascii="Arial" w:cs="Arial" w:eastAsia="Arial" w:hAnsi="Arial"/>
          <w:sz w:val="16"/>
          <w:szCs w:val="16"/>
          <w:color w:val="auto"/>
        </w:rPr>
      </w:pPr>
      <w:r>
        <w:rPr>
          <w:rFonts w:ascii="Arial" w:cs="Arial" w:eastAsia="Arial" w:hAnsi="Arial"/>
          <w:sz w:val="18"/>
          <w:szCs w:val="18"/>
          <w:color w:val="auto"/>
        </w:rPr>
        <w:t>1.00% for Base Rate Loans. In addition, the Company pays a quarterly commitment fee at a rate per annum ranging from 0.20% to 0.40% of the daily unused portion of the credit facility. The Company has unamortized debt discounts of $5.3 million related to the term A facility, and $0.6 million related to the term B facility and deferred financings costs of $4.6 million at June 30, 2018.</w:t>
      </w:r>
    </w:p>
    <w:p>
      <w:pPr>
        <w:spacing w:after="0" w:line="82" w:lineRule="exact"/>
        <w:rPr>
          <w:rFonts w:ascii="Arial" w:cs="Arial" w:eastAsia="Arial" w:hAnsi="Arial"/>
          <w:sz w:val="16"/>
          <w:szCs w:val="16"/>
          <w:color w:val="auto"/>
        </w:rPr>
      </w:pPr>
    </w:p>
    <w:p>
      <w:pPr>
        <w:jc w:val="both"/>
        <w:ind w:left="540" w:right="300"/>
        <w:spacing w:after="0" w:line="264" w:lineRule="auto"/>
        <w:rPr>
          <w:rFonts w:ascii="Arial" w:cs="Arial" w:eastAsia="Arial" w:hAnsi="Arial"/>
          <w:sz w:val="16"/>
          <w:szCs w:val="16"/>
          <w:color w:val="auto"/>
        </w:rPr>
      </w:pPr>
      <w:r>
        <w:rPr>
          <w:rFonts w:ascii="Arial" w:cs="Arial" w:eastAsia="Arial" w:hAnsi="Arial"/>
          <w:sz w:val="18"/>
          <w:szCs w:val="18"/>
          <w:color w:val="auto"/>
        </w:rPr>
        <w:t>At June 30, 2018, the interest rate on the term A loan and the domestic revolving A facility was 3.59%, the interest rate on the foreign revolving B facility was 2.01%, the interest rate on the revolving B facility foreign swing line of credit was 1.97% and the interest rate on the term B loan was 4.09%. The unused credit facility was 0.30% for all revolving facilities at June 30, 2018.</w:t>
      </w:r>
    </w:p>
    <w:p>
      <w:pPr>
        <w:spacing w:after="0" w:line="73" w:lineRule="exact"/>
        <w:rPr>
          <w:rFonts w:ascii="Arial" w:cs="Arial" w:eastAsia="Arial" w:hAnsi="Arial"/>
          <w:sz w:val="16"/>
          <w:szCs w:val="16"/>
          <w:color w:val="auto"/>
        </w:rPr>
      </w:pPr>
    </w:p>
    <w:p>
      <w:pPr>
        <w:jc w:val="both"/>
        <w:ind w:left="540" w:right="340" w:hanging="316"/>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party to a $950 million receivables purchase agreement (Securitization Facility) that was amended and restated on November 14, 2017. There is a program fee equal to one month LIBOR plus 0.90% or the Commercial Paper Rate plus 0.80%. The program fee was 2.15% plus 0.86% as of June 30, 2018 and 1.55% plus 0.86% as of December 31, 2017. The unused facility fee is payable at a rate of 0.40% per annum as of June 30, 2018 and December 31, 2017.</w:t>
      </w:r>
    </w:p>
    <w:p>
      <w:pPr>
        <w:spacing w:after="0" w:line="78"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debt includes the long-term portion of deferred payments associated with business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and non-financial covenants at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tax provision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 Our quarterly tax provision and our quarterly estimate of our annual effective tax rate are subject to variation due to several factors, including variability in accurately predicting our pre-tax and taxable income and loss and the mix of jurisdictions to which they relate.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U.S. government enacted tax legislation referred to as the Tax Act. The Tax Act makes broad and complex changes to the U.S. tax code, including, but not limited to, (1) reducing the U.S. federal corporate tax rate from 35 percent to 21 percent; (2) requiring companies to pay a one-time Deemed Repatriation Transition Tax (“Transition Tax”) on certain unrepatriated earnings of foreign subsidiaries that can be paid over eight years; (3) a new provision designed to tax global intangible low-taxed income (GILTI), which allows for the possibility of using foreign tax credits (FTCs) and a deduction of up to 50 percent to offset the income tax liability (subject to some limitations); (4) the repeal of the domestic production activity deduction beginning January 1, 2018; (5) limitations on the deductibility of certain executive compensation; and (6) a new limitation on deductible interest expense beginning January 1, 2018.</w:t>
      </w:r>
    </w:p>
    <w:p>
      <w:pPr>
        <w:spacing w:after="0" w:line="2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not completed its accounting for the tax effects of enactment of the Tax Act. However, the Company has made a reasonable estimate of the effects on its existing deferred tax balances and the one-time Transition Tax. In other cases, the Company has not been able to make a reasonable estimate and continues to account for those items based on its existing accounting under ASC 740 ("Income Taxes"), and the provisions of the tax laws that were in effect immediately prior to enactment.</w:t>
      </w:r>
    </w:p>
    <w:p>
      <w:pPr>
        <w:spacing w:after="0" w:line="2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SEC staff issued Staff Accounting Bulletin No. 118, "Income Tax Accounting Implications of the Tax Cuts and Jobs Act"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28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those items for which it was able to determine a reasonable estimate, the Company recognized a provisional net tax benefit of $128.2 million during 2017. This net benefit primarily consists of a net benefit for the corporate rate reduction on the deferred tax assets and liabilities of $210 million and a net expense for the Transition Tax of $81.8 million.</w:t>
      </w:r>
    </w:p>
    <w:p>
      <w:pPr>
        <w:spacing w:after="0" w:line="2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While the Company was able to make a reasonable estimate of the impact of the reduction in corporate rate on its net deferred tax liabilities, the impact may be affected by other analysis related to the Tax Act, including, but not limited to, the Company’s calculation of deemed repatriation of deferred foreign income. The Company was also not able to make a reasonable estimate of the impact of state taxes on adjustments made to federal temporary differences as a result of the Tax Act, or the impact of the new limitations on the deductibility of certain executive compensation. As a result, the Company continues to account for the impact of state taxes on adjustments made to federal temporary differences and the deductibility of certain executive compensation based on its existing accounting under ASC 740 and the provisions of the tax laws that were in effect immediately prior to enactment.</w:t>
      </w:r>
    </w:p>
    <w:p>
      <w:pPr>
        <w:spacing w:after="0" w:line="1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all cases, the Company will continue to make and refine its calculations as additional analysis is completed. We did not make any adjustments to these provisional amounts during the three months ended June 30, 2018. We are continuing to gather additional information, including, but not limited to, finalizing the calculation of post-1986 prescribed foreign E&amp;P, finalizing foreign tax pools for foreign tax credit purposes, and finalizing the amounts held in cash or other specified assets, to complete our accounting for these items and expect to complete our accounting within the measurement period.</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provision for income taxes differs from amounts computed by applying the U.S. federal tax rate of 21% for 2018 and 35% for 2017 to income before income taxes for the three months ended June 30, 2018 and 2017 due to the following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right"/>
              <w:ind w:right="1190"/>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expense at the U.S. federal tax rate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66,636</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Changes resulting from:</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income tax differential</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Excess tax benefits related to stock-based compensation</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taxes net of federal benefits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Foreign-sourced nontaxable income</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withholding taxes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GILTI Tax, net of foreign tax credits</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54,323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31.2 %</w:t>
            </w:r>
          </w:p>
        </w:tc>
      </w:tr>
      <w:tr>
        <w:trPr>
          <w:trHeight w:val="27"/>
        </w:trPr>
        <w:tc>
          <w:tcPr>
            <w:tcW w:w="5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for the three and six month periods ended June 30 follows (in thousands, except per share data):</w:t>
      </w:r>
    </w:p>
    <w:p>
      <w:pPr>
        <w:spacing w:after="0" w:line="390"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ind w:right="511"/>
              <w:spacing w:after="0"/>
              <w:rPr>
                <w:sz w:val="20"/>
                <w:szCs w:val="20"/>
                <w:color w:val="auto"/>
              </w:rPr>
            </w:pPr>
            <w:r>
              <w:rPr>
                <w:rFonts w:ascii="Arial" w:cs="Arial" w:eastAsia="Arial" w:hAnsi="Arial"/>
                <w:sz w:val="16"/>
                <w:szCs w:val="16"/>
                <w:b w:val="1"/>
                <w:bCs w:val="1"/>
                <w:color w:val="auto"/>
                <w:w w:val="84"/>
              </w:rPr>
              <w:t>2017</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176,852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130,987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351,789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254,680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 for basic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89,169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89,466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92,060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Denominator for diluted earnings per share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92,702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94,223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92,970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94,392</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Diluted earnings per share for the three months ended June 30, 2018 and 2017 excludes the effect of 0.1 million and 3.7 million shares of common stock, respectively, that may be issued upon the exercise of employee stock options because such effect would be anti-dilutive. Diluted earnings per share also excludes the effect of 0.1 million and 0.2 million shares of performance based restricted stock for which the performance criteria have not yet been achieved for the three month periods ended June 30, 2018 and 2017,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There were no inter-segment sales.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results are as follows for the three and six month periods ended June 30 (in thousands):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8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Pr>
          <w:p>
            <w:pPr>
              <w:spacing w:after="0"/>
              <w:rPr>
                <w:sz w:val="17"/>
                <w:szCs w:val="17"/>
                <w:color w:val="auto"/>
              </w:rPr>
            </w:pPr>
          </w:p>
        </w:tc>
      </w:tr>
      <w:tr>
        <w:trPr>
          <w:trHeight w:val="210"/>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3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Revenues, net:</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370,949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342,995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735,218</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672,943</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214,036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435,266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388,727</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584,985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541,237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1,170,484</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1,061,670</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51"/>
        </w:trPr>
        <w:tc>
          <w:tcPr>
            <w:tcW w:w="398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161,376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134,926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317,326</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255,898</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207,544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155,213</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264,783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216,043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524,870</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411,111</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38,317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76,992</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66,561</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63,120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63,014</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68,610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140,112</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129,575</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12,102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20,096</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21,734</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17,804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32,600</w:t>
            </w: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5" w:lineRule="auto"/>
        <w:tabs>
          <w:tab w:leader="none" w:pos="94"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2018 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Form 10-K and quarterly reports on Form 10-Q will not be restated to reflect ASC 606.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compensation by the defendants, restitution, costs, and attorneys’ and experts’ fees. The defendants dispute the allegations in the complaint and intend to vigorously defend against the claims.</w:t>
      </w:r>
    </w:p>
    <w:p>
      <w:pPr>
        <w:spacing w:after="0" w:line="17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Unauthorized Access into a Portion of the Company’s Systems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26, 2018, Company personnel identified suspicious activity primarily on systems involving the Company’s Stored Value Solutions gift card business. The Company took prompt action to stop the activity and limit the improper use of accessed private label gift card information (these gift cards do not contain personally identifiable information such as consumer names, Social Security numbers, driver’s license numbers and other sensitive personal data). The Company through counsel retained three information technology forensic firms to assist in the investigation and the remediation and further enhancement of our systems to prevent future unauthorized access. The Company also contacted federal law enforcement and merchants known to be affected. The investigation has now been concluded and, based on the findings of the investigation, the unauthorized access was limited to what was reported in the Company’s quarterly report on Form 10-Q filed May 10, 2018 and we do not expect the unauthorized access to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part of the Company's plan to exit the telematics business, on July 27, 2017, the Company sold NexTraq, a U.S. fleet telematics business, to Michelin Group for $316 million. The Company recorded a pre-tax gain on the disposal of NexTraq of $175.0 million during the third quarter of 2017, which was net of transaction closing costs. The Company recorded tax on the gain of disposal of $65.8 million. NexTraq was historically included in the Company's North America segment.</w:t>
      </w:r>
    </w:p>
    <w:p>
      <w:pPr>
        <w:spacing w:after="0" w:line="1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September 30, 2017, the Company entered into an amended Masternaut investment agreement that resulted in the loss of significant influence, and the Company began accounting for the Masternaut investment by applying the cost method.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w:t>
      </w:r>
    </w:p>
    <w:p>
      <w:pPr>
        <w:spacing w:after="0" w:line="229"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As a result of the Cambridge acquisition during 2017, the Company writes derivatives, primarily foreign currency forward contracts, option contracts, and swaps, mostly with small and medium size enterprises that are customers and derives a currency spread from this activity. Derivative transactions include:</w:t>
      </w:r>
    </w:p>
    <w:p>
      <w:pPr>
        <w:spacing w:after="0" w:line="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Forward contracts</w:t>
      </w:r>
      <w:r>
        <w:rPr>
          <w:rFonts w:ascii="Arial" w:cs="Arial" w:eastAsia="Arial" w:hAnsi="Arial"/>
          <w:sz w:val="18"/>
          <w:szCs w:val="18"/>
          <w:color w:val="auto"/>
        </w:rPr>
        <w:t>, which are commitments to buy or sell at a future date a currency at a contract price and will be settled in cash.</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Option contracts, </w:t>
      </w:r>
      <w:r>
        <w:rPr>
          <w:rFonts w:ascii="Arial" w:cs="Arial" w:eastAsia="Arial" w:hAnsi="Arial"/>
          <w:sz w:val="18"/>
          <w:szCs w:val="18"/>
          <w:color w:val="auto"/>
        </w:rPr>
        <w:t>which gives the purchaser, the right, but not the obligation to buy or sell within a specified time a currency at a contracted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settled in cash.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Swap contracts, </w:t>
      </w:r>
      <w:r>
        <w:rPr>
          <w:rFonts w:ascii="Arial" w:cs="Arial" w:eastAsia="Arial" w:hAnsi="Arial"/>
          <w:sz w:val="18"/>
          <w:szCs w:val="18"/>
          <w:color w:val="auto"/>
        </w:rPr>
        <w:t>which are commitments to settlement in cash at a future date or dates, usually on an overnight basis.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credit risk inherent in derivative agreements represents the possibility that a loss may occur from the nonperformance of a counterparty to the agreements.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the possible termination of the related contracts. The Company does not designate any of its foreign exchange derivatives as hedging instruments in accordance with ASC 815.</w:t>
      </w:r>
    </w:p>
    <w:p>
      <w:pPr>
        <w:spacing w:after="0" w:line="16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aggregate equivalent U.S. dollar notional amount of foreign exchange derivative customer contracts held by the Company as of June 30, 2018 and December 31, 2017 (in millions) is presented in the table below. Notional amounts do not reflect the netting of offsetting trades, although these offsetting positions may result in minimal overall market risk. Aggregate derivative notional amounts can fluctuate from period to period in the normal course of business based on market conditions, levels of customer activity and other factors.</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Arial" w:cs="Arial" w:eastAsia="Arial" w:hAnsi="Arial"/>
                <w:sz w:val="16"/>
                <w:szCs w:val="16"/>
                <w:b w:val="1"/>
                <w:bCs w:val="1"/>
                <w:color w:val="auto"/>
              </w:rPr>
              <w:t>Notional</w:t>
            </w:r>
          </w:p>
        </w:tc>
        <w:tc>
          <w:tcPr>
            <w:tcW w:w="168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5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ind w:right="473"/>
              <w:spacing w:after="0"/>
              <w:rPr>
                <w:sz w:val="20"/>
                <w:szCs w:val="20"/>
                <w:color w:val="auto"/>
              </w:rPr>
            </w:pPr>
            <w:r>
              <w:rPr>
                <w:rFonts w:ascii="Arial" w:cs="Arial" w:eastAsia="Arial" w:hAnsi="Arial"/>
                <w:sz w:val="16"/>
                <w:szCs w:val="16"/>
                <w:b w:val="1"/>
                <w:bCs w:val="1"/>
                <w:color w:val="auto"/>
              </w:rPr>
              <w:t>June 30, 2018</w:t>
            </w:r>
          </w:p>
        </w:tc>
        <w:tc>
          <w:tcPr>
            <w:tcW w:w="400" w:type="dxa"/>
            <w:vAlign w:val="bottom"/>
          </w:tcPr>
          <w:p>
            <w:pPr>
              <w:spacing w:after="0"/>
              <w:rPr>
                <w:sz w:val="20"/>
                <w:szCs w:val="20"/>
                <w:color w:val="auto"/>
              </w:rPr>
            </w:pPr>
          </w:p>
        </w:tc>
        <w:tc>
          <w:tcPr>
            <w:tcW w:w="1680" w:type="dxa"/>
            <w:vAlign w:val="bottom"/>
          </w:tcPr>
          <w:p>
            <w:pPr>
              <w:jc w:val="right"/>
              <w:ind w:right="231"/>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exchange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Swaps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324.2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515.4</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Futures, forwards and spot</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3,855.9</w:t>
            </w: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3,274.5</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Written options</w:t>
            </w:r>
          </w:p>
        </w:tc>
        <w:tc>
          <w:tcPr>
            <w:tcW w:w="300" w:type="dxa"/>
            <w:vAlign w:val="bottom"/>
          </w:tcPr>
          <w:p>
            <w:pPr>
              <w:spacing w:after="0"/>
              <w:rPr>
                <w:sz w:val="21"/>
                <w:szCs w:val="21"/>
                <w:color w:val="auto"/>
              </w:rPr>
            </w:pP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3,245.7</w:t>
            </w:r>
          </w:p>
        </w:tc>
        <w:tc>
          <w:tcPr>
            <w:tcW w:w="40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2,934.2</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Purchased options</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2,800.1</w:t>
            </w:r>
          </w:p>
        </w:tc>
        <w:tc>
          <w:tcPr>
            <w:tcW w:w="4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2,314.1</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10,225.9</w:t>
            </w:r>
          </w:p>
        </w:tc>
        <w:tc>
          <w:tcPr>
            <w:tcW w:w="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9,038.1</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majority of customer foreign exchange contracts are written in currencies such as the U.S. Dollar, Canadian Dollar, British Pound, Euro and Australian Dollar.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fair value of derivatives reported in the Unaudited Consolidated Balance Sheet as of June 30, 2018 and December 31, 2017 (in millions):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ind w:left="46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Arial" w:cs="Arial" w:eastAsia="Arial" w:hAnsi="Arial"/>
                <w:sz w:val="16"/>
                <w:szCs w:val="16"/>
                <w:b w:val="1"/>
                <w:bCs w:val="1"/>
                <w:color w:val="auto"/>
              </w:rPr>
              <w:t>Fair Value, Gross</w:t>
            </w:r>
          </w:p>
        </w:tc>
        <w:tc>
          <w:tcPr>
            <w:tcW w:w="12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Arial" w:cs="Arial" w:eastAsia="Arial" w:hAnsi="Arial"/>
                <w:sz w:val="16"/>
                <w:szCs w:val="16"/>
                <w:b w:val="1"/>
                <w:bCs w:val="1"/>
                <w:color w:val="auto"/>
              </w:rPr>
              <w:t>Fair Value, Net</w:t>
            </w:r>
          </w:p>
        </w:tc>
        <w:tc>
          <w:tcPr>
            <w:tcW w:w="12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Arial" w:cs="Arial" w:eastAsia="Arial" w:hAnsi="Arial"/>
                <w:sz w:val="16"/>
                <w:szCs w:val="16"/>
                <w:b w:val="1"/>
                <w:bCs w:val="1"/>
                <w:color w:val="auto"/>
              </w:rPr>
              <w:t>Fair Value, Gross</w:t>
            </w:r>
          </w:p>
        </w:tc>
        <w:tc>
          <w:tcPr>
            <w:tcW w:w="120" w:type="dxa"/>
            <w:vAlign w:val="bottom"/>
          </w:tcPr>
          <w:p>
            <w:pPr>
              <w:spacing w:after="0"/>
              <w:rPr>
                <w:sz w:val="20"/>
                <w:szCs w:val="20"/>
                <w:color w:val="auto"/>
              </w:rPr>
            </w:pPr>
          </w:p>
        </w:tc>
        <w:tc>
          <w:tcPr>
            <w:tcW w:w="198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rPr>
              <w:t>Fair Value, Net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6"/>
                <w:szCs w:val="16"/>
                <w:b w:val="1"/>
                <w:bCs w:val="1"/>
                <w:color w:val="auto"/>
                <w:w w:val="94"/>
              </w:rPr>
              <w:t>Derivative</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Assets</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Assets</w:t>
            </w:r>
          </w:p>
        </w:tc>
        <w:tc>
          <w:tcPr>
            <w:tcW w:w="12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6"/>
                <w:szCs w:val="16"/>
                <w:b w:val="1"/>
                <w:bCs w:val="1"/>
                <w:color w:val="auto"/>
                <w:w w:val="94"/>
              </w:rPr>
              <w:t>Liabilities</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6"/>
              </w:rPr>
              <w:t>Derivatives - undesignated:</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Over the counter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traded</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68.3</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collateral</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8"/>
                <w:szCs w:val="18"/>
                <w:color w:val="auto"/>
                <w:w w:val="93"/>
              </w:rPr>
              <w:t>Total net derivative assets and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57.4</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values of derivative assets and liabilities associated with contracts which include netting language that the Company believes to be enforceable have been netted to present the Company's net exposure with these counterparties. The Company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5"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recognizes all derivative assets, net in prepaid expense and other current assets and all derivative liabilities, net in other current liabilities, after netting at the customer level, as right of offset exists, in its Unaudited Consolidated Balance Sheets at their fair value. The gain or loss on the fair value is recognized immediately within revenues, net in the Unaudited Consolidated Statements of Income. The Company does not offset fair value amounts recognized for the right to reclaim cash collateral or the obligation to return cash collateral. The derivative assets and derivative liabilities in the preceding table were recorded in "other current assets" and "other current liabilities" at each balance sheet date, respectively, in the Unaudited Consolidated Balance Sheet. The Company receives cash from customers as collateral for trade exposures, which is recorded within "cash and cash equivalents: and "customer deposits" in the Unaudited Consolidated Balance Sheet. The customer has the right to recall their collateral in the event exposures move in their favor, they unwind all outstanding trades or they cease to do business with the Company.</w:t>
      </w:r>
    </w:p>
    <w:p>
      <w:pPr>
        <w:spacing w:after="0" w:line="12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See “Special Cautionary Notice Regarding Forward-Looking Statements”. All foreign currency amounts that have been converted into U.S. dollars in this discussion are based on the exchange rate as reported by OANDA for the applicable periods.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management’s discussion and analysis should also be read in conjunction with the management’s discussion and analysis and consolidated financial statements and related notes included in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FLEETCOR is a leading global provider of commercial payment solutions. We help businesses of all sizes control, simplify and secure payment of various domestic and cross-border payables using specialized payment products. We serve businesses, merchants and partners in North America, Latin America, Europe, and Australasia. FLEETCOR’s predecessor company was organized in the United States in 1986, and FLEETCOR had its initial public offering in 2010 (NYSE: FLT).</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FLEETCOR has two reportable segments, North America and International. We report these two segments as they align with our senior executive organizational structure, reflect how we organize and manage our employees around the world, manage operating performance, contemplate the differing regulatory environments in North America versus other geographies, and help us isolate the impact of foreign exchange fluctuations on our financial results.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payment solutions provide our customers with a payment method designed to be superior to and more robust and effective than what they use currently, whether they use a competitor’s product or another alternative method such as cash or check. Our solutions are comprised of payment products, networks and associated services.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payment products function like a charge card or prepaid card and tend to be specialized for specific spend categories, such as fuel or lodging, and/or specific customer groups, such as long haul transportation. FLEETCOR’s five primary product lines are Fuel, Lodging, Tolls, Corporate Payments and Gift. Additionally, we provide other payment products including fleet maintenance, employee benefits and long haul transportation-related services. Our products are used in 56 countries around the world, with our primary geographies being the U.S., Brazil and the United Kingdom, which combined accounted for approximately 90% of our revenue in 2017.</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FLEETCOR uses both proprietary and third-party networks to deliver our payment solutions. FLEETCOR owns and operates proprietary networks with well-established brands throughout the world, bringing incremental sales and loyalty to affiliated merchants. Third-party networks are used to broaden payment product acceptance and use. In 2017, we processed approximately 3 billion transactions within these networks, of which approximately 1.4 billion were related to our Gift product line.</w:t>
      </w:r>
    </w:p>
    <w:p>
      <w:pPr>
        <w:spacing w:after="0" w:line="18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FLEETCOR capitalizes on its products’ specialization with sales and marketing efforts by deploying product-dedicated sales forces to target specific customer segments. We market our products directly through multiple sales channels, including field sales, telesales and digital marketing, and indirectly through our partners, which include major oil companies, leasing companies, petroleum marketers, value-added resellers and referral partners.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that our size and scale, product breadth and specialization, geographic reach, proprietary networks, robust distribution capabilities and advanced technology contribute to our industry leading position.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operate in two segments, which we refer to as our North America and International segments. Our revenue is reported net of the cost for underlying products and services. In this report, we refer to this net revenue as “revenues, net". See “Results of Operations” for additional segment information.</w:t>
      </w:r>
    </w:p>
    <w:p>
      <w:pPr>
        <w:spacing w:after="0" w:line="9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Results presented for 2018 reflects the impact of the Company's adoption of Accounting Standards Update 2014-09, "Revenue from Contracts with Customers ("Topic 606") ("ASC 606") and related cost capitalization guidance, which was adopted by the Company on January 1, 2018 using the modified retrospective transition method. The adoption of Topic 606 resulted in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Topic 606.</w:t>
      </w:r>
    </w:p>
    <w:p>
      <w:pPr>
        <w:spacing w:after="0" w:line="15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adoption of Topic 606 had the impact of reducing revenues by approximately $23 million and $48 million for the three and six months ended June 30, 2018, respectively. Such expenses were not reflected as a reduction of revenues in the 2017 amounts presented. This lack of comparability should be considered in reviewing the transaction analysis and the various breakdowns of revenue by geography, product and source in this discussion and analysis.</w:t>
      </w:r>
    </w:p>
    <w:p>
      <w:pPr>
        <w:spacing w:after="0" w:line="3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Revenues, net, by Segment. </w:t>
      </w:r>
      <w:r>
        <w:rPr>
          <w:rFonts w:ascii="Arial" w:cs="Arial" w:eastAsia="Arial" w:hAnsi="Arial"/>
          <w:sz w:val="18"/>
          <w:szCs w:val="18"/>
          <w:color w:val="auto"/>
        </w:rPr>
        <w:t>For the three and six months ended June 30, 2018 and 2017, our North America and International segments generated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revenue (in millions):</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Revenues, net</w:t>
            </w:r>
          </w:p>
        </w:tc>
        <w:tc>
          <w:tcPr>
            <w:tcW w:w="10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Revenues, net</w:t>
            </w:r>
          </w:p>
        </w:tc>
        <w:tc>
          <w:tcPr>
            <w:tcW w:w="10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total</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Revenues, net</w:t>
            </w:r>
          </w:p>
        </w:tc>
        <w:tc>
          <w:tcPr>
            <w:tcW w:w="1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Revenues, net</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12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revenues, net</w:t>
            </w: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revenues, net</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revenues, net</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15"/>
        </w:trPr>
        <w:tc>
          <w:tcPr>
            <w:tcW w:w="1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w:t>
            </w: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12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Revenues, net, Net Income and Net Income Per Diluted Share. </w:t>
      </w:r>
      <w:r>
        <w:rPr>
          <w:rFonts w:ascii="Arial" w:cs="Arial" w:eastAsia="Arial" w:hAnsi="Arial"/>
          <w:sz w:val="18"/>
          <w:szCs w:val="18"/>
          <w:color w:val="auto"/>
        </w:rPr>
        <w:t>Set forth below are revenues, net, net income and net income per diluted share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six months ended June 30, 2018 and 2017 (in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254.7</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diluted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r>
      <w:tr>
        <w:trPr>
          <w:trHeight w:val="27"/>
        </w:trPr>
        <w:tc>
          <w:tcPr>
            <w:tcW w:w="4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Adjusted Net Income and Adjusted Net Income Per Diluted Share. </w:t>
      </w:r>
      <w:r>
        <w:rPr>
          <w:rFonts w:ascii="Arial" w:cs="Arial" w:eastAsia="Arial" w:hAnsi="Arial"/>
          <w:sz w:val="18"/>
          <w:szCs w:val="18"/>
          <w:color w:val="auto"/>
        </w:rPr>
        <w:t>Set forth below are adjusted net income and adjusted net income per diluted share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and six months ended June 30, 2018 and 2017 (in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436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237.8</w:t>
            </w:r>
          </w:p>
        </w:tc>
        <w:tc>
          <w:tcPr>
            <w:tcW w:w="12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187.0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372.0</w:t>
            </w:r>
          </w:p>
        </w:tc>
      </w:tr>
      <w:tr>
        <w:trPr>
          <w:trHeight w:val="27"/>
        </w:trPr>
        <w:tc>
          <w:tcPr>
            <w:tcW w:w="4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diluted share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4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Adjusted net income and adjusted net income per diluted share are supplemental non-GAAP financial measures of operating performance. See the heading entitled “Management’s Use of Non-GAAP Financial Measures.” We use adjusted net income and adjusted net income per diluted share to eliminate the effect of items that we do not consider indicative of our core operating performance on a consistent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both of our segments, we derive revenue from transactions. A transaction is defined as a purchase by a customer utilizing one of our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a participating merchant. The following diagram illustrates a typical transaction flow, which is representative of many, but not all, of our businesses.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Illustrative Transaction Flow</w:t>
      </w:r>
    </w:p>
    <w:p>
      <w:pPr>
        <w:sectPr>
          <w:pgSz w:w="11900" w:h="16838" w:orient="portrait"/>
          <w:cols w:equalWidth="0" w:num="1">
            <w:col w:w="11400"/>
          </w:cols>
          <w:pgMar w:left="240" w:top="125" w:right="25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238125</wp:posOffset>
            </wp:positionV>
            <wp:extent cx="5866130" cy="1800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revenue we derive from transactions is generated from both customers and merchants. Customers may include commercial businesses (obtained through direct and indirect channels), as well as partners for whom we manage payment programs. Merchants, who may also be customers under relevant accounting guidance, may include those merchants affiliated with our proprietary networks or those participating in the third-party networks we utilize.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From our customers and partners, we generate revenue through a variety of program fees, including transaction fees, card fees, network fees and charges.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fees may be charged as fixed amounts, costs plus a mark-up, or based on a percentage of the transaction purchase amounts, or a combination thereof.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programs include other fees and charges associated with late payments and based on customer credit risk.</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our merchants and third-party networks, we generate revenue mostly from the difference between the amount charged to a customer and the amount paid to the merchant or network for a given transaction, as well as network fees and charges in certain businesses. The amount paid to a merchant or network may be calculated as (i) the merchant’s wholesale product cost plus a markup; (ii) the transaction purchase amount less a percentage discount; or (iii) the transaction purchase amount less a fixed fee per unit. The following table provides illustrations of these three merchant payment models, which are representative of many, but not all, of our businesses.</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Illustrative Merchant Payment Models</w:t>
      </w:r>
    </w:p>
    <w:p>
      <w:pPr>
        <w:spacing w:after="0" w:line="81"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2560" w:type="dxa"/>
            <w:vAlign w:val="bottom"/>
          </w:tcPr>
          <w:p>
            <w:pPr>
              <w:ind w:left="200"/>
              <w:spacing w:after="0"/>
              <w:rPr>
                <w:sz w:val="20"/>
                <w:szCs w:val="20"/>
                <w:color w:val="auto"/>
              </w:rPr>
            </w:pPr>
            <w:r>
              <w:rPr>
                <w:rFonts w:ascii="Arial" w:cs="Arial" w:eastAsia="Arial" w:hAnsi="Arial"/>
                <w:sz w:val="16"/>
                <w:szCs w:val="16"/>
                <w:b w:val="1"/>
                <w:bCs w:val="1"/>
                <w:color w:val="auto"/>
              </w:rPr>
              <w:t>i) Cost Plus Mark-up:</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ii) Percentage Discount: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iii) Fixed Fee:</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Wholesale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2560" w:type="dxa"/>
            <w:vAlign w:val="bottom"/>
          </w:tcPr>
          <w:p>
            <w:pPr>
              <w:ind w:left="200"/>
              <w:spacing w:after="0"/>
              <w:rPr>
                <w:sz w:val="20"/>
                <w:szCs w:val="20"/>
                <w:color w:val="auto"/>
              </w:rPr>
            </w:pPr>
            <w:r>
              <w:rPr>
                <w:rFonts w:ascii="Arial" w:cs="Arial" w:eastAsia="Arial" w:hAnsi="Arial"/>
                <w:sz w:val="18"/>
                <w:szCs w:val="18"/>
                <w:color w:val="auto"/>
              </w:rPr>
              <w:t>Mark-up</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0.05</w:t>
            </w:r>
          </w:p>
        </w:tc>
        <w:tc>
          <w:tcPr>
            <w:tcW w:w="2500" w:type="dxa"/>
            <w:vAlign w:val="bottom"/>
          </w:tcPr>
          <w:p>
            <w:pPr>
              <w:ind w:left="140"/>
              <w:spacing w:after="0"/>
              <w:rPr>
                <w:sz w:val="20"/>
                <w:szCs w:val="20"/>
                <w:color w:val="auto"/>
              </w:rPr>
            </w:pPr>
            <w:r>
              <w:rPr>
                <w:rFonts w:ascii="Arial" w:cs="Arial" w:eastAsia="Arial" w:hAnsi="Arial"/>
                <w:sz w:val="18"/>
                <w:szCs w:val="18"/>
                <w:color w:val="auto"/>
              </w:rPr>
              <w:t>Discount (3%)</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2500" w:type="dxa"/>
            <w:vAlign w:val="bottom"/>
          </w:tcPr>
          <w:p>
            <w:pPr>
              <w:ind w:left="140"/>
              <w:spacing w:after="0"/>
              <w:rPr>
                <w:sz w:val="20"/>
                <w:szCs w:val="20"/>
                <w:color w:val="auto"/>
              </w:rPr>
            </w:pPr>
            <w:r>
              <w:rPr>
                <w:rFonts w:ascii="Arial" w:cs="Arial" w:eastAsia="Arial" w:hAnsi="Arial"/>
                <w:sz w:val="18"/>
                <w:szCs w:val="18"/>
                <w:color w:val="auto"/>
              </w:rPr>
              <w:t>Fixed Fee</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2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Price Paid to Merchant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Price Paid to Merchant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Price Paid to Merchant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0"/>
        </w:trPr>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a transaction involving the purchase of fuel where the amount paid to the merchant is calculated under the cost plus markup model, we refer to the difference between the amount charged to the customer and the amount paid to the merchant as revenue tied to fuel-price spreads. In all other cases, we refer to the difference between the amount charged to the customer and the amount paid to the merchant for a given transaction as interchange revenue.</w:t>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line="310" w:lineRule="auto"/>
        <w:rPr>
          <w:sz w:val="20"/>
          <w:szCs w:val="20"/>
          <w:color w:val="auto"/>
        </w:rPr>
      </w:pPr>
      <w:r>
        <w:rPr>
          <w:rFonts w:ascii="Arial" w:cs="Arial" w:eastAsia="Arial" w:hAnsi="Arial"/>
          <w:sz w:val="18"/>
          <w:szCs w:val="18"/>
          <w:i w:val="1"/>
          <w:iCs w:val="1"/>
          <w:color w:val="auto"/>
        </w:rPr>
        <w:t xml:space="preserve">Revenue per transaction. </w:t>
      </w:r>
      <w:r>
        <w:rPr>
          <w:rFonts w:ascii="Arial" w:cs="Arial" w:eastAsia="Arial" w:hAnsi="Arial"/>
          <w:sz w:val="18"/>
          <w:szCs w:val="18"/>
          <w:color w:val="auto"/>
        </w:rPr>
        <w:t>Set forth below is revenue per transaction by segment information for the three and six months ended June 30, 2018 and 2017</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per transactions by segment is affected by the mix of products and acquisitions, which may result in revenue per transaction by product providing more meaningful data for analysis.</w:t>
      </w:r>
    </w:p>
    <w:p>
      <w:pPr>
        <w:spacing w:after="0" w:line="151"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3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22"/>
                <w:szCs w:val="2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Transactions (in millions)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429.7</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858.4</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200" w:type="dxa"/>
            <w:vAlign w:val="bottom"/>
            <w:tcBorders>
              <w:bottom w:val="single" w:sz="8" w:color="auto"/>
            </w:tcBorders>
            <w:shd w:val="clear" w:color="auto" w:fill="CCEEFF"/>
          </w:tcPr>
          <w:p>
            <w:pPr>
              <w:spacing w:after="0"/>
              <w:rPr>
                <w:sz w:val="23"/>
                <w:szCs w:val="23"/>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transactions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1,388.6</w:t>
            </w:r>
          </w:p>
        </w:tc>
        <w:tc>
          <w:tcPr>
            <w:tcW w:w="200" w:type="dxa"/>
            <w:vAlign w:val="bottom"/>
          </w:tcPr>
          <w:p>
            <w:pPr>
              <w:spacing w:after="0"/>
              <w:rPr>
                <w:sz w:val="20"/>
                <w:szCs w:val="20"/>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r>
      <w:tr>
        <w:trPr>
          <w:trHeight w:val="231"/>
        </w:trPr>
        <w:tc>
          <w:tcPr>
            <w:tcW w:w="3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Revenue per transaction</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Consolidated revenue per transaction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21"/>
                <w:szCs w:val="21"/>
                <w:color w:val="auto"/>
              </w:rPr>
            </w:pPr>
          </w:p>
        </w:tc>
      </w:tr>
    </w:tbl>
    <w:p>
      <w:pPr>
        <w:spacing w:after="0" w:line="175" w:lineRule="exact"/>
        <w:rPr>
          <w:sz w:val="20"/>
          <w:szCs w:val="20"/>
          <w:color w:val="auto"/>
        </w:rPr>
      </w:pPr>
    </w:p>
    <w:p>
      <w:pPr>
        <w:ind w:left="1240" w:right="1000" w:hanging="3"/>
        <w:spacing w:after="0" w:line="216" w:lineRule="auto"/>
        <w:tabs>
          <w:tab w:leader="none" w:pos="1348"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For purposes of comparability, reflects adjustment for 44.3 million non-recurring transactions at SVS in the first quarter of 2017 due to system driven balance inquiries.</w:t>
      </w:r>
    </w:p>
    <w:p>
      <w:pPr>
        <w:spacing w:after="0" w:line="41" w:lineRule="exact"/>
        <w:rPr>
          <w:rFonts w:ascii="Arial" w:cs="Arial" w:eastAsia="Arial" w:hAnsi="Arial"/>
          <w:sz w:val="25"/>
          <w:szCs w:val="25"/>
          <w:color w:val="auto"/>
          <w:vertAlign w:val="superscript"/>
        </w:rPr>
      </w:pPr>
    </w:p>
    <w:p>
      <w:pPr>
        <w:ind w:left="12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Reflects adjustments from previously disclosed amounts for the prior period to conform to current presentation.</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240" w:top="125" w:right="4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breakdown of revenue per transaction by product for the three months ended June 30, 2018 and 2017.</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3"/>
              </w:rPr>
              <w:t>As Reported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8"/>
              </w:rPr>
              <w:t>Pro Forma and Macro Adjusted</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 June 30,</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9"/>
              </w:rPr>
              <w:t>Three Months Ended June 30,</w:t>
            </w:r>
          </w:p>
        </w:tc>
        <w:tc>
          <w:tcPr>
            <w:tcW w:w="9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3180" w:type="dxa"/>
            <w:vAlign w:val="bottom"/>
            <w:gridSpan w:val="10"/>
          </w:tcPr>
          <w:p>
            <w:pPr>
              <w:ind w:left="40"/>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22"/>
                <w:szCs w:val="22"/>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2018¹</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2"/>
                <w:szCs w:val="22"/>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2018¹</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2017¹</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202"/>
        </w:trPr>
        <w:tc>
          <w:tcPr>
            <w:tcW w:w="3180" w:type="dxa"/>
            <w:vAlign w:val="bottom"/>
            <w:tcBorders>
              <w:top w:val="single" w:sz="8" w:color="CCEEFF"/>
              <w:left w:val="single" w:sz="8" w:color="CCEEFF"/>
            </w:tcBorders>
            <w:gridSpan w:val="10"/>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 xml:space="preserve">FUEL </w:t>
            </w:r>
            <w:r>
              <w:rPr>
                <w:rFonts w:ascii="Arial" w:cs="Arial" w:eastAsia="Arial" w:hAnsi="Arial"/>
                <w:sz w:val="21"/>
                <w:szCs w:val="21"/>
                <w:b w:val="1"/>
                <w:bCs w:val="1"/>
                <w:color w:val="auto"/>
                <w:vertAlign w:val="superscript"/>
              </w:rPr>
              <w:t>4</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116.8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278.2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CORPORATE PAYMENTS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50.2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TOLLS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r>
              <w:rPr>
                <w:rFonts w:ascii="Arial" w:cs="Arial" w:eastAsia="Arial" w:hAnsi="Arial"/>
                <w:sz w:val="21"/>
                <w:szCs w:val="21"/>
                <w:color w:val="000000"/>
                <w:vertAlign w:val="superscript"/>
              </w:rPr>
              <w:t>2</w:t>
            </w:r>
          </w:p>
        </w:tc>
        <w:tc>
          <w:tcPr>
            <w:tcW w:w="200" w:type="dxa"/>
            <w:vAlign w:val="bottom"/>
          </w:tcPr>
          <w:p>
            <w:pPr>
              <w:spacing w:after="0"/>
              <w:rPr>
                <w:sz w:val="23"/>
                <w:szCs w:val="23"/>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216.7</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76.0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LODGING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GIFT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41.3</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line="20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3,4</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66.6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3 %</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40" w:type="dxa"/>
            <w:vAlign w:val="bottom"/>
            <w:tcBorders>
              <w:left w:val="single" w:sz="8" w:color="auto"/>
            </w:tcBorders>
            <w:shd w:val="clear" w:color="auto" w:fill="CCEEFF"/>
          </w:tcPr>
          <w:p>
            <w:pPr>
              <w:spacing w:after="0"/>
              <w:rPr>
                <w:sz w:val="15"/>
                <w:szCs w:val="15"/>
                <w:color w:val="auto"/>
              </w:rPr>
            </w:pPr>
          </w:p>
        </w:tc>
        <w:tc>
          <w:tcPr>
            <w:tcW w:w="3140" w:type="dxa"/>
            <w:vAlign w:val="bottom"/>
            <w:gridSpan w:val="9"/>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FLEETCOR CONSOLIDATED</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r>
      <w:tr>
        <w:trPr>
          <w:trHeight w:val="230"/>
        </w:trPr>
        <w:tc>
          <w:tcPr>
            <w:tcW w:w="40" w:type="dxa"/>
            <w:vAlign w:val="bottom"/>
            <w:tcBorders>
              <w:top w:val="single" w:sz="8" w:color="CCEEFF"/>
              <w:left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6"/>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99"/>
              </w:rPr>
              <w:t>REVENUES</w:t>
            </w:r>
          </w:p>
        </w:tc>
        <w:tc>
          <w:tcPr>
            <w:tcW w:w="1340" w:type="dxa"/>
            <w:vAlign w:val="bottom"/>
            <w:tcBorders>
              <w:top w:val="single" w:sz="8" w:color="auto"/>
              <w:bottom w:val="single" w:sz="8" w:color="CCEEFF"/>
            </w:tcBorders>
            <w:gridSpan w:val="2"/>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691.1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695.3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0" w:type="dxa"/>
            <w:vAlign w:val="bottom"/>
            <w:tcBorders>
              <w:bottom w:val="single" w:sz="8" w:color="auto"/>
            </w:tcBorders>
            <w:shd w:val="clear" w:color="auto" w:fill="000000"/>
          </w:tcPr>
          <w:p>
            <w:pPr>
              <w:spacing w:after="0"/>
              <w:rPr>
                <w:sz w:val="21"/>
                <w:szCs w:val="2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585.0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541.2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585.2</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9 %</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15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Columns may not calculate due to rounding.</w:t>
      </w:r>
    </w:p>
    <w:p>
      <w:pPr>
        <w:spacing w:after="0" w:line="73" w:lineRule="exact"/>
        <w:rPr>
          <w:sz w:val="20"/>
          <w:szCs w:val="20"/>
          <w:color w:val="auto"/>
        </w:rPr>
      </w:pPr>
    </w:p>
    <w:p>
      <w:pPr>
        <w:ind w:left="60" w:right="80" w:firstLine="9"/>
        <w:spacing w:after="0" w:line="278" w:lineRule="auto"/>
        <w:tabs>
          <w:tab w:leader="none" w:pos="141"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the impact of the Company's adoption of Accounting Standards Update 2014-09, "Revenue from Contracts with Customers (Topic 606)"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 For purposes of comparability, 2017 has been recast and is reconciled to GAAP in the section entitled “Management’s Use of Non-GAAP Financial Measures”, which includes certain estimates and assumptions made by the Company for the impact of ASC 606 on 2017 revenues, as the Company did not apply a full retrospective adoption.</w:t>
      </w:r>
    </w:p>
    <w:p>
      <w:pPr>
        <w:ind w:left="160" w:hanging="91"/>
        <w:spacing w:after="0" w:line="217" w:lineRule="auto"/>
        <w:tabs>
          <w:tab w:leader="none" w:pos="1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Reflects adjustments from previously disclosed amounts for the prior period to conform to current presentation.</w:t>
      </w:r>
    </w:p>
    <w:p>
      <w:pPr>
        <w:spacing w:after="0" w:line="64" w:lineRule="exact"/>
        <w:rPr>
          <w:rFonts w:ascii="Arial" w:cs="Arial" w:eastAsia="Arial" w:hAnsi="Arial"/>
          <w:sz w:val="22"/>
          <w:szCs w:val="22"/>
          <w:color w:val="auto"/>
          <w:vertAlign w:val="superscript"/>
        </w:rPr>
      </w:pPr>
    </w:p>
    <w:p>
      <w:pPr>
        <w:ind w:left="6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Other includes telematics, maintenance, food, and transportation related businesses.</w:t>
      </w:r>
    </w:p>
    <w:p>
      <w:pPr>
        <w:spacing w:after="0" w:line="9" w:lineRule="exact"/>
        <w:rPr>
          <w:sz w:val="20"/>
          <w:szCs w:val="20"/>
          <w:color w:val="auto"/>
        </w:rPr>
      </w:pPr>
    </w:p>
    <w:p>
      <w:pPr>
        <w:ind w:left="60" w:right="200" w:firstLine="9"/>
        <w:spacing w:after="0" w:line="253" w:lineRule="auto"/>
        <w:tabs>
          <w:tab w:leader="none" w:pos="141"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Fuel Cards product category further refined to Fuel, to reflect different ways that fuel is paid for by our customers and as a result, reflects immaterial reclassifications from previously disclosed amounts for the prior period.</w:t>
      </w:r>
    </w:p>
    <w:p>
      <w:pPr>
        <w:spacing w:after="0" w:line="2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spread margins. Revenue per transaction per customer changes as the level of services we provide to a customer increases or decreases, as macroeconomic factors change</w:t>
      </w:r>
    </w:p>
    <w:p>
      <w:pPr>
        <w:sectPr>
          <w:pgSz w:w="11900" w:h="16838" w:orient="portrait"/>
          <w:cols w:equalWidth="0" w:num="1">
            <w:col w:w="11440"/>
          </w:cols>
          <w:pgMar w:left="240" w:top="125" w:right="219" w:bottom="1440" w:gutter="0" w:footer="0" w:header="0"/>
        </w:sectPr>
      </w:pP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40"/>
          </w:cols>
          <w:pgMar w:left="240" w:top="125" w:right="2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and as adjustments are made to merchant and customer rates. See “Results of Operations” for further discussion of transaction volumes and revenue per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incur expenses in the following categories:</w:t>
      </w:r>
    </w:p>
    <w:p>
      <w:pPr>
        <w:spacing w:after="0" w:line="131" w:lineRule="exact"/>
        <w:rPr>
          <w:sz w:val="20"/>
          <w:szCs w:val="20"/>
          <w:color w:val="auto"/>
        </w:rPr>
      </w:pPr>
    </w:p>
    <w:p>
      <w:pPr>
        <w:ind w:left="640" w:right="220" w:hanging="321"/>
        <w:spacing w:after="0" w:line="295"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Merchant commissions</w:t>
      </w:r>
      <w:r>
        <w:rPr>
          <w:rFonts w:ascii="Arial" w:cs="Arial" w:eastAsia="Arial" w:hAnsi="Arial"/>
          <w:sz w:val="16"/>
          <w:szCs w:val="16"/>
          <w:color w:val="auto"/>
        </w:rPr>
        <w:t>—In certain of our card programs, we incur merchant commissions expense when we reimburse merchants with whom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direct, contractual relationships for specific transactions where a customer purchases products or services from the merchant. In the card programs where it is paid, merchant commissions equal the difference between the price paid by us to the merchant and the merchant’s wholesale cost of the underlying products or services. The adoption of ASC 606 on January 1, 2018, resulted in a change in the presentation of amounts previously classified as merchant commissions, resulting in these amounts being recorded within revenues, net in periods beginning in 2018.</w:t>
      </w:r>
    </w:p>
    <w:p>
      <w:pPr>
        <w:spacing w:after="0" w:line="3" w:lineRule="exact"/>
        <w:rPr>
          <w:rFonts w:ascii="Arial" w:cs="Arial" w:eastAsia="Arial" w:hAnsi="Arial"/>
          <w:sz w:val="16"/>
          <w:szCs w:val="16"/>
          <w:color w:val="auto"/>
        </w:rPr>
      </w:pPr>
    </w:p>
    <w:p>
      <w:pPr>
        <w:jc w:val="both"/>
        <w:ind w:left="640" w:right="400" w:hanging="321"/>
        <w:spacing w:after="0" w:line="305"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Processing</w:t>
      </w:r>
      <w:r>
        <w:rPr>
          <w:rFonts w:ascii="Arial" w:cs="Arial" w:eastAsia="Arial" w:hAnsi="Arial"/>
          <w:sz w:val="16"/>
          <w:szCs w:val="16"/>
          <w:color w:val="auto"/>
        </w:rPr>
        <w:t>—Our processing expense consists of expenses related to processing transactions, servicing our customers and merchants, bad debt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 of goods sold related to our hardware sales in certain businesses. Effective with the adoption of ASC 606 on January 1, 2018, certain third party processing expenses are netted with consolidated revenues, where the network is considered to be our customer.</w:t>
      </w:r>
    </w:p>
    <w:p>
      <w:pPr>
        <w:ind w:left="640" w:right="10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Selling</w:t>
      </w:r>
      <w:r>
        <w:rPr>
          <w:rFonts w:ascii="Arial" w:cs="Arial" w:eastAsia="Arial" w:hAnsi="Arial"/>
          <w:sz w:val="18"/>
          <w:szCs w:val="18"/>
          <w:color w:val="auto"/>
        </w:rPr>
        <w:t>—Our selling expenses consist primarily of wages, benefits, sales commissions (other than merchant commissions) and related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marketing and account management personnel and activities.</w:t>
      </w:r>
    </w:p>
    <w:p>
      <w:pPr>
        <w:spacing w:after="0" w:line="8" w:lineRule="exact"/>
        <w:rPr>
          <w:rFonts w:ascii="Arial" w:cs="Arial" w:eastAsia="Arial" w:hAnsi="Arial"/>
          <w:sz w:val="18"/>
          <w:szCs w:val="18"/>
          <w:color w:val="auto"/>
        </w:rPr>
      </w:pPr>
    </w:p>
    <w:p>
      <w:pPr>
        <w:ind w:left="640" w:right="40" w:hanging="321"/>
        <w:spacing w:after="0" w:line="305"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—Our general and administrative expenses include compensation and related expenses (including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our executives, finance and accounting, information technology, human resources, legal and other administrative personnel. Also included are facilities expenses, third-party professional services fees, travel and entertainment expenses, and other corporate-level expenses.</w:t>
      </w:r>
    </w:p>
    <w:p>
      <w:pPr>
        <w:ind w:left="640" w:hanging="321"/>
        <w:spacing w:after="0" w:line="276"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—Our depreciation expenses include depreciation of property and equipment, consisting of computer hardware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10" w:lineRule="exact"/>
        <w:rPr>
          <w:rFonts w:ascii="Arial" w:cs="Arial" w:eastAsia="Arial" w:hAnsi="Arial"/>
          <w:sz w:val="17"/>
          <w:szCs w:val="17"/>
          <w:color w:val="auto"/>
        </w:rPr>
      </w:pPr>
    </w:p>
    <w:p>
      <w:pPr>
        <w:ind w:left="640" w:hanging="321"/>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—Our other operating, net includes other operating expenses and income items unusual to the period and presented separately.</w:t>
      </w:r>
    </w:p>
    <w:p>
      <w:pPr>
        <w:spacing w:after="0" w:line="86" w:lineRule="exact"/>
        <w:rPr>
          <w:rFonts w:ascii="Arial" w:cs="Arial" w:eastAsia="Arial" w:hAnsi="Arial"/>
          <w:sz w:val="16"/>
          <w:szCs w:val="16"/>
          <w:color w:val="auto"/>
        </w:rPr>
      </w:pPr>
    </w:p>
    <w:p>
      <w:pPr>
        <w:ind w:left="640" w:right="140" w:hanging="321"/>
        <w:spacing w:after="0" w:line="305"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Investment loss</w:t>
      </w:r>
      <w:r>
        <w:rPr>
          <w:rFonts w:ascii="Arial" w:cs="Arial" w:eastAsia="Arial" w:hAnsi="Arial"/>
          <w:sz w:val="16"/>
          <w:szCs w:val="16"/>
          <w:color w:val="auto"/>
        </w:rPr>
        <w:t>—Our investment results relate to our minority interest in Masternaut, a provider of telematics solutions to commercial fleets in</w:t>
      </w:r>
      <w:r>
        <w:rPr>
          <w:rFonts w:ascii="Arial" w:cs="Arial" w:eastAsia="Arial" w:hAnsi="Arial"/>
          <w:sz w:val="16"/>
          <w:szCs w:val="16"/>
          <w:i w:val="1"/>
          <w:iCs w:val="1"/>
          <w:color w:val="auto"/>
        </w:rPr>
        <w:t xml:space="preserve"> </w:t>
      </w:r>
      <w:r>
        <w:rPr>
          <w:rFonts w:ascii="Arial" w:cs="Arial" w:eastAsia="Arial" w:hAnsi="Arial"/>
          <w:sz w:val="16"/>
          <w:szCs w:val="16"/>
          <w:color w:val="auto"/>
        </w:rPr>
        <w:t>Europe, which we historically accounted for using the equity method. On September 30, 2017, we entered into an amended Masternaut investment agreement that resulted in the loss of significant influence, and we began accounting for the Masternaut investment by applying the cost method.</w:t>
      </w:r>
    </w:p>
    <w:p>
      <w:pPr>
        <w:ind w:left="640" w:right="4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—Our other expense (income), net includes proceeds/costs from the sale of assets, foreign currency transaction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other miscellaneous operating costs and revenue.</w:t>
      </w:r>
    </w:p>
    <w:p>
      <w:pPr>
        <w:spacing w:after="0" w:line="8" w:lineRule="exact"/>
        <w:rPr>
          <w:rFonts w:ascii="Arial" w:cs="Arial" w:eastAsia="Arial" w:hAnsi="Arial"/>
          <w:sz w:val="18"/>
          <w:szCs w:val="18"/>
          <w:color w:val="auto"/>
        </w:rPr>
      </w:pPr>
    </w:p>
    <w:p>
      <w:pPr>
        <w:ind w:left="640" w:right="140" w:hanging="321"/>
        <w:spacing w:after="0" w:line="29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—Our interest expense, net includes interest income on our cash balances and interest expense on our outstanding debt and on</w:t>
      </w:r>
      <w:r>
        <w:rPr>
          <w:rFonts w:ascii="Arial" w:cs="Arial" w:eastAsia="Arial" w:hAnsi="Arial"/>
          <w:sz w:val="17"/>
          <w:szCs w:val="17"/>
          <w:i w:val="1"/>
          <w:iCs w:val="1"/>
          <w:color w:val="auto"/>
        </w:rPr>
        <w:t xml:space="preserve"> </w:t>
      </w:r>
      <w:r>
        <w:rPr>
          <w:rFonts w:ascii="Arial" w:cs="Arial" w:eastAsia="Arial" w:hAnsi="Arial"/>
          <w:sz w:val="17"/>
          <w:szCs w:val="17"/>
          <w:color w:val="auto"/>
        </w:rPr>
        <w:t>our Securitization Facility. We have historically invested our cash primarily in short-term money market funds.</w:t>
      </w:r>
    </w:p>
    <w:p>
      <w:pPr>
        <w:ind w:left="640" w:right="2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—Our provision for income taxes consists primarily of corporate income taxes related to profits resulting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and services on a global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and trends are important in understanding our financial performance:</w:t>
      </w:r>
    </w:p>
    <w:p>
      <w:pPr>
        <w:spacing w:after="0" w:line="185" w:lineRule="exact"/>
        <w:rPr>
          <w:sz w:val="20"/>
          <w:szCs w:val="20"/>
          <w:color w:val="auto"/>
        </w:rPr>
      </w:pPr>
    </w:p>
    <w:p>
      <w:pPr>
        <w:ind w:left="640" w:right="20" w:hanging="321"/>
        <w:spacing w:after="0" w:line="264" w:lineRule="auto"/>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Global economic conditions</w:t>
      </w:r>
      <w:r>
        <w:rPr>
          <w:rFonts w:ascii="Arial" w:cs="Arial" w:eastAsia="Arial" w:hAnsi="Arial"/>
          <w:sz w:val="18"/>
          <w:szCs w:val="18"/>
          <w:color w:val="auto"/>
        </w:rPr>
        <w:t>—Our results of operations are materially affected by conditions in the economy generally, both in North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internationally. Factors affected by the economy include our transaction volumes, the credit risk of our customers and changes in tax laws across the globe. These factors affected our businesses in both our North America and International segments.</w:t>
      </w:r>
    </w:p>
    <w:p>
      <w:pPr>
        <w:spacing w:after="0" w:line="19" w:lineRule="exact"/>
        <w:rPr>
          <w:rFonts w:ascii="Arial" w:cs="Arial" w:eastAsia="Arial" w:hAnsi="Arial"/>
          <w:sz w:val="18"/>
          <w:szCs w:val="18"/>
          <w:i w:val="1"/>
          <w:iCs w:val="1"/>
          <w:color w:val="auto"/>
        </w:rPr>
      </w:pPr>
    </w:p>
    <w:p>
      <w:pPr>
        <w:ind w:left="640" w:right="20" w:hanging="321"/>
        <w:spacing w:after="0" w:line="25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Foreign currency changes</w:t>
      </w:r>
      <w:r>
        <w:rPr>
          <w:rFonts w:ascii="Arial" w:cs="Arial" w:eastAsia="Arial" w:hAnsi="Arial"/>
          <w:sz w:val="18"/>
          <w:szCs w:val="18"/>
          <w:color w:val="auto"/>
        </w:rPr>
        <w:t>—Our results of operations are significantly impacted by changes in foreign currency rates; namely, by movements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Australian dollar, Brazilian real, British pound, Canadian dollar, Czech koruna, Euro, Mexican peso, New Zealand dollar and Russian ruble, relative to the U.S. dollar. Approximately 59% and 63% of our revenue in the six months ended June 30, 2018 and 2017, respectively, was derived in U.S. dollars and was not affected by foreign currency exchange rates. See “Results of Operations” for information related to foreign currency impact on our total revenue, net.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5"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right="140" w:hanging="321"/>
        <w:spacing w:after="0" w:line="257" w:lineRule="auto"/>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Fuel prices</w:t>
      </w:r>
      <w:r>
        <w:rPr>
          <w:rFonts w:ascii="Arial" w:cs="Arial" w:eastAsia="Arial" w:hAnsi="Arial"/>
          <w:sz w:val="18"/>
          <w:szCs w:val="18"/>
          <w:color w:val="auto"/>
        </w:rPr>
        <w:t>—Our fleet customers use our products and services primarily in connection with the purchase of fuel. Accordingly, our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See “Sources of Revenue” above for further information related to the absolute price of fuel.</w:t>
      </w:r>
    </w:p>
    <w:p>
      <w:pPr>
        <w:spacing w:after="0" w:line="26" w:lineRule="exact"/>
        <w:rPr>
          <w:rFonts w:ascii="Arial" w:cs="Arial" w:eastAsia="Arial" w:hAnsi="Arial"/>
          <w:sz w:val="18"/>
          <w:szCs w:val="18"/>
          <w:i w:val="1"/>
          <w:iCs w:val="1"/>
          <w:color w:val="auto"/>
        </w:rPr>
      </w:pPr>
    </w:p>
    <w:p>
      <w:pPr>
        <w:ind w:left="640" w:right="80" w:hanging="321"/>
        <w:spacing w:after="0" w:line="271"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Fuel-price spread volatility</w:t>
      </w:r>
      <w:r>
        <w:rPr>
          <w:rFonts w:ascii="Arial" w:cs="Arial" w:eastAsia="Arial" w:hAnsi="Arial"/>
          <w:sz w:val="17"/>
          <w:szCs w:val="17"/>
          <w:color w:val="auto"/>
        </w:rPr>
        <w:t>—A portion of our revenue involves transactions where we derive revenue from fuel-price spreads, which is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See “Sources of Revenue” above for further information related to fuel-price spreads.</w:t>
      </w:r>
    </w:p>
    <w:p>
      <w:pPr>
        <w:spacing w:after="0" w:line="16" w:lineRule="exact"/>
        <w:rPr>
          <w:rFonts w:ascii="Arial" w:cs="Arial" w:eastAsia="Arial" w:hAnsi="Arial"/>
          <w:sz w:val="17"/>
          <w:szCs w:val="17"/>
          <w:color w:val="auto"/>
        </w:rPr>
      </w:pPr>
    </w:p>
    <w:p>
      <w:pPr>
        <w:ind w:left="640" w:right="80" w:hanging="321"/>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—Since 2002, we have completed over 75 acquisitions of companies and commercial account portfolios. Acquisitions have been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24" w:lineRule="exact"/>
        <w:rPr>
          <w:rFonts w:ascii="Arial" w:cs="Arial" w:eastAsia="Arial" w:hAnsi="Arial"/>
          <w:sz w:val="18"/>
          <w:szCs w:val="18"/>
          <w:color w:val="auto"/>
        </w:rPr>
      </w:pPr>
    </w:p>
    <w:p>
      <w:pPr>
        <w:ind w:left="640" w:right="70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—Our results of operations are affected by interest rates. We are exposed to market risk to changes in interest rates on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debt.</w:t>
      </w:r>
    </w:p>
    <w:p>
      <w:pPr>
        <w:spacing w:after="0" w:line="8" w:lineRule="exact"/>
        <w:rPr>
          <w:rFonts w:ascii="Arial" w:cs="Arial" w:eastAsia="Arial" w:hAnsi="Arial"/>
          <w:sz w:val="18"/>
          <w:szCs w:val="18"/>
          <w:color w:val="auto"/>
        </w:rPr>
      </w:pPr>
    </w:p>
    <w:p>
      <w:pPr>
        <w:ind w:left="640" w:right="300" w:hanging="321"/>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Over the long term, we expect that our general and administrative expense will decrease as a percentage of revenue as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support our expected revenue growth, we plan to continue to incur additional sales and marketing expense by investing in our direct marketing, third-party agents, internet marketing, telemarketing and field sales force.</w:t>
      </w:r>
    </w:p>
    <w:p>
      <w:pPr>
        <w:spacing w:after="0" w:line="19" w:lineRule="exact"/>
        <w:rPr>
          <w:rFonts w:ascii="Arial" w:cs="Arial" w:eastAsia="Arial" w:hAnsi="Arial"/>
          <w:sz w:val="18"/>
          <w:szCs w:val="18"/>
          <w:color w:val="auto"/>
        </w:rPr>
      </w:pPr>
    </w:p>
    <w:p>
      <w:pPr>
        <w:ind w:left="640" w:right="240" w:hanging="321"/>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We pay taxes in many different taxing jurisdictions, including the U.S., most U.S. states and many non-U.S. jurisdictions. The tax rates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non-U.S. taxing jurisdictions are higher than the U.S. tax rate. Consequently, as our earnings fluctuate between taxing jurisdictions, our effective tax rate fluctuates.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six months ended June 2018, the Company made investments in other businesses of $11.2 million and deferred payments of $3.8 million related to acquisitions occurring in prior years.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2017, the Company completed acquisitions with an aggregate purchase price of $725.1 million, net of cash acquired of $96.3 million. During 2017, the Company made investments in other businesses of $39 million.</w:t>
      </w:r>
    </w:p>
    <w:p>
      <w:pPr>
        <w:spacing w:after="0" w:line="170" w:lineRule="exact"/>
        <w:rPr>
          <w:sz w:val="20"/>
          <w:szCs w:val="20"/>
          <w:color w:val="auto"/>
        </w:rPr>
      </w:pPr>
    </w:p>
    <w:p>
      <w:pPr>
        <w:ind w:left="660" w:hanging="328"/>
        <w:spacing w:after="0" w:line="28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August 9, 2017, we acquired Cambridge, a business to business (B2B) international payments provider, for approximately $616.0 million in cash, net of cash acquired of $94.5 million and inclusive of a note payable of $23.8 million. Cambridge processes B2B cross-border payments, assisting business clients in making international payments. The purpose of this acquisition is to further expand our corporate payments footprint.</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26, 2017, we acquired a fuel card provider in Russia.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13, 2017, we completed the acquisition of CLS, a small lodging business, in the United States.</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report our results from Cambridge and CLS acquired in the third and fourth quarters of 2017, respectively, in our North America segment, from the date of acquisition. The results of operations from the fuel card business in Russia are included within our International segment, from the date of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As part of our plan to exit the telematics business, on July 27, 2017, we sold NexTraq, a U.S. fleet telematics business, to Michelin Group for $316 million. We recorded a pre-tax gain on the disposal of NexTraq of $175.0 million during the third quarter of 2017, which was net of transaction closing costs. We recorded tax on the gain of disposal of $65.8 million. NexTraq was historically included in our North America segment.</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September 30, 2017, we entered into an amended Masternaut investment agreement that resulted in the loss of significant influence, and we began accounting for the Masternaut investment by applying the cost method.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the three months ended June 30, 2017</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selected consolidated statement of income and selected operational data for the three months ended June 30, 2018 and 2017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Three Months Ended</w:t>
            </w:r>
          </w:p>
        </w:tc>
        <w:tc>
          <w:tcPr>
            <w:tcW w:w="2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total</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Three Months Ended</w:t>
            </w:r>
          </w:p>
        </w:tc>
        <w:tc>
          <w:tcPr>
            <w:tcW w:w="1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total</w:t>
            </w:r>
          </w:p>
        </w:tc>
        <w:tc>
          <w:tcPr>
            <w:tcW w:w="220" w:type="dxa"/>
            <w:vAlign w:val="bottom"/>
          </w:tcPr>
          <w:p>
            <w:pPr>
              <w:spacing w:after="0"/>
              <w:rPr>
                <w:sz w:val="17"/>
                <w:szCs w:val="17"/>
                <w:color w:val="auto"/>
              </w:rPr>
            </w:pPr>
          </w:p>
        </w:tc>
        <w:tc>
          <w:tcPr>
            <w:tcW w:w="1140" w:type="dxa"/>
            <w:vAlign w:val="bottom"/>
          </w:tcPr>
          <w:p>
            <w:pPr>
              <w:jc w:val="right"/>
              <w:ind w:right="291"/>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420" w:type="dxa"/>
            <w:vAlign w:val="bottom"/>
          </w:tcPr>
          <w:p>
            <w:pPr>
              <w:jc w:val="right"/>
              <w:ind w:right="230"/>
              <w:spacing w:after="0"/>
              <w:rPr>
                <w:sz w:val="20"/>
                <w:szCs w:val="20"/>
                <w:color w:val="auto"/>
              </w:rPr>
            </w:pPr>
            <w:r>
              <w:rPr>
                <w:rFonts w:ascii="Arial" w:cs="Arial" w:eastAsia="Arial" w:hAnsi="Arial"/>
                <w:sz w:val="16"/>
                <w:szCs w:val="16"/>
                <w:b w:val="1"/>
                <w:bCs w:val="1"/>
                <w:color w:val="auto"/>
                <w:w w:val="96"/>
              </w:rPr>
              <w:t>June 30, 2018</w:t>
            </w:r>
            <w:r>
              <w:rPr>
                <w:rFonts w:ascii="Arial" w:cs="Arial" w:eastAsia="Arial" w:hAnsi="Arial"/>
                <w:sz w:val="21"/>
                <w:szCs w:val="21"/>
                <w:b w:val="1"/>
                <w:bCs w:val="1"/>
                <w:color w:val="auto"/>
                <w:w w:val="96"/>
                <w:vertAlign w:val="superscript"/>
              </w:rPr>
              <w:t>1</w:t>
            </w:r>
          </w:p>
        </w:tc>
        <w:tc>
          <w:tcPr>
            <w:tcW w:w="2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1420" w:type="dxa"/>
            <w:vAlign w:val="bottom"/>
          </w:tcPr>
          <w:p>
            <w:pPr>
              <w:jc w:val="right"/>
              <w:ind w:right="270"/>
              <w:spacing w:after="0"/>
              <w:rPr>
                <w:sz w:val="20"/>
                <w:szCs w:val="20"/>
                <w:color w:val="auto"/>
              </w:rPr>
            </w:pPr>
            <w:r>
              <w:rPr>
                <w:rFonts w:ascii="Arial" w:cs="Arial" w:eastAsia="Arial" w:hAnsi="Arial"/>
                <w:sz w:val="16"/>
                <w:szCs w:val="16"/>
                <w:b w:val="1"/>
                <w:bCs w:val="1"/>
                <w:color w:val="auto"/>
                <w:w w:val="99"/>
              </w:rPr>
              <w:t>June 30, 2017</w:t>
            </w:r>
          </w:p>
        </w:tc>
        <w:tc>
          <w:tcPr>
            <w:tcW w:w="10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auto"/>
                <w:w w:val="99"/>
              </w:rPr>
              <w:t>(decrease)</w:t>
            </w:r>
          </w:p>
        </w:tc>
        <w:tc>
          <w:tcPr>
            <w:tcW w:w="12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230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370.9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214.0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198.2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585.0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541.2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Consolidated operating</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103.3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96.4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87.6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264.8</w:t>
            </w:r>
          </w:p>
        </w:tc>
        <w:tc>
          <w:tcPr>
            <w:tcW w:w="2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loss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w w:val="98"/>
              </w:rPr>
              <w:t>Other expense (income), net</w:t>
            </w:r>
          </w:p>
        </w:tc>
        <w:tc>
          <w:tcPr>
            <w:tcW w:w="20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176.9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for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segments: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161.4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264.8</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48.7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40"/>
              <w:spacing w:after="0"/>
              <w:rPr>
                <w:sz w:val="20"/>
                <w:szCs w:val="20"/>
                <w:color w:val="auto"/>
              </w:rPr>
            </w:pPr>
            <w:r>
              <w:rPr>
                <w:rFonts w:ascii="Arial" w:cs="Arial" w:eastAsia="Arial" w:hAnsi="Arial"/>
                <w:sz w:val="18"/>
                <w:szCs w:val="18"/>
                <w:color w:val="auto"/>
              </w:rPr>
              <w:t>Operating margin for</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segments: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NM = Not Meaningful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5" w:lineRule="exact"/>
        <w:rPr>
          <w:sz w:val="20"/>
          <w:szCs w:val="20"/>
          <w:color w:val="auto"/>
        </w:rPr>
      </w:pPr>
    </w:p>
    <w:p>
      <w:pPr>
        <w:ind w:firstLine="8"/>
        <w:spacing w:after="0" w:line="253" w:lineRule="auto"/>
        <w:tabs>
          <w:tab w:leader="none" w:pos="94"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consolidated revenues were $585.0 million in the three months ended June 30, 2018, an increase of $43.7 million or 8.1%, from $541.2 million in the three months ended June 30, 2017. The increase in our consolidated revenue was primarily due to:</w:t>
      </w:r>
    </w:p>
    <w:p>
      <w:pPr>
        <w:spacing w:after="0" w:line="170" w:lineRule="exact"/>
        <w:rPr>
          <w:sz w:val="20"/>
          <w:szCs w:val="20"/>
          <w:color w:val="auto"/>
        </w:rPr>
      </w:pPr>
    </w:p>
    <w:p>
      <w:pPr>
        <w:ind w:left="5620" w:right="3020" w:hanging="5396"/>
        <w:spacing w:after="0" w:line="559" w:lineRule="auto"/>
        <w:tabs>
          <w:tab w:leader="none" w:pos="5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acquisitions during 2017, which contributed approximately $40 million in additional revenue. 31</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20" w:hanging="316"/>
        <w:spacing w:after="0" w:line="288"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Organic growth of approximately 9% on a constant fuel price, fuel spread margin, foreign currency and acquisition and disposition basis, driven by increases in both volume and revenue per transaction in certain of our payment programs. Organic revenue growth has been calculated assuming ASC 606 was implemented on January 1, 2017, in order to calculate organic growth using comparable revenue results in each period.</w:t>
      </w:r>
    </w:p>
    <w:p>
      <w:pPr>
        <w:ind w:left="540" w:hanging="316"/>
        <w:spacing w:after="0" w:line="25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relatively neutral impact on our consolidated revenue for the three months ended June 30, 2018 over the comparable period in 2017 of less than $1 million. Foreign exchange rates had an unfavorable impact on consolidated revenues in the three months ended June 30, 2018 compared to the comparable period in 2017 of approximately $7 million, primarily due to unfavorable changes in foreign exchange rates primarily in Brazil. We believe the favorable impact of higher fuel prices of approximately $13 million, partially offset by unfavorable fuel spread margins of approximately $7 million, primarily in the U.S., had a favorable net impact on consolidated revenues in the three months ended June 30, 2018 over the comparable period in 2017 of approximately $6 million.</w:t>
      </w:r>
    </w:p>
    <w:p>
      <w:pPr>
        <w:spacing w:after="0" w:line="193" w:lineRule="exact"/>
        <w:rPr>
          <w:sz w:val="20"/>
          <w:szCs w:val="20"/>
          <w:color w:val="auto"/>
        </w:rPr>
      </w:pPr>
    </w:p>
    <w:p>
      <w:pPr>
        <w:jc w:val="both"/>
        <w:ind w:left="60" w:right="160"/>
        <w:spacing w:after="0" w:line="264" w:lineRule="auto"/>
        <w:rPr>
          <w:sz w:val="20"/>
          <w:szCs w:val="20"/>
          <w:color w:val="auto"/>
        </w:rPr>
      </w:pPr>
      <w:r>
        <w:rPr>
          <w:rFonts w:ascii="Arial" w:cs="Arial" w:eastAsia="Arial" w:hAnsi="Arial"/>
          <w:sz w:val="18"/>
          <w:szCs w:val="18"/>
          <w:color w:val="auto"/>
        </w:rPr>
        <w:t>These increases were partially offset by the impact of the adoption of ASC 606, which decreased consolidated revenues, net by approximately $23 million, for certain amounts previously classified as merchant commissions and processing expense net with revenues and by approximately $12 million due to the disposition of the NexTraq business in July 2017.</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North America revenues were $370.9 million in the three months ended June 30, 2018, an increase of $28.0 million or 8.2%, from $343.0 million in the three months ended June 30, 2017. The increase in our North America segment revenue was primarily due to:</w:t>
      </w:r>
    </w:p>
    <w:p>
      <w:pPr>
        <w:spacing w:after="0" w:line="170"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Cambridge and CLS acquisitions during 2017, which contributed approximately $38 million in additional revenue.</w:t>
      </w:r>
    </w:p>
    <w:p>
      <w:pPr>
        <w:spacing w:after="0" w:line="23" w:lineRule="exact"/>
        <w:rPr>
          <w:rFonts w:ascii="Arial" w:cs="Arial" w:eastAsia="Arial" w:hAnsi="Arial"/>
          <w:sz w:val="18"/>
          <w:szCs w:val="18"/>
          <w:color w:val="auto"/>
        </w:rPr>
      </w:pPr>
    </w:p>
    <w:p>
      <w:pPr>
        <w:ind w:left="540" w:right="220" w:hanging="316"/>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Organic growth of approximately 7%, on a constant fuel price, fuel spread margin and acquisition and disposition basis, driven by increases in both volume and revenue per transaction in certain of our payment programs. Organic revenue growth has been calculated assuming ASC 606 was implemented on January 1, 2017, in order to calculate organic growth using comparable revenue results in each period.</w:t>
      </w:r>
    </w:p>
    <w:p>
      <w:pPr>
        <w:ind w:left="540" w:right="80" w:hanging="316"/>
        <w:spacing w:after="0" w:line="30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Although we cannot precisely measure the impact of the macroeconomic environment, in total we believe it had a positive impact on our North America segment revenue in three months ended June 30, 2018 over the comparable period in 2017 of approximately $5 million, primarily due to the favorable impact of higher fuel prices of approximately $12 million, partially offset by unfavorable fuel spread margins of approximately $7 million.</w:t>
      </w:r>
    </w:p>
    <w:p>
      <w:pPr>
        <w:spacing w:after="0" w:line="15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These increases were partially offset by the impact of the adoption of ASC 606, which decreased North America revenues, net by approximately $18 million and by approximately $12 million due to the disposition of the NexTraq business in July 2017.</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International segment revenues were $214.0 million in the three months ended June 30, 2018, an increase of $15.8 million or 8.0%, from $198.2 million in the three months ended June 30, 2017. The increase in our International segment revenue was primarily due to:</w:t>
      </w:r>
    </w:p>
    <w:p>
      <w:pPr>
        <w:spacing w:after="0" w:line="76"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 small fuel card acquisition during 2017, which contributed approximately $2 million in additional revenue.</w:t>
      </w:r>
    </w:p>
    <w:p>
      <w:pPr>
        <w:spacing w:after="0" w:line="23" w:lineRule="exact"/>
        <w:rPr>
          <w:rFonts w:ascii="Arial" w:cs="Arial" w:eastAsia="Arial" w:hAnsi="Arial"/>
          <w:sz w:val="18"/>
          <w:szCs w:val="18"/>
          <w:color w:val="auto"/>
        </w:rPr>
      </w:pPr>
    </w:p>
    <w:p>
      <w:pPr>
        <w:ind w:left="640" w:right="260" w:hanging="321"/>
        <w:spacing w:after="0" w:line="265"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Organic growth of approximately 13% on a constant fuel price, fuel spread margin and acquisition basis, driven by increases in both volume and revenue per transaction in certain of our payment programs. Organic revenue growth has been calculated assuming ASC 606 was implemented in January 2017 in order to calculate organic growth using a consistent revenue standard in both periods.</w:t>
      </w:r>
    </w:p>
    <w:p>
      <w:pPr>
        <w:ind w:left="640" w:right="60" w:hanging="321"/>
        <w:spacing w:after="0" w:line="25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negative impact on our International segment revenue for the three months ended June 30, 2018 over the comparable period in 2017 of approximately $6 million. Unfavorable foreign exchange rates negatively impacted consolidated revenues by approximately $7 million, partially offset the favorable impact of higher fuel prices on consolidated revenues of approximately $1 million.</w:t>
      </w:r>
    </w:p>
    <w:p>
      <w:pPr>
        <w:spacing w:after="0" w:line="19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These increases were partially offset by the impact of the adoption of ASC 606, which decreased International revenues, net by approximately $5 million.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Revenues by geography, product and source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below are further breakdowns of revenue by geography, product and source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2018 and 2017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593"/>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6"/>
        </w:trPr>
        <w:tc>
          <w:tcPr>
            <w:tcW w:w="250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 net by Geography*</w:t>
            </w:r>
          </w:p>
        </w:tc>
        <w:tc>
          <w:tcPr>
            <w:tcW w:w="380" w:type="dxa"/>
            <w:vAlign w:val="bottom"/>
          </w:tcPr>
          <w:p>
            <w:pPr>
              <w:spacing w:after="0"/>
              <w:rPr>
                <w:sz w:val="17"/>
                <w:szCs w:val="17"/>
                <w:color w:val="auto"/>
              </w:rPr>
            </w:pPr>
          </w:p>
        </w:tc>
        <w:tc>
          <w:tcPr>
            <w:tcW w:w="2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2018¹</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 of total</w:t>
            </w: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533"/>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25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18"/>
                <w:szCs w:val="18"/>
                <w:color w:val="auto"/>
              </w:rPr>
            </w:pPr>
          </w:p>
        </w:tc>
        <w:tc>
          <w:tcPr>
            <w:tcW w:w="22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Revenues, net</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revenues, net</w:t>
            </w:r>
          </w:p>
        </w:tc>
        <w:tc>
          <w:tcPr>
            <w:tcW w:w="1700" w:type="dxa"/>
            <w:vAlign w:val="bottom"/>
          </w:tcPr>
          <w:p>
            <w:pPr>
              <w:jc w:val="right"/>
              <w:ind w:right="33"/>
              <w:spacing w:after="0"/>
              <w:rPr>
                <w:sz w:val="20"/>
                <w:szCs w:val="20"/>
                <w:color w:val="auto"/>
              </w:rPr>
            </w:pPr>
            <w:r>
              <w:rPr>
                <w:rFonts w:ascii="Arial" w:cs="Arial" w:eastAsia="Arial" w:hAnsi="Arial"/>
                <w:sz w:val="16"/>
                <w:szCs w:val="16"/>
                <w:b w:val="1"/>
                <w:bCs w:val="1"/>
                <w:color w:val="auto"/>
              </w:rPr>
              <w:t>Revenues,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433"/>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0" w:type="dxa"/>
            <w:vAlign w:val="bottom"/>
          </w:tcPr>
          <w:p>
            <w:pPr>
              <w:spacing w:after="0"/>
              <w:rPr>
                <w:sz w:val="21"/>
                <w:szCs w:val="21"/>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Brazil</w:t>
            </w:r>
          </w:p>
        </w:tc>
        <w:tc>
          <w:tcPr>
            <w:tcW w:w="38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2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Three Months Ended 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6"/>
        </w:trPr>
        <w:tc>
          <w:tcPr>
            <w:tcW w:w="358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 net by Product Category*</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w w:val="92"/>
              </w:rPr>
              <w:t>2018¹</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20" w:type="dxa"/>
            <w:vAlign w:val="bottom"/>
            <w:gridSpan w:val="3"/>
          </w:tcPr>
          <w:p>
            <w:pPr>
              <w:jc w:val="right"/>
              <w:ind w:right="1599"/>
              <w:spacing w:after="0"/>
              <w:rPr>
                <w:sz w:val="20"/>
                <w:szCs w:val="20"/>
                <w:color w:val="auto"/>
              </w:rPr>
            </w:pPr>
            <w:r>
              <w:rPr>
                <w:rFonts w:ascii="Arial" w:cs="Arial" w:eastAsia="Arial" w:hAnsi="Arial"/>
                <w:sz w:val="16"/>
                <w:szCs w:val="16"/>
                <w:b w:val="1"/>
                <w:bCs w:val="1"/>
                <w:color w:val="auto"/>
                <w:w w:val="89"/>
              </w:rPr>
              <w:t>2017</w:t>
            </w:r>
          </w:p>
        </w:tc>
      </w:tr>
      <w:tr>
        <w:trPr>
          <w:trHeight w:val="48"/>
        </w:trPr>
        <w:tc>
          <w:tcPr>
            <w:tcW w:w="4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72"/>
              <w:spacing w:after="0"/>
              <w:rPr>
                <w:sz w:val="20"/>
                <w:szCs w:val="20"/>
                <w:color w:val="auto"/>
              </w:rPr>
            </w:pPr>
            <w:r>
              <w:rPr>
                <w:rFonts w:ascii="Arial" w:cs="Arial" w:eastAsia="Arial" w:hAnsi="Arial"/>
                <w:sz w:val="16"/>
                <w:szCs w:val="16"/>
                <w:b w:val="1"/>
                <w:bCs w:val="1"/>
                <w:color w:val="auto"/>
              </w:rPr>
              <w:t>Revenues,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358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1300" w:type="dxa"/>
            <w:vAlign w:val="bottom"/>
          </w:tcPr>
          <w:p>
            <w:pPr>
              <w:jc w:val="right"/>
              <w:ind w:right="214"/>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total revenues, net</w:t>
            </w:r>
          </w:p>
        </w:tc>
        <w:tc>
          <w:tcPr>
            <w:tcW w:w="320" w:type="dxa"/>
            <w:vAlign w:val="bottom"/>
          </w:tcPr>
          <w:p>
            <w:pPr>
              <w:spacing w:after="0"/>
              <w:rPr>
                <w:sz w:val="18"/>
                <w:szCs w:val="18"/>
                <w:color w:val="auto"/>
              </w:rPr>
            </w:pPr>
          </w:p>
        </w:tc>
        <w:tc>
          <w:tcPr>
            <w:tcW w:w="1360" w:type="dxa"/>
            <w:vAlign w:val="bottom"/>
          </w:tcPr>
          <w:p>
            <w:pPr>
              <w:jc w:val="right"/>
              <w:ind w:right="612"/>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Fuel</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Corporate Payments</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Tolls</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Lodging</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Gift</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Major Sources of Revenue, net</w:t>
            </w: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 June 30,</w:t>
            </w:r>
          </w:p>
        </w:tc>
        <w:tc>
          <w:tcPr>
            <w:tcW w:w="1720" w:type="dxa"/>
            <w:vAlign w:val="bottom"/>
          </w:tcPr>
          <w:p>
            <w:pPr>
              <w:spacing w:after="0"/>
              <w:rPr>
                <w:sz w:val="17"/>
                <w:szCs w:val="17"/>
                <w:color w:val="auto"/>
              </w:rPr>
            </w:pPr>
          </w:p>
        </w:tc>
      </w:tr>
      <w:tr>
        <w:trPr>
          <w:trHeight w:val="61"/>
        </w:trPr>
        <w:tc>
          <w:tcPr>
            <w:tcW w:w="40" w:type="dxa"/>
            <w:vAlign w:val="bottom"/>
          </w:tcPr>
          <w:p>
            <w:pPr>
              <w:spacing w:after="0"/>
              <w:rPr>
                <w:sz w:val="5"/>
                <w:szCs w:val="5"/>
                <w:color w:val="auto"/>
              </w:rPr>
            </w:pPr>
          </w:p>
        </w:tc>
        <w:tc>
          <w:tcPr>
            <w:tcW w:w="2120" w:type="dxa"/>
            <w:vAlign w:val="bottom"/>
            <w:tcBorders>
              <w:top w:val="single" w:sz="8" w:color="auto"/>
            </w:tcBorders>
          </w:tcPr>
          <w:p>
            <w:pPr>
              <w:spacing w:after="0"/>
              <w:rPr>
                <w:sz w:val="5"/>
                <w:szCs w:val="5"/>
                <w:color w:val="auto"/>
              </w:rPr>
            </w:pPr>
          </w:p>
        </w:tc>
        <w:tc>
          <w:tcPr>
            <w:tcW w:w="18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31"/>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2018¹</w:t>
            </w:r>
          </w:p>
        </w:tc>
        <w:tc>
          <w:tcPr>
            <w:tcW w:w="186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720" w:type="dxa"/>
            <w:vAlign w:val="bottom"/>
          </w:tcPr>
          <w:p>
            <w:pPr>
              <w:jc w:val="right"/>
              <w:ind w:right="691"/>
              <w:spacing w:after="0"/>
              <w:rPr>
                <w:sz w:val="20"/>
                <w:szCs w:val="20"/>
                <w:color w:val="auto"/>
              </w:rPr>
            </w:pPr>
            <w:r>
              <w:rPr>
                <w:rFonts w:ascii="Arial" w:cs="Arial" w:eastAsia="Arial" w:hAnsi="Arial"/>
                <w:sz w:val="16"/>
                <w:szCs w:val="16"/>
                <w:b w:val="1"/>
                <w:bCs w:val="1"/>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40" w:type="dxa"/>
            <w:vAlign w:val="bottom"/>
            <w:shd w:val="clear" w:color="auto" w:fill="CCEEFF"/>
          </w:tcPr>
          <w:p>
            <w:pPr>
              <w:spacing w:after="0"/>
              <w:rPr>
                <w:sz w:val="22"/>
                <w:szCs w:val="22"/>
                <w:color w:val="auto"/>
              </w:rPr>
            </w:pPr>
          </w:p>
        </w:tc>
        <w:tc>
          <w:tcPr>
            <w:tcW w:w="3960" w:type="dxa"/>
            <w:vAlign w:val="bottom"/>
            <w:gridSpan w:val="2"/>
            <w:shd w:val="clear" w:color="auto" w:fill="CCEEFF"/>
          </w:tcPr>
          <w:p>
            <w:pPr>
              <w:ind w:left="140"/>
              <w:spacing w:after="0" w:line="264" w:lineRule="exact"/>
              <w:rPr>
                <w:sz w:val="20"/>
                <w:szCs w:val="20"/>
                <w:color w:val="auto"/>
              </w:rPr>
            </w:pPr>
            <w:r>
              <w:rPr>
                <w:rFonts w:ascii="Arial" w:cs="Arial" w:eastAsia="Arial" w:hAnsi="Arial"/>
                <w:sz w:val="18"/>
                <w:szCs w:val="18"/>
                <w:color w:val="auto"/>
              </w:rPr>
              <w:t>Processing and Program Revenue</w:t>
            </w:r>
            <w:r>
              <w:rPr>
                <w:rFonts w:ascii="Arial" w:cs="Arial" w:eastAsia="Arial" w:hAnsi="Arial"/>
                <w:sz w:val="25"/>
                <w:szCs w:val="25"/>
                <w:color w:val="auto"/>
                <w:vertAlign w:val="superscript"/>
              </w:rPr>
              <w:t>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Late Fees and Finance Charges</w:t>
            </w:r>
            <w:r>
              <w:rPr>
                <w:rFonts w:ascii="Arial" w:cs="Arial" w:eastAsia="Arial" w:hAnsi="Arial"/>
                <w:sz w:val="25"/>
                <w:szCs w:val="25"/>
                <w:color w:val="auto"/>
                <w:vertAlign w:val="superscript"/>
              </w:rPr>
              <w:t>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Miscellaneous Fees</w:t>
            </w:r>
            <w:r>
              <w:rPr>
                <w:rFonts w:ascii="Arial" w:cs="Arial" w:eastAsia="Arial" w:hAnsi="Arial"/>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Discount Revenue (Fuel)</w:t>
            </w:r>
            <w:r>
              <w:rPr>
                <w:rFonts w:ascii="Arial" w:cs="Arial" w:eastAsia="Arial" w:hAnsi="Arial"/>
                <w:sz w:val="25"/>
                <w:szCs w:val="25"/>
                <w:color w:val="auto"/>
                <w:vertAlign w:val="superscript"/>
              </w:rPr>
              <w:t>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Discount Revenue (NonFuel)</w:t>
            </w:r>
            <w:r>
              <w:rPr>
                <w:rFonts w:ascii="Arial" w:cs="Arial" w:eastAsia="Arial" w:hAnsi="Arial"/>
                <w:sz w:val="25"/>
                <w:szCs w:val="25"/>
                <w:color w:val="auto"/>
                <w:vertAlign w:val="superscript"/>
              </w:rPr>
              <w:t>6</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Tied to Fuel-Price Spreads</w:t>
            </w:r>
            <w:r>
              <w:rPr>
                <w:rFonts w:ascii="Arial" w:cs="Arial" w:eastAsia="Arial" w:hAnsi="Arial"/>
                <w:sz w:val="25"/>
                <w:szCs w:val="25"/>
                <w:color w:val="auto"/>
                <w:vertAlign w:val="superscript"/>
              </w:rPr>
              <w:t>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Merchant Program Revenue</w:t>
            </w:r>
            <w:r>
              <w:rPr>
                <w:rFonts w:ascii="Arial" w:cs="Arial" w:eastAsia="Arial" w:hAnsi="Arial"/>
                <w:sz w:val="25"/>
                <w:szCs w:val="25"/>
                <w:color w:val="auto"/>
                <w:vertAlign w:val="superscript"/>
              </w:rPr>
              <w:t>8</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Consolidated revenues,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585</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gridSpan w:val="3"/>
          </w:tcPr>
          <w:p>
            <w:pPr>
              <w:jc w:val="right"/>
              <w:ind w:right="1554"/>
              <w:spacing w:after="0"/>
              <w:rPr>
                <w:sz w:val="20"/>
                <w:szCs w:val="20"/>
                <w:color w:val="auto"/>
              </w:rPr>
            </w:pPr>
            <w:r>
              <w:rPr>
                <w:rFonts w:ascii="Arial" w:cs="Arial" w:eastAsia="Arial" w:hAnsi="Arial"/>
                <w:sz w:val="18"/>
                <w:szCs w:val="18"/>
                <w:color w:val="auto"/>
                <w:w w:val="99"/>
              </w:rPr>
              <w:t>33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120"/>
          </w:cols>
          <w:pgMar w:left="240" w:top="125" w:right="5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right="220" w:hanging="5"/>
        <w:spacing w:after="0" w:line="251" w:lineRule="auto"/>
        <w:tabs>
          <w:tab w:leader="none" w:pos="121"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w:t>
      </w:r>
    </w:p>
    <w:p>
      <w:pPr>
        <w:spacing w:after="0" w:line="43" w:lineRule="exact"/>
        <w:rPr>
          <w:sz w:val="20"/>
          <w:szCs w:val="20"/>
          <w:color w:val="auto"/>
        </w:rPr>
      </w:pPr>
    </w:p>
    <w:p>
      <w:pPr>
        <w:ind w:left="40" w:right="460" w:hanging="5"/>
        <w:spacing w:after="0" w:line="293" w:lineRule="auto"/>
        <w:tabs>
          <w:tab w:leader="none" w:pos="135"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revenue from customers based on accounts, cards, devices, transactions, load amounts and/or purchase amounts,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 cards and toll related businesses.</w:t>
      </w:r>
    </w:p>
    <w:p>
      <w:pPr>
        <w:ind w:left="120" w:hanging="85"/>
        <w:spacing w:after="0" w:line="210" w:lineRule="auto"/>
        <w:tabs>
          <w:tab w:leader="none" w:pos="12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Fees for late payment and interest charges for carrying a balance charged to a customer.</w:t>
      </w:r>
    </w:p>
    <w:p>
      <w:pPr>
        <w:spacing w:after="0" w:line="59" w:lineRule="exact"/>
        <w:rPr>
          <w:sz w:val="20"/>
          <w:szCs w:val="20"/>
          <w:color w:val="auto"/>
        </w:rPr>
      </w:pPr>
    </w:p>
    <w:p>
      <w:pPr>
        <w:ind w:left="40" w:right="380" w:hanging="5"/>
        <w:spacing w:after="0" w:line="220" w:lineRule="auto"/>
        <w:tabs>
          <w:tab w:leader="none" w:pos="135"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Non-standard fees charged to customers based on customer behavior or optional participation, primarily including high credit risk surcharges, over credit limit charges, minimum processing fees, printing and mailing fees, environmental fees, etc.</w:t>
      </w:r>
    </w:p>
    <w:p>
      <w:pPr>
        <w:spacing w:after="0" w:line="4" w:lineRule="exact"/>
        <w:rPr>
          <w:sz w:val="20"/>
          <w:szCs w:val="20"/>
          <w:color w:val="auto"/>
        </w:rPr>
      </w:pPr>
    </w:p>
    <w:p>
      <w:pPr>
        <w:ind w:left="120" w:hanging="85"/>
        <w:spacing w:after="0"/>
        <w:tabs>
          <w:tab w:leader="none" w:pos="12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Interchange revenue directly influenced by the absolute price of fuel and other interchange related to fuel products.</w:t>
      </w:r>
    </w:p>
    <w:p>
      <w:pPr>
        <w:spacing w:after="0" w:line="64" w:lineRule="exact"/>
        <w:rPr>
          <w:rFonts w:ascii="Arial" w:cs="Arial" w:eastAsia="Arial" w:hAnsi="Arial"/>
          <w:sz w:val="22"/>
          <w:szCs w:val="22"/>
          <w:color w:val="auto"/>
          <w:vertAlign w:val="superscript"/>
        </w:rPr>
      </w:pPr>
    </w:p>
    <w:p>
      <w:pPr>
        <w:ind w:left="4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Interchange revenue related to nonfuel products.</w:t>
      </w:r>
    </w:p>
    <w:p>
      <w:pPr>
        <w:spacing w:after="0" w:line="15" w:lineRule="exact"/>
        <w:rPr>
          <w:rFonts w:ascii="Arial" w:cs="Arial" w:eastAsia="Arial" w:hAnsi="Arial"/>
          <w:sz w:val="22"/>
          <w:szCs w:val="22"/>
          <w:color w:val="auto"/>
          <w:vertAlign w:val="superscript"/>
        </w:rPr>
      </w:pPr>
    </w:p>
    <w:p>
      <w:pPr>
        <w:ind w:left="40" w:right="900"/>
        <w:spacing w:after="0" w:line="255"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7</w:t>
      </w:r>
      <w:r>
        <w:rPr>
          <w:rFonts w:ascii="Arial" w:cs="Arial" w:eastAsia="Arial" w:hAnsi="Arial"/>
          <w:sz w:val="16"/>
          <w:szCs w:val="16"/>
          <w:color w:val="auto"/>
        </w:rPr>
        <w:t xml:space="preserve"> Revenue derived from the difference between the price charged to a fleet customer for a transaction and the price paid to the merchant for the same transaction. </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Revenue derived primarily from the sale of equipment, software and related maintenance to merchants.</w:t>
      </w:r>
    </w:p>
    <w:p>
      <w:pPr>
        <w:ind w:left="40"/>
        <w:spacing w:after="0"/>
        <w:rPr>
          <w:rFonts w:ascii="Arial" w:cs="Arial" w:eastAsia="Arial" w:hAnsi="Arial"/>
          <w:sz w:val="22"/>
          <w:szCs w:val="22"/>
          <w:color w:val="auto"/>
          <w:vertAlign w:val="superscript"/>
        </w:rPr>
      </w:pPr>
      <w:r>
        <w:rPr>
          <w:rFonts w:ascii="Arial" w:cs="Arial" w:eastAsia="Arial" w:hAnsi="Arial"/>
          <w:sz w:val="15"/>
          <w:szCs w:val="15"/>
          <w:color w:val="auto"/>
        </w:rPr>
        <w:t>* We may not be able to precisely calculate revenue by source, as certain estimates were made in these allocations. Columns may not calculate due to rounding.</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Merchant commissions. </w:t>
      </w:r>
      <w:r>
        <w:rPr>
          <w:rFonts w:ascii="Arial" w:cs="Arial" w:eastAsia="Arial" w:hAnsi="Arial"/>
          <w:sz w:val="18"/>
          <w:szCs w:val="18"/>
          <w:color w:val="auto"/>
        </w:rPr>
        <w:t>The adoption of ASC 606 on January 1, 2018, resulted in a change in the presentation of amounts previously classified as merchant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of $26 million in the three months ended June 30, 2018. As of January 1, 2018, these amounts are recorded within revenues, net. Merchant commissions were $30.6 million in the three months ended June 30, 2017.</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Processing. </w:t>
      </w:r>
      <w:r>
        <w:rPr>
          <w:rFonts w:ascii="Arial" w:cs="Arial" w:eastAsia="Arial" w:hAnsi="Arial"/>
          <w:sz w:val="17"/>
          <w:szCs w:val="17"/>
          <w:color w:val="auto"/>
        </w:rPr>
        <w:t>Processing expenses were $111.2 million in the three months ended June 30, 2018, an increase of $7.9 million or 7.6%, from $103.3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comparable prior period. Increases in processing expenses were primarily due to expenses related to acquisitions completed in 2017 of approximately $14 million. These increases were partially offset by the impact of disposition of the NexTraq business of approximately $3 million. Additionally, the adoption of ASC 606 on January 1, 2018, resulted in a change in the presentation of certain third-party processing expenses and related rebates of $3 million in the three months ended June 30, 2018. As of January 1, 2018, these amounts are recorded within revenues, net.</w:t>
      </w:r>
    </w:p>
    <w:p>
      <w:pPr>
        <w:spacing w:after="0" w:line="173"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b w:val="1"/>
          <w:bCs w:val="1"/>
          <w:i w:val="1"/>
          <w:iCs w:val="1"/>
          <w:color w:val="auto"/>
        </w:rPr>
        <w:t xml:space="preserve">Selling. </w:t>
      </w:r>
      <w:r>
        <w:rPr>
          <w:rFonts w:ascii="Arial" w:cs="Arial" w:eastAsia="Arial" w:hAnsi="Arial"/>
          <w:sz w:val="18"/>
          <w:szCs w:val="18"/>
          <w:color w:val="auto"/>
        </w:rPr>
        <w:t>Selling expenses were $44.0 million in the three months ended June 30, 2018, an increase of $5.1 million or 13.0% from $39.0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prior period. Increases in spending were primarily due to ongoing incremental expenses related to acquisitions completed in 2017 of approximately $6 million and additional spending in certain lines of business. These increases were partially offset by the impact of disposition of the NexTraq business of approximately $1 million.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were $96.4 million in the three months ended June 30, 2018, an increase of $8.8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from $87.6 million in the comparable prior period. The increase was primarily due to expenses related to acquisitions completed in 2017 of approximately $9 million and expenses incurred related to the unauthorized access announced in May 2018 of approximately $2 million. These increases were partially offset by a decrease in stock compensation expense of approximately $1 million and the impact of disposition of the NexTraq business of approximately $1 million.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were $68.6 million in the three months ended June 30, 2018, an increase of $3.9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6.0%, from $64.7 million in the comparable prior period. The increase was primarily due to amortization of intangible assets related to acquisitions completed in 2017 of approximately $7 million. These increases were partially offset by the impact of disposition of the NexTraq business of approximately $2 million.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Investment loss. </w:t>
      </w:r>
      <w:r>
        <w:rPr>
          <w:rFonts w:ascii="Arial" w:cs="Arial" w:eastAsia="Arial" w:hAnsi="Arial"/>
          <w:sz w:val="17"/>
          <w:szCs w:val="17"/>
          <w:color w:val="auto"/>
        </w:rPr>
        <w:t>Investment loss was $2.4 million in the three months ended June 30, 2017. As a result of our loss of significant influence due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of the Masternaut investment agreement in 2017, we began accounting for the Masternaut investment by applying the cost method and no longer record gains and losses from the Masternaut investment as an investment loss or gain in our consolidated statement of operations.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net was $0.5 million in the three months ended June 30, 2018, compared to other income, net of $0.6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2017.</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was $33.2 million in the three months ended June 30, 2018, an increase of $9.3 million or 39.0%, from $23.9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comparable prior period. The increase in interest expense is primarily due to the impact of additional borrowings to finance the acquisition of Cambridge completed in 2017 and to repurchase our common stock, as well as increases in LIBOR. The following table sets forth the average interest rates paid on borrowings under our Credit Facility, excluding the related unused credit facility fees.</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7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7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4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average unused credit facility fee for Domestic Revolver A was 0.30% and 0.35% in the three month periods ending June 30, 2018 and 2017, respectively.</w:t>
      </w:r>
    </w:p>
    <w:p>
      <w:pPr>
        <w:spacing w:after="0" w:line="27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provision for income taxes was $54.3 million in the three months ended June 30, 2018, a decrease of $5.1 million or 8.5%,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$59.4 million in the comparable prior period. We provide for income taxes during interim periods based on an estimate of our effective tax rate for the year. Discrete items and changes in the estimate of the annual tax rate are recorded in the period they occur. Our effective tax rate decreased to 23.5% for the three months ended June 30, 2018 from 31.2% for three months ended June 30, 2017. The decrease in the effective tax rate was due primarily to the impact of the Tax Act, which reduced the U.S. federal statutory rate from 35% to 21%. The decrease in the effective tax rate was partially offset by the increase in our U.S. tax liability due to the new GILTI tax. The GILTI tax was enacted as part of U.S. Tax Reform for the taxable years beginning on or after January 1, 2018.</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to $176.9 million in the three months ended June 30, 2018, an increase of $45.9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35.0%, from $131.0 million in the three months ended June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 xml:space="preserve">Consolidated operating income. </w:t>
      </w:r>
      <w:r>
        <w:rPr>
          <w:rFonts w:ascii="Arial" w:cs="Arial" w:eastAsia="Arial" w:hAnsi="Arial"/>
          <w:sz w:val="16"/>
          <w:szCs w:val="16"/>
          <w:color w:val="auto"/>
        </w:rPr>
        <w:t>Operating income was $264.8 million in the three months ended June 30, 2018, an increase of $48.7 million or 22.6%,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$216.0 million in the comparable prior period. Our operating margin was 45.3% and 39.9% for the three months ended June 30, 2018 and 2017, respectively. These increases were driven by acquisitions completed in 2017, organic growth in our corporate payments, tolls and lodging products, the positive impact of the macroeconomic environment of approximately $4 million, driven by higher fuel prices, which was partially offset by the negative impact of fuel price spreads and unfavorable movements in foreign exchange rates, as well as the disposition of NexTraq of approximately $4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North America segment operating income. </w:t>
      </w:r>
      <w:r>
        <w:rPr>
          <w:rFonts w:ascii="Arial" w:cs="Arial" w:eastAsia="Arial" w:hAnsi="Arial"/>
          <w:sz w:val="18"/>
          <w:szCs w:val="18"/>
          <w:color w:val="auto"/>
        </w:rPr>
        <w:t>North America operating income was $161.4 million in the three months ended June 30, 2018,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$26.5 million or 19.6%, from $134.9 million in the comparable prior period. North America operating margin was 43.5% and 39.3% for the three months ended June 30, 2018 and 2017, respectively. These increases were due primarily to acquisitions completed in 2017, organic growth, the positive impact of the macroeconomic environment of approximately $5 million, driven by higher fuel prices, which was partially offset by the negative impact of fuel price spreads, as well as the disposition of NexTraq of approximately $4 million.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International segment operating income. </w:t>
      </w:r>
      <w:r>
        <w:rPr>
          <w:rFonts w:ascii="Arial" w:cs="Arial" w:eastAsia="Arial" w:hAnsi="Arial"/>
          <w:sz w:val="18"/>
          <w:szCs w:val="18"/>
          <w:color w:val="auto"/>
        </w:rPr>
        <w:t>International operating income was $103.4 million in the three months ended June 30, 2018, an increase of $22.3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27.5%, from $81.1 million in the comparable prior period. International operating margin was 48.3% and 40.9% for the three months ended June 30, 2018 and 2017, respectively. These increases were due primarily to organic growth and acquisitions completed in 2017. These increases were partially offset by the negative impact of the macroeconomic environment of approximately $1 million, driven primarily by unfavorable movements in foreign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to the six months ended June 30, 2017</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selected consolidated statement of income and selected operational data for the six months ended June 30, 2018 and 2017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Six Months Ended</w:t>
            </w:r>
          </w:p>
        </w:tc>
        <w:tc>
          <w:tcPr>
            <w:tcW w:w="2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 of total</w:t>
            </w:r>
          </w:p>
        </w:tc>
        <w:tc>
          <w:tcPr>
            <w:tcW w:w="140" w:type="dxa"/>
            <w:vAlign w:val="bottom"/>
          </w:tcPr>
          <w:p>
            <w:pPr>
              <w:spacing w:after="0"/>
              <w:rPr>
                <w:sz w:val="17"/>
                <w:szCs w:val="17"/>
                <w:color w:val="auto"/>
              </w:rPr>
            </w:pPr>
          </w:p>
        </w:tc>
        <w:tc>
          <w:tcPr>
            <w:tcW w:w="1520" w:type="dxa"/>
            <w:vAlign w:val="bottom"/>
          </w:tcPr>
          <w:p>
            <w:pPr>
              <w:jc w:val="right"/>
              <w:ind w:right="111"/>
              <w:spacing w:after="0"/>
              <w:rPr>
                <w:sz w:val="20"/>
                <w:szCs w:val="20"/>
                <w:color w:val="auto"/>
              </w:rPr>
            </w:pPr>
            <w:r>
              <w:rPr>
                <w:rFonts w:ascii="Arial" w:cs="Arial" w:eastAsia="Arial" w:hAnsi="Arial"/>
                <w:sz w:val="16"/>
                <w:szCs w:val="16"/>
                <w:b w:val="1"/>
                <w:bCs w:val="1"/>
                <w:color w:val="auto"/>
                <w:w w:val="93"/>
              </w:rPr>
              <w:t>Six Months Ended</w:t>
            </w: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 of total</w:t>
            </w:r>
          </w:p>
        </w:tc>
        <w:tc>
          <w:tcPr>
            <w:tcW w:w="240" w:type="dxa"/>
            <w:vAlign w:val="bottom"/>
          </w:tcPr>
          <w:p>
            <w:pPr>
              <w:spacing w:after="0"/>
              <w:rPr>
                <w:sz w:val="17"/>
                <w:szCs w:val="17"/>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1500" w:type="dxa"/>
            <w:vAlign w:val="bottom"/>
          </w:tcPr>
          <w:p>
            <w:pPr>
              <w:jc w:val="right"/>
              <w:ind w:right="231"/>
              <w:spacing w:after="0"/>
              <w:rPr>
                <w:sz w:val="20"/>
                <w:szCs w:val="20"/>
                <w:color w:val="auto"/>
              </w:rPr>
            </w:pPr>
            <w:r>
              <w:rPr>
                <w:rFonts w:ascii="Arial" w:cs="Arial" w:eastAsia="Arial" w:hAnsi="Arial"/>
                <w:sz w:val="16"/>
                <w:szCs w:val="16"/>
                <w:b w:val="1"/>
                <w:bCs w:val="1"/>
                <w:color w:val="auto"/>
              </w:rPr>
              <w:t>June 30, 2018</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revenue</w:t>
            </w:r>
          </w:p>
        </w:tc>
        <w:tc>
          <w:tcPr>
            <w:tcW w:w="140" w:type="dxa"/>
            <w:vAlign w:val="bottom"/>
          </w:tcPr>
          <w:p>
            <w:pPr>
              <w:spacing w:after="0"/>
              <w:rPr>
                <w:sz w:val="21"/>
                <w:szCs w:val="21"/>
                <w:color w:val="auto"/>
              </w:rPr>
            </w:pPr>
          </w:p>
        </w:tc>
        <w:tc>
          <w:tcPr>
            <w:tcW w:w="1520" w:type="dxa"/>
            <w:vAlign w:val="bottom"/>
          </w:tcPr>
          <w:p>
            <w:pPr>
              <w:jc w:val="right"/>
              <w:ind w:right="27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21"/>
                <w:szCs w:val="21"/>
                <w:color w:val="auto"/>
              </w:rPr>
            </w:pPr>
          </w:p>
        </w:tc>
        <w:tc>
          <w:tcPr>
            <w:tcW w:w="114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(decrease)</w:t>
            </w:r>
          </w:p>
        </w:tc>
        <w:tc>
          <w:tcPr>
            <w:tcW w:w="120" w:type="dxa"/>
            <w:vAlign w:val="bottom"/>
          </w:tcPr>
          <w:p>
            <w:pPr>
              <w:spacing w:after="0"/>
              <w:rPr>
                <w:sz w:val="21"/>
                <w:szCs w:val="21"/>
                <w:color w:val="auto"/>
              </w:rPr>
            </w:pPr>
          </w:p>
        </w:tc>
        <w:tc>
          <w:tcPr>
            <w:tcW w:w="1200" w:type="dxa"/>
            <w:vAlign w:val="bottom"/>
          </w:tcPr>
          <w:p>
            <w:pPr>
              <w:jc w:val="right"/>
              <w:ind w:right="154"/>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230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735.2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672.9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435.3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388.7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1,170.5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1,061.7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Consolidated operating</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14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227.7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205.1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186.7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183.0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129.6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loss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108.7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103.1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351.8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254.7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segments:</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317.3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207.5</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524.9</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113.8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40"/>
              <w:spacing w:after="0"/>
              <w:rPr>
                <w:sz w:val="20"/>
                <w:szCs w:val="20"/>
                <w:color w:val="auto"/>
              </w:rPr>
            </w:pPr>
            <w:r>
              <w:rPr>
                <w:rFonts w:ascii="Arial" w:cs="Arial" w:eastAsia="Arial" w:hAnsi="Arial"/>
                <w:sz w:val="18"/>
                <w:szCs w:val="18"/>
                <w:color w:val="auto"/>
              </w:rPr>
              <w:t>Operating margin for</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segments:</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5" w:lineRule="exact"/>
        <w:rPr>
          <w:sz w:val="20"/>
          <w:szCs w:val="20"/>
          <w:color w:val="auto"/>
        </w:rPr>
      </w:pPr>
    </w:p>
    <w:p>
      <w:pPr>
        <w:ind w:right="20" w:firstLine="8"/>
        <w:spacing w:after="0" w:line="253" w:lineRule="auto"/>
        <w:tabs>
          <w:tab w:leader="none" w:pos="94"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consolidated revenues were $1,170.5 million in the six months ended June 30, 2018, an increase of $108.8 million or 10.2%, from $1,061.7 million in the six months ended June 30, 2017. The increase in our consolidated revenue was primarily due to:</w:t>
      </w:r>
    </w:p>
    <w:p>
      <w:pPr>
        <w:spacing w:after="0" w:line="1"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acquisitions during 2017, which contributed approximately $76 million in additional revenue.</w:t>
      </w:r>
    </w:p>
    <w:p>
      <w:pPr>
        <w:spacing w:after="0" w:line="9" w:lineRule="exact"/>
        <w:rPr>
          <w:rFonts w:ascii="Arial" w:cs="Arial" w:eastAsia="Arial" w:hAnsi="Arial"/>
          <w:sz w:val="18"/>
          <w:szCs w:val="18"/>
          <w:color w:val="auto"/>
        </w:rPr>
      </w:pPr>
    </w:p>
    <w:p>
      <w:pPr>
        <w:ind w:left="540" w:right="40" w:hanging="316"/>
        <w:spacing w:after="0" w:line="28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Organic growth of approximately 9% on a constant fuel price, fuel spread margin, foreign currency and acquisition, and disposition basis, driven by increases in both volume and revenue per transaction in certain of our payment programs. Organic revenue growth has been calculated assuming ASC 606 was implemented on January 1, 2017, in order to calculate organic growth using comparable revenue results in each period.</w:t>
      </w:r>
    </w:p>
    <w:p>
      <w:pPr>
        <w:spacing w:after="0" w:line="2" w:lineRule="exact"/>
        <w:rPr>
          <w:rFonts w:ascii="Arial" w:cs="Arial" w:eastAsia="Arial" w:hAnsi="Arial"/>
          <w:sz w:val="16"/>
          <w:szCs w:val="16"/>
          <w:color w:val="auto"/>
        </w:rPr>
      </w:pPr>
    </w:p>
    <w:p>
      <w:pPr>
        <w:ind w:left="540" w:right="880" w:hanging="316"/>
        <w:spacing w:after="0" w:line="261"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favorable impact on our consolidated revenue for the six months ended June 30, 2018 over the comparable period in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540" w:right="320"/>
        <w:spacing w:after="0" w:line="306" w:lineRule="auto"/>
        <w:rPr>
          <w:sz w:val="20"/>
          <w:szCs w:val="20"/>
          <w:color w:val="auto"/>
        </w:rPr>
      </w:pPr>
      <w:r>
        <w:rPr>
          <w:rFonts w:ascii="Arial" w:cs="Arial" w:eastAsia="Arial" w:hAnsi="Arial"/>
          <w:sz w:val="18"/>
          <w:szCs w:val="18"/>
          <w:color w:val="auto"/>
        </w:rPr>
        <w:t>2017 of approximately $16 million. We believe the higher fuel prices, primarily in the U.S., and favorable foreign exchange rates had a favorable impact on consolidated revenues in the six months ended June 30, 2018 over the comparable period in 2017 of approximately $22 million and $1 million, respectively. Conversely, fuel spread margins had an unfavorable impact on consolidated revenues in the six months ended June 30, 2018 compared to the comparable period in 2017 of approximately $7 million.</w:t>
      </w:r>
    </w:p>
    <w:p>
      <w:pPr>
        <w:spacing w:after="0" w:line="160" w:lineRule="exact"/>
        <w:rPr>
          <w:sz w:val="20"/>
          <w:szCs w:val="20"/>
          <w:color w:val="auto"/>
        </w:rPr>
      </w:pPr>
    </w:p>
    <w:p>
      <w:pPr>
        <w:jc w:val="both"/>
        <w:ind w:left="60" w:right="120"/>
        <w:spacing w:after="0" w:line="264" w:lineRule="auto"/>
        <w:rPr>
          <w:sz w:val="20"/>
          <w:szCs w:val="20"/>
          <w:color w:val="auto"/>
        </w:rPr>
      </w:pPr>
      <w:r>
        <w:rPr>
          <w:rFonts w:ascii="Arial" w:cs="Arial" w:eastAsia="Arial" w:hAnsi="Arial"/>
          <w:sz w:val="18"/>
          <w:szCs w:val="18"/>
          <w:color w:val="auto"/>
        </w:rPr>
        <w:t>These increases were partially offset by the impact of the adoption of ASC 606, which decreased consolidated revenues, net by approximately $48 million, for certain amounts previously classified as merchant commissions and processing expense, net with revenues and by approximately $24 million due to the disposition of the NexTraq business in July 2017.</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North America revenues were $735.2 million in the six months ended June 30, 2018, an increase of $62.3 million or 9.3%, from $672.9 million in the six months ended June 30, 2017. The increase in our North America segment revenue was primarily due to:</w:t>
      </w:r>
    </w:p>
    <w:p>
      <w:pPr>
        <w:spacing w:after="0" w:line="1"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our Cambridge and CLS acquisitions during 2017, which contributed approximately $72 million in additional revenue.</w:t>
      </w:r>
    </w:p>
    <w:p>
      <w:pPr>
        <w:spacing w:after="0" w:line="9" w:lineRule="exact"/>
        <w:rPr>
          <w:rFonts w:ascii="Arial" w:cs="Arial" w:eastAsia="Arial" w:hAnsi="Arial"/>
          <w:sz w:val="18"/>
          <w:szCs w:val="18"/>
          <w:color w:val="auto"/>
        </w:rPr>
      </w:pPr>
    </w:p>
    <w:p>
      <w:pPr>
        <w:ind w:left="540" w:right="200" w:hanging="316"/>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Organic growth of approximately 7%, on a constant fuel price, fuel spread margin and acquisition and disposition basis, driven by increases in both volume and revenue per transaction in certain of our payment programs. Organic revenue growth has been calculated assuming ASC 606 was implemented on January 1, 2017, in order to calculate organic growth using comparable revenue results in each period.</w:t>
      </w:r>
    </w:p>
    <w:p>
      <w:pPr>
        <w:ind w:left="540" w:right="160" w:hanging="316"/>
        <w:spacing w:after="0" w:line="25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North America segment revenue in the six month period ended June 30, 2018 over the comparable period in 2017 of approximately $13 million, primarily due to the favorable impact of higher fuel prices of approximately $20 million, partially offset by lower fuel spread margins of approximately $7 million.</w:t>
      </w:r>
    </w:p>
    <w:p>
      <w:pPr>
        <w:spacing w:after="0" w:line="190"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These increases were partially offset by the impact of the adoption of ASC 606, which decreased North America revenues, net by approximately $37 million and by approximately $24 million due to the disposition of the NexTraq business in July 2017.</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International segment revenues were $435.3 million in the six months ended June 30, 2018, an increase of $46.5 million or 12.0%, from $388.7 million in the six months ended June 30, 2017. The increase in our International segment revenue was primarily due to:</w:t>
      </w:r>
    </w:p>
    <w:p>
      <w:pPr>
        <w:spacing w:after="0" w:line="76"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a small fuel card acquisition during 2017, which contributed approximately $4 million in additional revenue.</w:t>
      </w:r>
    </w:p>
    <w:p>
      <w:pPr>
        <w:spacing w:after="0" w:line="23" w:lineRule="exact"/>
        <w:rPr>
          <w:rFonts w:ascii="Arial" w:cs="Arial" w:eastAsia="Arial" w:hAnsi="Arial"/>
          <w:sz w:val="18"/>
          <w:szCs w:val="18"/>
          <w:color w:val="auto"/>
        </w:rPr>
      </w:pPr>
    </w:p>
    <w:p>
      <w:pPr>
        <w:ind w:left="640" w:right="240" w:hanging="321"/>
        <w:spacing w:after="0" w:line="265"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Organic growth of approximately 13% on a constant fuel price, fuel spread margin and acquisition basis, driven by increases in both volume and revenue per transaction in certain of our payment programs. Organic revenue growth has been calculated assuming ASC 606 was implemented in January 2017 in order to calculate organic growth using a consistent revenue standard in both periods.</w:t>
      </w:r>
    </w:p>
    <w:p>
      <w:pPr>
        <w:ind w:left="640" w:right="100" w:hanging="321"/>
        <w:spacing w:after="0" w:line="25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International segment revenue for the six months ended June 30, 2018 over the comparable period in 2017 of approximately $3 million. Changes in foreign exchange rates and higher fuel prices had favorable impacts on consolidated revenues of approximately $1 million and $2 million, respectively.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These increases were partially offset by the impact of the adoption of ASC 606, which decreased International revenues, net by approximately $11 million.</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Revenues by geography, product and source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below are further breakdowns of revenue by geography, product and source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and 2017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Six Months Ended 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196"/>
        </w:trPr>
        <w:tc>
          <w:tcPr>
            <w:tcW w:w="412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 net by Geography*</w:t>
            </w:r>
          </w:p>
        </w:tc>
        <w:tc>
          <w:tcPr>
            <w:tcW w:w="240" w:type="dxa"/>
            <w:vAlign w:val="bottom"/>
          </w:tcPr>
          <w:p>
            <w:pPr>
              <w:spacing w:after="0"/>
              <w:rPr>
                <w:sz w:val="17"/>
                <w:szCs w:val="17"/>
                <w:color w:val="auto"/>
              </w:rPr>
            </w:pPr>
          </w:p>
        </w:tc>
        <w:tc>
          <w:tcPr>
            <w:tcW w:w="1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2018¹</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40" w:type="dxa"/>
            <w:vAlign w:val="bottom"/>
            <w:gridSpan w:val="3"/>
          </w:tcPr>
          <w:p>
            <w:pPr>
              <w:jc w:val="right"/>
              <w:ind w:right="1499"/>
              <w:spacing w:after="0"/>
              <w:rPr>
                <w:sz w:val="20"/>
                <w:szCs w:val="20"/>
                <w:color w:val="auto"/>
              </w:rPr>
            </w:pPr>
            <w:r>
              <w:rPr>
                <w:rFonts w:ascii="Arial" w:cs="Arial" w:eastAsia="Arial" w:hAnsi="Arial"/>
                <w:sz w:val="16"/>
                <w:szCs w:val="16"/>
                <w:b w:val="1"/>
                <w:bCs w:val="1"/>
                <w:color w:val="auto"/>
                <w:w w:val="95"/>
              </w:rPr>
              <w:t>2017</w:t>
            </w:r>
          </w:p>
        </w:tc>
      </w:tr>
      <w:tr>
        <w:trPr>
          <w:trHeight w:val="48"/>
        </w:trPr>
        <w:tc>
          <w:tcPr>
            <w:tcW w:w="4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20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 of total</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439"/>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412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84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w w:val="95"/>
              </w:rPr>
              <w:t>Revenues, net</w:t>
            </w: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revenues, net</w:t>
            </w:r>
          </w:p>
        </w:tc>
        <w:tc>
          <w:tcPr>
            <w:tcW w:w="240" w:type="dxa"/>
            <w:vAlign w:val="bottom"/>
          </w:tcPr>
          <w:p>
            <w:pPr>
              <w:spacing w:after="0"/>
              <w:rPr>
                <w:sz w:val="18"/>
                <w:szCs w:val="18"/>
                <w:color w:val="auto"/>
              </w:rPr>
            </w:pPr>
          </w:p>
        </w:tc>
        <w:tc>
          <w:tcPr>
            <w:tcW w:w="136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Revenues,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0" w:type="dxa"/>
            <w:vAlign w:val="bottom"/>
          </w:tcPr>
          <w:p>
            <w:pPr>
              <w:spacing w:after="0"/>
              <w:rPr>
                <w:sz w:val="21"/>
                <w:szCs w:val="21"/>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Brazil</w:t>
            </w:r>
          </w:p>
        </w:tc>
        <w:tc>
          <w:tcPr>
            <w:tcW w:w="2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Six Months Ended 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r>
      <w:tr>
        <w:trPr>
          <w:trHeight w:val="196"/>
        </w:trPr>
        <w:tc>
          <w:tcPr>
            <w:tcW w:w="416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 net by Product Category*</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auto"/>
                <w:w w:val="87"/>
              </w:rPr>
              <w:t>2018¹</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gridSpan w:val="3"/>
          </w:tcPr>
          <w:p>
            <w:pPr>
              <w:jc w:val="right"/>
              <w:ind w:right="1539"/>
              <w:spacing w:after="0"/>
              <w:rPr>
                <w:sz w:val="20"/>
                <w:szCs w:val="20"/>
                <w:color w:val="auto"/>
              </w:rPr>
            </w:pPr>
            <w:r>
              <w:rPr>
                <w:rFonts w:ascii="Arial" w:cs="Arial" w:eastAsia="Arial" w:hAnsi="Arial"/>
                <w:sz w:val="16"/>
                <w:szCs w:val="16"/>
                <w:b w:val="1"/>
                <w:bCs w:val="1"/>
                <w:color w:val="auto"/>
                <w:w w:val="89"/>
              </w:rPr>
              <w:t>2017</w:t>
            </w:r>
          </w:p>
        </w:tc>
      </w:tr>
      <w:tr>
        <w:trPr>
          <w:trHeight w:val="48"/>
        </w:trPr>
        <w:tc>
          <w:tcPr>
            <w:tcW w:w="4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332"/>
              <w:spacing w:after="0"/>
              <w:rPr>
                <w:sz w:val="20"/>
                <w:szCs w:val="20"/>
                <w:color w:val="auto"/>
              </w:rPr>
            </w:pPr>
            <w:r>
              <w:rPr>
                <w:rFonts w:ascii="Arial" w:cs="Arial" w:eastAsia="Arial" w:hAnsi="Arial"/>
                <w:sz w:val="16"/>
                <w:szCs w:val="16"/>
                <w:b w:val="1"/>
                <w:bCs w:val="1"/>
                <w:color w:val="auto"/>
              </w:rPr>
              <w:t>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6"/>
                <w:szCs w:val="16"/>
                <w:b w:val="1"/>
                <w:bCs w:val="1"/>
                <w:color w:val="auto"/>
              </w:rPr>
              <w:t>Revenues,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416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300" w:type="dxa"/>
            <w:vAlign w:val="bottom"/>
          </w:tcPr>
          <w:p>
            <w:pPr>
              <w:spacing w:after="0"/>
              <w:rPr>
                <w:sz w:val="18"/>
                <w:szCs w:val="18"/>
                <w:color w:val="auto"/>
              </w:rPr>
            </w:pPr>
          </w:p>
        </w:tc>
        <w:tc>
          <w:tcPr>
            <w:tcW w:w="1300" w:type="dxa"/>
            <w:vAlign w:val="bottom"/>
          </w:tcPr>
          <w:p>
            <w:pPr>
              <w:jc w:val="right"/>
              <w:ind w:right="572"/>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total revenues, net</w:t>
            </w:r>
          </w:p>
        </w:tc>
        <w:tc>
          <w:tcPr>
            <w:tcW w:w="300" w:type="dxa"/>
            <w:vAlign w:val="bottom"/>
          </w:tcPr>
          <w:p>
            <w:pPr>
              <w:spacing w:after="0"/>
              <w:rPr>
                <w:sz w:val="18"/>
                <w:szCs w:val="18"/>
                <w:color w:val="auto"/>
              </w:rPr>
            </w:pPr>
          </w:p>
        </w:tc>
        <w:tc>
          <w:tcPr>
            <w:tcW w:w="1320" w:type="dxa"/>
            <w:vAlign w:val="bottom"/>
          </w:tcPr>
          <w:p>
            <w:pPr>
              <w:jc w:val="right"/>
              <w:ind w:right="572"/>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Fuel cards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40" w:type="dxa"/>
            <w:vAlign w:val="bottom"/>
          </w:tcPr>
          <w:p>
            <w:pPr>
              <w:spacing w:after="0"/>
              <w:rPr>
                <w:sz w:val="21"/>
                <w:szCs w:val="21"/>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Corporate Payments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Tolls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Lodging</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Gift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Major Sources of Revenue, net</w:t>
            </w: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gridSpan w:val="5"/>
          </w:tcPr>
          <w:p>
            <w:pPr>
              <w:ind w:left="820"/>
              <w:spacing w:after="0"/>
              <w:rPr>
                <w:sz w:val="20"/>
                <w:szCs w:val="20"/>
                <w:color w:val="auto"/>
              </w:rPr>
            </w:pPr>
            <w:r>
              <w:rPr>
                <w:rFonts w:ascii="Arial" w:cs="Arial" w:eastAsia="Arial" w:hAnsi="Arial"/>
                <w:sz w:val="16"/>
                <w:szCs w:val="16"/>
                <w:b w:val="1"/>
                <w:bCs w:val="1"/>
                <w:color w:val="auto"/>
              </w:rPr>
              <w:t>Six Months Ended June 30,</w:t>
            </w:r>
          </w:p>
        </w:tc>
        <w:tc>
          <w:tcPr>
            <w:tcW w:w="1720" w:type="dxa"/>
            <w:vAlign w:val="bottom"/>
          </w:tcPr>
          <w:p>
            <w:pPr>
              <w:spacing w:after="0"/>
              <w:rPr>
                <w:sz w:val="17"/>
                <w:szCs w:val="17"/>
                <w:color w:val="auto"/>
              </w:rPr>
            </w:pPr>
          </w:p>
        </w:tc>
      </w:tr>
      <w:tr>
        <w:trPr>
          <w:trHeight w:val="61"/>
        </w:trPr>
        <w:tc>
          <w:tcPr>
            <w:tcW w:w="40" w:type="dxa"/>
            <w:vAlign w:val="bottom"/>
          </w:tcPr>
          <w:p>
            <w:pPr>
              <w:spacing w:after="0"/>
              <w:rPr>
                <w:sz w:val="5"/>
                <w:szCs w:val="5"/>
                <w:color w:val="auto"/>
              </w:rPr>
            </w:pPr>
          </w:p>
        </w:tc>
        <w:tc>
          <w:tcPr>
            <w:tcW w:w="2120" w:type="dxa"/>
            <w:vAlign w:val="bottom"/>
            <w:tcBorders>
              <w:top w:val="single" w:sz="8" w:color="auto"/>
            </w:tcBorders>
          </w:tcPr>
          <w:p>
            <w:pPr>
              <w:spacing w:after="0"/>
              <w:rPr>
                <w:sz w:val="5"/>
                <w:szCs w:val="5"/>
                <w:color w:val="auto"/>
              </w:rPr>
            </w:pPr>
          </w:p>
        </w:tc>
        <w:tc>
          <w:tcPr>
            <w:tcW w:w="18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09"/>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432"/>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18"/>
                <w:szCs w:val="18"/>
                <w:color w:val="auto"/>
              </w:rPr>
            </w:pPr>
          </w:p>
        </w:tc>
        <w:tc>
          <w:tcPr>
            <w:tcW w:w="12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2018¹</w:t>
            </w: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revenues, net</w:t>
            </w:r>
          </w:p>
        </w:tc>
        <w:tc>
          <w:tcPr>
            <w:tcW w:w="380" w:type="dxa"/>
            <w:vAlign w:val="bottom"/>
          </w:tcPr>
          <w:p>
            <w:pPr>
              <w:spacing w:after="0"/>
              <w:rPr>
                <w:sz w:val="18"/>
                <w:szCs w:val="18"/>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720" w:type="dxa"/>
            <w:vAlign w:val="bottom"/>
          </w:tcPr>
          <w:p>
            <w:pPr>
              <w:jc w:val="right"/>
              <w:ind w:right="312"/>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40" w:type="dxa"/>
            <w:vAlign w:val="bottom"/>
            <w:shd w:val="clear" w:color="auto" w:fill="CCEEFF"/>
          </w:tcPr>
          <w:p>
            <w:pPr>
              <w:spacing w:after="0"/>
              <w:rPr>
                <w:sz w:val="22"/>
                <w:szCs w:val="22"/>
                <w:color w:val="auto"/>
              </w:rPr>
            </w:pPr>
          </w:p>
        </w:tc>
        <w:tc>
          <w:tcPr>
            <w:tcW w:w="3960" w:type="dxa"/>
            <w:vAlign w:val="bottom"/>
            <w:gridSpan w:val="2"/>
            <w:shd w:val="clear" w:color="auto" w:fill="CCEEFF"/>
          </w:tcPr>
          <w:p>
            <w:pPr>
              <w:ind w:left="140"/>
              <w:spacing w:after="0" w:line="264" w:lineRule="exact"/>
              <w:rPr>
                <w:sz w:val="20"/>
                <w:szCs w:val="20"/>
                <w:color w:val="auto"/>
              </w:rPr>
            </w:pPr>
            <w:r>
              <w:rPr>
                <w:rFonts w:ascii="Arial" w:cs="Arial" w:eastAsia="Arial" w:hAnsi="Arial"/>
                <w:sz w:val="18"/>
                <w:szCs w:val="18"/>
                <w:color w:val="auto"/>
              </w:rPr>
              <w:t>Processing and Program Revenue</w:t>
            </w:r>
            <w:r>
              <w:rPr>
                <w:rFonts w:ascii="Arial" w:cs="Arial" w:eastAsia="Arial" w:hAnsi="Arial"/>
                <w:sz w:val="25"/>
                <w:szCs w:val="25"/>
                <w:color w:val="auto"/>
                <w:vertAlign w:val="superscript"/>
              </w:rPr>
              <w:t>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Late Fees and Finance Charges</w:t>
            </w:r>
            <w:r>
              <w:rPr>
                <w:rFonts w:ascii="Arial" w:cs="Arial" w:eastAsia="Arial" w:hAnsi="Arial"/>
                <w:sz w:val="25"/>
                <w:szCs w:val="25"/>
                <w:color w:val="auto"/>
                <w:vertAlign w:val="superscript"/>
              </w:rPr>
              <w:t>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Miscellaneous Fees</w:t>
            </w:r>
            <w:r>
              <w:rPr>
                <w:rFonts w:ascii="Arial" w:cs="Arial" w:eastAsia="Arial" w:hAnsi="Arial"/>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Discount Revenue (Fuel)</w:t>
            </w:r>
            <w:r>
              <w:rPr>
                <w:rFonts w:ascii="Arial" w:cs="Arial" w:eastAsia="Arial" w:hAnsi="Arial"/>
                <w:sz w:val="25"/>
                <w:szCs w:val="25"/>
                <w:color w:val="auto"/>
                <w:vertAlign w:val="superscript"/>
              </w:rPr>
              <w:t>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Discount Revenue (NonFuel)</w:t>
            </w:r>
            <w:r>
              <w:rPr>
                <w:rFonts w:ascii="Arial" w:cs="Arial" w:eastAsia="Arial" w:hAnsi="Arial"/>
                <w:sz w:val="25"/>
                <w:szCs w:val="25"/>
                <w:color w:val="auto"/>
                <w:vertAlign w:val="superscript"/>
              </w:rPr>
              <w:t>6</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Tied to Fuel-Price Spreads</w:t>
            </w:r>
            <w:r>
              <w:rPr>
                <w:rFonts w:ascii="Arial" w:cs="Arial" w:eastAsia="Arial" w:hAnsi="Arial"/>
                <w:sz w:val="25"/>
                <w:szCs w:val="25"/>
                <w:color w:val="auto"/>
                <w:vertAlign w:val="superscript"/>
              </w:rPr>
              <w:t>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Merchant Program Revenue</w:t>
            </w:r>
            <w:r>
              <w:rPr>
                <w:rFonts w:ascii="Arial" w:cs="Arial" w:eastAsia="Arial" w:hAnsi="Arial"/>
                <w:sz w:val="25"/>
                <w:szCs w:val="25"/>
                <w:color w:val="auto"/>
                <w:vertAlign w:val="superscript"/>
              </w:rPr>
              <w:t>8</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Consolidated revenues,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ind w:left="40" w:right="280" w:hanging="5"/>
        <w:spacing w:after="0" w:line="251" w:lineRule="auto"/>
        <w:tabs>
          <w:tab w:leader="none" w:pos="135"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w:t>
      </w:r>
    </w:p>
    <w:p>
      <w:pPr>
        <w:spacing w:after="0" w:line="43" w:lineRule="exact"/>
        <w:rPr>
          <w:sz w:val="20"/>
          <w:szCs w:val="20"/>
          <w:color w:val="auto"/>
        </w:rPr>
      </w:pPr>
    </w:p>
    <w:p>
      <w:pPr>
        <w:ind w:left="40" w:right="520" w:hanging="5"/>
        <w:spacing w:after="0" w:line="293" w:lineRule="auto"/>
        <w:tabs>
          <w:tab w:leader="none" w:pos="135"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revenue from customers based on accounts, cards, devices, transactions, load amounts and/or purchase amounts,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 cards and toll related businesses.</w:t>
      </w:r>
    </w:p>
    <w:p>
      <w:pPr>
        <w:ind w:left="120" w:hanging="85"/>
        <w:spacing w:after="0" w:line="210" w:lineRule="auto"/>
        <w:tabs>
          <w:tab w:leader="none" w:pos="1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Fees for late payment and interest charges for carrying a balance charged to a customer.</w:t>
      </w:r>
    </w:p>
    <w:p>
      <w:pPr>
        <w:spacing w:after="0" w:line="59" w:lineRule="exact"/>
        <w:rPr>
          <w:sz w:val="20"/>
          <w:szCs w:val="20"/>
          <w:color w:val="auto"/>
        </w:rPr>
      </w:pPr>
    </w:p>
    <w:p>
      <w:pPr>
        <w:ind w:left="40" w:right="440" w:hanging="5"/>
        <w:spacing w:after="0" w:line="220" w:lineRule="auto"/>
        <w:tabs>
          <w:tab w:leader="none" w:pos="135"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Non-standard fees charged to customers based on customer behavior or optional participation, primarily including high credit risk surcharges, over credit limit charges, minimum processing fees, printing and mailing fees, environmental fees, etc.</w:t>
      </w:r>
    </w:p>
    <w:p>
      <w:pPr>
        <w:spacing w:after="0" w:line="4" w:lineRule="exact"/>
        <w:rPr>
          <w:sz w:val="20"/>
          <w:szCs w:val="20"/>
          <w:color w:val="auto"/>
        </w:rPr>
      </w:pPr>
    </w:p>
    <w:p>
      <w:pPr>
        <w:ind w:left="120" w:hanging="85"/>
        <w:spacing w:after="0"/>
        <w:tabs>
          <w:tab w:leader="none" w:pos="12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Interchange revenue directly influenced by the absolute price of fuel and other interchange related to fuel products.</w:t>
      </w:r>
    </w:p>
    <w:p>
      <w:pPr>
        <w:spacing w:after="0" w:line="64" w:lineRule="exact"/>
        <w:rPr>
          <w:rFonts w:ascii="Arial" w:cs="Arial" w:eastAsia="Arial" w:hAnsi="Arial"/>
          <w:sz w:val="22"/>
          <w:szCs w:val="22"/>
          <w:color w:val="auto"/>
          <w:vertAlign w:val="superscript"/>
        </w:rPr>
      </w:pPr>
    </w:p>
    <w:p>
      <w:pPr>
        <w:ind w:left="4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Interchange revenue related to nonfuel products.</w:t>
      </w:r>
    </w:p>
    <w:p>
      <w:pPr>
        <w:spacing w:after="0" w:line="15" w:lineRule="exact"/>
        <w:rPr>
          <w:rFonts w:ascii="Arial" w:cs="Arial" w:eastAsia="Arial" w:hAnsi="Arial"/>
          <w:sz w:val="22"/>
          <w:szCs w:val="22"/>
          <w:color w:val="auto"/>
          <w:vertAlign w:val="superscript"/>
        </w:rPr>
      </w:pPr>
    </w:p>
    <w:p>
      <w:pPr>
        <w:ind w:left="40" w:right="960"/>
        <w:spacing w:after="0" w:line="255"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7</w:t>
      </w:r>
      <w:r>
        <w:rPr>
          <w:rFonts w:ascii="Arial" w:cs="Arial" w:eastAsia="Arial" w:hAnsi="Arial"/>
          <w:sz w:val="16"/>
          <w:szCs w:val="16"/>
          <w:color w:val="auto"/>
        </w:rPr>
        <w:t xml:space="preserve"> Revenue derived from the difference between the price charged to a fleet customer for a transaction and the price paid to the merchant for the same transaction. </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Revenue derived primarily from the sale of equipment, software and related maintenance to merchants.</w:t>
      </w:r>
    </w:p>
    <w:p>
      <w:pPr>
        <w:ind w:left="40"/>
        <w:spacing w:after="0"/>
        <w:rPr>
          <w:rFonts w:ascii="Arial" w:cs="Arial" w:eastAsia="Arial" w:hAnsi="Arial"/>
          <w:sz w:val="22"/>
          <w:szCs w:val="22"/>
          <w:color w:val="auto"/>
          <w:vertAlign w:val="superscript"/>
        </w:rPr>
      </w:pPr>
      <w:r>
        <w:rPr>
          <w:rFonts w:ascii="Arial" w:cs="Arial" w:eastAsia="Arial" w:hAnsi="Arial"/>
          <w:sz w:val="15"/>
          <w:szCs w:val="15"/>
          <w:color w:val="auto"/>
        </w:rPr>
        <w:t>* We may not be able to precisely calculate revenue by source, as certain estimates were made in these allocations. Columns may not calculate due to rounding.</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Merchant commissions. </w:t>
      </w:r>
      <w:r>
        <w:rPr>
          <w:rFonts w:ascii="Arial" w:cs="Arial" w:eastAsia="Arial" w:hAnsi="Arial"/>
          <w:sz w:val="18"/>
          <w:szCs w:val="18"/>
          <w:color w:val="auto"/>
        </w:rPr>
        <w:t>The adoption of ASC 606 on January 1, 2018, resulted in a change in the presentation of amounts previously classified as merchant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of $53 million in the six months ended June 30, 2018. As of January 1, 2018,</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recorded within revenues, net. Merchant commissions were $55 million in the six months ended June 30, 2017.</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Processing. </w:t>
      </w:r>
      <w:r>
        <w:rPr>
          <w:rFonts w:ascii="Arial" w:cs="Arial" w:eastAsia="Arial" w:hAnsi="Arial"/>
          <w:sz w:val="17"/>
          <w:szCs w:val="17"/>
          <w:color w:val="auto"/>
        </w:rPr>
        <w:t>Processing expenses were $227.7 million in the six months ended June 30, 2018, an increase of $22.5 million or 11.0%, from $205.1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comparable prior period. Increases in processing expenses were primarily due to expenses related to acquisitions completed in 2017 of approximately $27 million. These increases were partially offset by the impact of disposition of the NexTraq business of approximately $6 million. Additionally, the adoption of ASC 606 on January 1, 2018, resulted in a change in the presentation of certain third-party processing expenses and related rebates of $5 million in the six months ended June 30, 2018. As of January 1, 2018, these amounts are recorded within revenues, net.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Selling. </w:t>
      </w:r>
      <w:r>
        <w:rPr>
          <w:rFonts w:ascii="Arial" w:cs="Arial" w:eastAsia="Arial" w:hAnsi="Arial"/>
          <w:sz w:val="18"/>
          <w:szCs w:val="18"/>
          <w:color w:val="auto"/>
        </w:rPr>
        <w:t>Selling expenses were $91.1 million in the six months ended June 30, 2018, an increase of $13.3 million or 17.1% from $77.8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prior period. Increases in spending were primarily due to ongoing incremental expenses related to acquisitions completed in 2017 of approximately $12 million and additional spending in certain lines of business. These increases were partially offset by the impact of disposition of the NexTraq business of approximately $3 million. Additionally, the adoption of ASC 606 and related cost capitalization guidance on January 1, 2018, resulted in the capitalization of certain costs incurred to obtain a contract (sales commissions) and deferral over the period of benefit, resulting in reduced selling expenses of approximately $3 million.</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were $186.7 million in the six months ended June 30, 2018, an increase of $3.7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 from $183.0 million in the comparable prior period. The increase was primarily due to expenses related to acquisitions completed in 2017 of approximately $18 million and additional spending in certain lines of business. These increases were partially offset by a decrease in stock compensation expense of approximately $11 million, a reduction in other professional and legal fees totaling $3 million and the impact of disposition of the NexTraq business of approximately $3 million.</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were $140.1 million in the six months ended June 30, 2018, an increase of $10.5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8.1%, from $129.6 million in the comparable prior period. The increase was primarily due to amortization of intangible assets related to acquisitions completed in 2017 of approximately $15 million. These increases were partially offset by the impact of disposition of the NexTraq business of approximately $4 million.</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Investment loss. </w:t>
      </w:r>
      <w:r>
        <w:rPr>
          <w:rFonts w:ascii="Arial" w:cs="Arial" w:eastAsia="Arial" w:hAnsi="Arial"/>
          <w:sz w:val="17"/>
          <w:szCs w:val="17"/>
          <w:color w:val="auto"/>
        </w:rPr>
        <w:t>Investment loss was $4.7 million in the six months ended June 30, 2017. As a result of our loss of significant influence due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of the Masternaut investment agreement in 2017, we began accounting for the Masternaut investment by applying the cost method and no longer record gains and losses from the Masternaut investment as an investment loss or gain in our consolidated statement of operations.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was $0.2 million in the six months ended June 30, 2018, compared to $1.6 million in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was $64.2 million in the six months ended June 30, 2018, an increase of $17.2 million or 36.7%, from $47.0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comparable prior period. The increase in interest expense is primarily due to the impact of additional borrowings to finance the acquisition of Cambridge completed in 2017, to repurchase our common stock and increases in LIBOR. The following table sets forth the average interest rates paid on borrowings under our Credit Facility, excluding the related unused credit facility fees.</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78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7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4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average unused credit facility fee for Domestic Revolver A was 0.32% and 0.34% in the six months period ending June 30, 2018 and 2017, respectively.</w:t>
      </w:r>
    </w:p>
    <w:p>
      <w:pPr>
        <w:spacing w:after="0" w:line="35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was $108.7 million in the six months ended June 30, 2018, an increase of $5.6 million or 5.5%,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$103.1 million in the comparable prior period. We provide for income taxes during interim periods based on an estimate of our effective tax rate for the year. Discrete items and changes in the estimate of the annual tax rate are recorded in the period they occur. Our effective tax rate decreased to 23.6% for the six months ended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June 30, 2018 from 28.8% for six months ended June 30, 2017. The decrease in the effective tax rate was due primarily to the impact of the Tax Act, which reduced the U.S. federal statutory rate from 35% to 21%. The decrease in the effective tax rate was partially offset by the increase in our U.S. tax liability due to the new GILTI tax. The GILTI tax was enacted as part of U.S. Tax Reform for the taxable years beginning on or after January 1, 2018.</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to $351.8 million in the six months ended June 30, 2018, an increase of $97.1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38.1%, from $254.7 million in the six months ended June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Consolidated operating income. </w:t>
      </w:r>
      <w:r>
        <w:rPr>
          <w:rFonts w:ascii="Arial" w:cs="Arial" w:eastAsia="Arial" w:hAnsi="Arial"/>
          <w:sz w:val="18"/>
          <w:szCs w:val="18"/>
          <w:color w:val="auto"/>
        </w:rPr>
        <w:t>Operating income was $524.9 million in the six months ended June 30, 2018, an increase of $113.8 million or 27.7%,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$411.1 million in the comparable prior period. Our operating margin was 44.8% and 38.7% for the six months ended June 30, 2018 and 2017, respectively. These increases were driven by acquisitions completed in 2017, organic growth in our corporate payments, tolls and lodging products, the positive impact of the macroeconomic environment of approximately $18 million, driven by higher fuel prices and slightly favorable impact of foreign exchange rates, which were partially offset by unfavorable fuel spread margins. These increases were also driven by lower expenses due primarily to reductions in stock based compensation of $11 million and professional fess of approximately $3 million. These increases were partially offset by the negative impact due to the disposition of NexTraq of approximately $8 million.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North America segment operating income. </w:t>
      </w:r>
      <w:r>
        <w:rPr>
          <w:rFonts w:ascii="Arial" w:cs="Arial" w:eastAsia="Arial" w:hAnsi="Arial"/>
          <w:sz w:val="17"/>
          <w:szCs w:val="17"/>
          <w:color w:val="auto"/>
        </w:rPr>
        <w:t>North America operating income was $317.3 million in the six months ended June 30, 2018, an increase of $61.4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24.0%, from $255.9 million in the comparable prior period. North America operating margin was 43.2% and 38.0% for the six months ended June 30, 2018 and 2017, respectively. These increases were due primarily to acquisitions completed in 2017, organic growth, the positive impact of the macroeconomic environment of approximately $13 million driven by higher fuel prices, which were partially offset by unfavorable fuel spread margins, as well as lower expense due primarily to reductions in stock based compensation of approximately $11 million and professional fees of approximately $3 million. These increases were partially offset by the negative impact due to the disposition of NexTraq of approximately $8 million.</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International segment operating income. </w:t>
      </w:r>
      <w:r>
        <w:rPr>
          <w:rFonts w:ascii="Arial" w:cs="Arial" w:eastAsia="Arial" w:hAnsi="Arial"/>
          <w:sz w:val="17"/>
          <w:szCs w:val="17"/>
          <w:color w:val="auto"/>
        </w:rPr>
        <w:t>International operating income was $207.5 million in the six months ended June 30, 2018, an increase of $52.3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33.7%, from $155.2 million in the comparable prior period. International operating margin was 47.7% and 39.9% for the six months ended June 30, 2018 and 2017, respectively. These increases were due primarily to organic growth and acquisitions completed in 2017 and the positive impact of the macroeconomic environment of approximately $5 million, driven by favorable movements in foreign exchange rates and higher fuel prices.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At June 30, 2018, our cash balances totaled $1,185.4 million, with approximately $265.8 million restricted. Restricted cash represents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deposits in the Czech Republic and in our Comdata business in the U.S., as well as collateral received from customers for cross-currency transactions in our Cambridge business, which are restricted from use other than to repay customer deposits, as well as secure and settle cross-currency transactions.</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At June 30, 2018, cash and cash equivalents held in foreign subsidiaries where we have determined we are permanently reinvested is $640.5 million. All of the cash and cash equivalents held by our foreign subsidiaries, excluding restricted cash, are available for general corporate purposes. Our current intent is to permanently reinvest these funds outside of the U.S. Our current expectation for funds held in our foreign subsidiaries is to use the funds to finance foreign organic growth, to pay for potential future foreign acquisitions and to repay any foreign borrowings that may arise from time to time. We currently believe that funds generated from our U.S. operations, along with available borrowing capacity in the U.S. will be sufficient to fund our U.S. operations for the foreseeable future, and therefore do not foresee a need to repatriate cash held by our foreign subsidiaries to fund our U.S. operations.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fourth quarter of 2017, the U.S. government enacted the Tax Act, which includes provisions for a tax on all previously undistributed earnings in foreign jurisdictions. We have provisionally recorded an $81.8 million charge on these undistributed earnings in 2017. We did not make any adjustments to these provisional amounts during the three months ended June 30, 2018. We are continuing to gather additional information to complete our accounting for these items and expect to complete our accounting within the measurement period. As permitted by the Tax Act, we intend to pay the one-time transition tax in eight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 interest-free installments beginning in 2018. We are currently evaluating the remaining undistributed foreign earnings for which we have not provided deferred taxes for foreign withholding tax, as these earnings are considered to be indefinitely reinvested. The amount of these unrecorded deferred taxes is not expected to be material.</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utilize an accounts receivable Securitization Facility to finance a majority of our domestic fuel card receivables, to lower our cost of borrowing and more efficiently use capital. We generate and record accounts receivable when a customer makes a purchase from a merchant using one of our card products and generally pay merchants before collecting the receivable. As a result, we utilize the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14 days of billing. We also consider the undrawn amounts under our Securitization Facility and Credit Facility as funds available for working capital purposes and acquisitions. At June 30, 2018, we had no additional liquidity under our Securitization Facility. At June 30, 2018, we had approximately $444 million available under our Credit Facility.</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twelve months. However, we regularly evaluate our cash requirements for current operations, commitments, capital requirements and acquisitions, and we may elect to raise additional funds for these purposes in the future, either through the issuance of debt or equity securities. We may not be able to obtain additional financing on terms favorable to us, if at all.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 periods ended June 30, 2018 and 2017 (in millions).</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207.7</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was $275.1 million in the six months ended June 30, 2018, an increase from $207.7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comparable prior period. The increase in operating cash flows was primarily due to higher net income, partially offset by unfavorable working capital adjustments primarily due to the timing of cash receipts and payments in the six months ended June 30, 2018 over the comparable period in 2017.</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$49.6 million in the six months ended June 30, 2018 compared to $42.5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 immaterial change.</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was $104.8 million in the six months ended June 30, 2018, an increase from $67.8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prior period. The increased use of cash is primarily due to increased repurchases of our common stock of $328 million and a reduction in borrowings of $22 million on our Securitization Facility. These additional uses of cash were partially offset by an increase in net borrowings on our Credit Facility in the six months ended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 summary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capital expenditures was $34.6 million in the six months ended June 30, 2018, an increase of $2.0 million or 6.2%, from $32.6 million in the comparable prior period. This increase is primarily due to increased spending on strategic projects, including continued investment in our operating systems, as well as incremental spending related to acquisitions completed in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FLEETCOR Technologies Operating Company, LLC, and certain of our domestic and foreign owned subsidiaries, as designated co-borrowers (the “Borrowers”), are parties to a $4.33 billion Credit Agreement (the "Credit Agreement"), with Bank of America, N.A., as administrative agent, swing line lender and local currency issuer, and a syndicate of financial institutions (the “Lenders”), which has been amended multiple times. The Credit Agreement provides for senior secured credit facilities consisting of a revolving A credit facility in the amount of $1.285 billion, a term loan A facility in the amount of $2.69 billion and a term loan B facility in the amount of $350.0 million as of June 30, 2018. The revolving credit facility consists of (a) a revolving A credit facility in the amount of $800 million, with sublimits for letters of credit and swing line loans, (b)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revolving B facility in the amount of $450 million for swing line loans and multi-currency borrowings and, (c) a revolving C facility in the amount of $35 million for multi-currency borrowings in Australian Dollars or New Zealand Dollars.</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Credit Agreement also contains an accordion feature for borrowing an additional $750 million in term A or revolver A and term B. Proceeds from the Credit Facility may be used for working capital purposes, acquisitions, and other general corporate purposes. The term A and revolver maturity dates are August 2, 2022 and the term B maturity date is August 2, 2024.</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loans are payable in quarterly installments and are due on the last business day of each March, June, September, and December with the final principal payment due on the respective maturity date. Borrowings on the revolving line of credit are repayable at our option of one, two, three or nine months after borrowing, depending on the term of the borrowing on the facility. Borrowings on the foreign swing line of credit are due no later than ten business days after such loan is made.</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Credit Facility contains representations, warranties and events of default, as well as certain affirmative and negative covenants, customary for financings of this nature. These covenants include limitations on the ability to pay dividends and make other restricted payments under certain circumstances and compliance with certain financial ratios. As of June 30, 2018, we were in compliance with each of the covenants under the Credit Facility.</w:t>
      </w:r>
    </w:p>
    <w:p>
      <w:pPr>
        <w:spacing w:after="0" w:line="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June 30, 2018, the interest rate on the term A loan and the domestic revolving A facility was 3.59%, the interest rate on the foreign revolving B facility was 2.01%, the interest rate on the revolving B facility foreign swing line of credit was 1.97% and the interest rate on the term B loan was 4.09%. The unused credit facility was 0.30% for all revolving facilities at June 30, 2018.</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June 30, 2018, we had $2.6 billion in borrowings outstanding on the term A loan, excluding the related debt discount, $347.4 million in borrowings outstanding on term B loan, excluding the related debt discount, $580 million in borrowings outstanding on the domestic revolving A facility, $241.7 million in borrowings outstanding on the foreign revolving B facility and $19.6 million in borrowings outstanding on the swing line revolving B facility. We have unamortized debt discounts and debt issuance costs of $5.9 million and $4.6 million at June 30, 2018, respectively.</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six months ended June 30, 2018, we made principal payments of $69.0 million on the term loans, $535.0 million on the domestic revolving A facility, $65.1 million on the foreign revolving B facility and $20.2 million on the swing line revolving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71" w:lineRule="exact"/>
        <w:rPr>
          <w:sz w:val="20"/>
          <w:szCs w:val="20"/>
          <w:color w:val="auto"/>
        </w:rPr>
      </w:pPr>
    </w:p>
    <w:p>
      <w:pPr>
        <w:jc w:val="both"/>
        <w:ind w:right="440"/>
        <w:spacing w:after="0" w:line="257" w:lineRule="auto"/>
        <w:rPr>
          <w:sz w:val="20"/>
          <w:szCs w:val="20"/>
          <w:color w:val="auto"/>
        </w:rPr>
      </w:pPr>
      <w:r>
        <w:rPr>
          <w:rFonts w:ascii="Arial" w:cs="Arial" w:eastAsia="Arial" w:hAnsi="Arial"/>
          <w:sz w:val="18"/>
          <w:szCs w:val="18"/>
          <w:color w:val="auto"/>
        </w:rPr>
        <w:t>We are a party to a receivables purchase agreement among FLEETCOR Funding LLC, as seller, PNC Bank, National Association as administrator, and various purchaser agents, conduit purchasers and related committed purchasers parties thereto, which was amended and restated for the Fifth time as of November 14, 2014. We refer to this arrangement as the Securitization Facility. There have been several amendments to the Securitization Facility. The current purchase limit under the Securitization Facility is $950 million and the Securitization Facility expires on November 14, 2020. The Securitization Facility contains certain customary financial covenants.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is a program fee equal to one month LIBOR plus 0.90% or the Commercial Paper Rate plus 0.80%. The program fee was 2.15% plus 0.86% and 1.55% plus 0.86% as of June 30, 2018 and December 31, 2017, respectively. The unused facility fee is payable at a rate of 0.40% as of June 30, 2018 and December 31, 2017, respectively.</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the financial covenant requirements related to our Securitization Facility as of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4, 2016, our Board of Directors approved a stock repurchase program (the "Program") under which we may purchase up to an aggregate of $500 million of our common stock over the following 18 month period. On July 27, 2017, our Board of Directors authorized an increase in the size of the Program by an additional $250 million and an extension of the Program by an additional 18 months. On November 1, 2017, we announced that our Board of Directors had authorized an increase in the size of the Program by an additional $350 million and on July 17, 2018, our Board of Directors authorized an additional increase of $500 million in the size of the Program, resulting in total aggregate repurchases authorized under the Program of $1.6 billion. With the increase and giving effect to our $970.8 million of previous repurchases, we may repurchase up to $629.2 million in shares of our common stock at any time prior to February 1, 2019.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Since the beginning of the Program, 6,010,210 shares for an aggregate purchase price of $970.8 million have been repurchased. There were 1,896,106 shares totaling $380.7 million repurchased under the Program during the six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Accounting estimates necessarily require subjective determinations about future events and conditions. During the three months ended June 30, 2018, other than noted in footnote 1, "Summary of Significant Accounting Policies" and footnote 2, "Revenue Recognition", related to our adoption of new revenue recognition guidance in accordance with ASC 606,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2017. For critical accounting policies, refer to the Critical Accounting Estimates in Item 7 – Management’s Discussion and Analysis of Financial Condition and Results of Operations included in our Annual Report on Form 10-K for the year ended December 31, 2017 and our summary of significant accounting policies in Note 1 of our notes to the unaudited consolidated financial statements in this Form 10-Q.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Financial Measures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the non-GAAP financial measure to the most directly comparable financial measure calculated in accordance with GAAP, and discuss the reasons that we believe this information is useful to management and may be useful to investors.</w:t>
      </w:r>
    </w:p>
    <w:p>
      <w:pPr>
        <w:spacing w:after="0" w:line="28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defined the non-GAAP measure adjusted net income as net income as reflected in our statement of income, adjusted to eliminate (a) non-cash stock based compensation expense related to share based compensation awards, (b) amortization of deferred financing costs, discounts and intangible assets, amortization of the premium recognized on the purchase of receivables, and our proportionate share of amortization of intangible assets at our equity method investment, (c) other non-recurring items, including the impact of the Tax Reform Act, restructuring costs, and the unauthorized access impact.</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defined the non-GAAP measure adjusted net income per diluted share as the calculation previously noted divided by the weighted average diluted shares outstanding as reflected in our statement of income.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use adjusted net income to eliminate the effect of items that we do not consider indicative of our core operating performance. We believe it is useful to exclude non-cash stock based compensation expense from adjusted net income because non-cash equity grants made at a certain price and point in time do not necessarily reflect how our business is performing at any particular time and stock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We also believe one-time non-recurring gains, losses, and impairment charges do not necessarily reflect how our investment and business is performing. We believe that adjusted net income and adjusted net income per diluted share are appropriate supplemental measures of financial performance and may be useful to investors in understanding our operating performance on a consistent basis. Adjusted net income and adjusted net income per diluted share are not intended to be a substitute for GAAP financial measures and should not be used as such.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is a reconciliation of adjusted net income and adjusted net income per diluted share to the most directly comparable GAAP measure, net income and net income per diluted share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130,987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254,680</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21,150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44,243</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premium 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deferred financing costs and discounts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58,587</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117,158</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Unauthorized access impact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Total pre-tax adjustments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79,737</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156,441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161,401</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tax impact of pre-tax adjustments at the effective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rate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line="257" w:lineRule="exact"/>
              <w:rPr>
                <w:sz w:val="20"/>
                <w:szCs w:val="20"/>
                <w:color w:val="auto"/>
              </w:rPr>
            </w:pPr>
            <w:r>
              <w:rPr>
                <w:rFonts w:ascii="Arial" w:cs="Arial" w:eastAsia="Arial" w:hAnsi="Arial"/>
                <w:sz w:val="18"/>
                <w:szCs w:val="18"/>
                <w:color w:val="auto"/>
              </w:rPr>
              <w:t xml:space="preserve">(23,675)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line="257" w:lineRule="exact"/>
              <w:rPr>
                <w:sz w:val="20"/>
                <w:szCs w:val="20"/>
                <w:color w:val="auto"/>
              </w:rPr>
            </w:pPr>
            <w:r>
              <w:rPr>
                <w:rFonts w:ascii="Arial" w:cs="Arial" w:eastAsia="Arial" w:hAnsi="Arial"/>
                <w:sz w:val="18"/>
                <w:szCs w:val="18"/>
                <w:color w:val="auto"/>
              </w:rPr>
              <w:t xml:space="preserve">(44,055) </w:t>
            </w:r>
            <w:r>
              <w:rPr>
                <w:rFonts w:ascii="Arial" w:cs="Arial" w:eastAsia="Arial" w:hAnsi="Arial"/>
                <w:sz w:val="25"/>
                <w:szCs w:val="25"/>
                <w:color w:val="auto"/>
                <w:vertAlign w:val="superscript"/>
              </w:rPr>
              <w:t>1</w:t>
            </w: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Adjusted net income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237,796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187,049</w:t>
            </w:r>
          </w:p>
        </w:tc>
        <w:tc>
          <w:tcPr>
            <w:tcW w:w="2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471,303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372,026</w:t>
            </w:r>
          </w:p>
        </w:tc>
      </w:tr>
      <w:tr>
        <w:trPr>
          <w:trHeight w:val="67"/>
        </w:trPr>
        <w:tc>
          <w:tcPr>
            <w:tcW w:w="43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Adjusted net income per diluted share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3.94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Diluted shares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94,223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92,970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94,392</w:t>
            </w:r>
          </w:p>
        </w:tc>
      </w:tr>
    </w:tbl>
    <w:p>
      <w:pPr>
        <w:spacing w:after="0" w:line="179" w:lineRule="exact"/>
        <w:rPr>
          <w:sz w:val="20"/>
          <w:szCs w:val="20"/>
          <w:color w:val="auto"/>
        </w:rPr>
      </w:pPr>
    </w:p>
    <w:p>
      <w:pPr>
        <w:ind w:left="40" w:right="960"/>
        <w:spacing w:after="0" w:line="301"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Excludes the results of the Company's Masternaut investment on our effective tax rate, as results from our Masternaut investment are reported within the Consolidated Income Statements on a post-tax basis and no tax-over-book outside basis differences related to our investment reversed during 2017.</w:t>
      </w:r>
    </w:p>
    <w:p>
      <w:pPr>
        <w:spacing w:after="0" w:line="20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240" w:top="125" w:right="6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Macro Adjusted Revenue and Transactions by Product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define pro forma and macro adjusted revenue as revenue, net as reflected in our statement of income, adjusted to eliminate the impact of the macroeconomic environment and the impact of acquisitions, dispositions and the impact of adoption of ASC 606. The macroeconomic environment includes the impact that market fuel spread margins, fuel prices and foreign exchange rates have on our business. We use pro forma and macro adjusted revenue and transactions to evaluate the organic growth in our revenue and the associated transactions. Set forth below is a reconciliation of pro forma and macro adjusted revenue and transactions to the most directly comparable GAAP measure, revenue, net and transactions (in millions):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88"/>
              </w:rPr>
              <w:t>Revenues, net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ind w:left="1000"/>
              <w:spacing w:after="0"/>
              <w:rPr>
                <w:sz w:val="20"/>
                <w:szCs w:val="20"/>
                <w:color w:val="auto"/>
              </w:rPr>
            </w:pPr>
            <w:r>
              <w:rPr>
                <w:rFonts w:ascii="Arial" w:cs="Arial" w:eastAsia="Arial" w:hAnsi="Arial"/>
                <w:sz w:val="16"/>
                <w:szCs w:val="16"/>
                <w:b w:val="1"/>
                <w:bCs w:val="1"/>
                <w:color w:val="auto"/>
                <w:w w:val="92"/>
              </w:rPr>
              <w:t>Transactions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8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960" w:type="dxa"/>
            <w:vAlign w:val="bottom"/>
            <w:tcBorders>
              <w:bottom w:val="single" w:sz="8" w:color="CCEEFF"/>
            </w:tcBorders>
            <w:gridSpan w:val="9"/>
          </w:tcPr>
          <w:p>
            <w:pPr>
              <w:ind w:left="40"/>
              <w:spacing w:after="0"/>
              <w:rPr>
                <w:sz w:val="20"/>
                <w:szCs w:val="20"/>
                <w:color w:val="auto"/>
              </w:rPr>
            </w:pPr>
            <w:r>
              <w:rPr>
                <w:rFonts w:ascii="Arial" w:cs="Arial" w:eastAsia="Arial" w:hAnsi="Arial"/>
                <w:sz w:val="14"/>
                <w:szCs w:val="14"/>
                <w:b w:val="1"/>
                <w:bCs w:val="1"/>
                <w:color w:val="auto"/>
              </w:rPr>
              <w:t>(Unaudited)*</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960" w:type="dxa"/>
            <w:vAlign w:val="bottom"/>
            <w:tcBorders>
              <w:left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b w:val="1"/>
                <w:bCs w:val="1"/>
                <w:color w:val="auto"/>
              </w:rPr>
              <w:t>FUEL</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261.9</w:t>
            </w:r>
          </w:p>
        </w:tc>
        <w:tc>
          <w:tcPr>
            <w:tcW w:w="120" w:type="dxa"/>
            <w:vAlign w:val="bottom"/>
          </w:tcPr>
          <w:p>
            <w:pPr>
              <w:spacing w:after="0"/>
              <w:rPr>
                <w:sz w:val="20"/>
                <w:szCs w:val="20"/>
                <w:color w:val="auto"/>
              </w:rPr>
            </w:pPr>
          </w:p>
        </w:tc>
        <w:tc>
          <w:tcPr>
            <w:tcW w:w="560" w:type="dxa"/>
            <w:vAlign w:val="bottom"/>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249.4</w:t>
            </w:r>
          </w:p>
        </w:tc>
        <w:tc>
          <w:tcPr>
            <w:tcW w:w="1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adoption of ASC 606</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gridSpan w:val="9"/>
            <w:vMerge w:val="restart"/>
          </w:tcPr>
          <w:p>
            <w:pPr>
              <w:ind w:left="40"/>
              <w:spacing w:after="0"/>
              <w:rPr>
                <w:sz w:val="20"/>
                <w:szCs w:val="20"/>
                <w:color w:val="auto"/>
              </w:rPr>
            </w:pPr>
            <w:r>
              <w:rPr>
                <w:rFonts w:ascii="Arial" w:cs="Arial" w:eastAsia="Arial" w:hAnsi="Arial"/>
                <w:sz w:val="16"/>
                <w:szCs w:val="16"/>
                <w:b w:val="1"/>
                <w:bCs w:val="1"/>
                <w:color w:val="auto"/>
              </w:rPr>
              <w:t>CORPORATE PAYMENTS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gridSpan w:val="9"/>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adoption of ASC 606</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1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960" w:type="dxa"/>
            <w:vAlign w:val="bottom"/>
            <w:tcBorders>
              <w:left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b w:val="1"/>
                <w:bCs w:val="1"/>
                <w:color w:val="auto"/>
              </w:rPr>
              <w:t>TOLLS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Pr>
          <w:p>
            <w:pPr>
              <w:spacing w:after="0"/>
              <w:rPr>
                <w:sz w:val="20"/>
                <w:szCs w:val="20"/>
                <w:color w:val="auto"/>
              </w:rPr>
            </w:pPr>
          </w:p>
        </w:tc>
        <w:tc>
          <w:tcPr>
            <w:tcW w:w="560" w:type="dxa"/>
            <w:vAlign w:val="bottom"/>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adoption of ASC 606</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gridSpan w:val="9"/>
            <w:vMerge w:val="restart"/>
          </w:tcPr>
          <w:p>
            <w:pPr>
              <w:ind w:left="40"/>
              <w:spacing w:after="0"/>
              <w:rPr>
                <w:sz w:val="20"/>
                <w:szCs w:val="20"/>
                <w:color w:val="auto"/>
              </w:rPr>
            </w:pPr>
            <w:r>
              <w:rPr>
                <w:rFonts w:ascii="Arial" w:cs="Arial" w:eastAsia="Arial" w:hAnsi="Arial"/>
                <w:sz w:val="16"/>
                <w:szCs w:val="16"/>
                <w:b w:val="1"/>
                <w:bCs w:val="1"/>
                <w:color w:val="auto"/>
              </w:rPr>
              <w:t>LODGING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gridSpan w:val="9"/>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adoption of ASC 606</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1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960" w:type="dxa"/>
            <w:vAlign w:val="bottom"/>
            <w:tcBorders>
              <w:left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b w:val="1"/>
                <w:bCs w:val="1"/>
                <w:color w:val="auto"/>
              </w:rPr>
              <w:t>GIFT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560" w:type="dxa"/>
            <w:vAlign w:val="bottom"/>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adoption of ASC 606</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gridSpan w:val="9"/>
            <w:vMerge w:val="restart"/>
          </w:tcPr>
          <w:p>
            <w:pPr>
              <w:ind w:left="40"/>
              <w:spacing w:after="0" w:line="22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gridSpan w:val="9"/>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adoption of ASC 606</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1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CCEEFF"/>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920" w:type="dxa"/>
            <w:vAlign w:val="bottom"/>
            <w:gridSpan w:val="8"/>
          </w:tcPr>
          <w:p>
            <w:pPr>
              <w:spacing w:after="0"/>
              <w:rPr>
                <w:sz w:val="20"/>
                <w:szCs w:val="20"/>
                <w:color w:val="auto"/>
              </w:rPr>
            </w:pPr>
            <w:r>
              <w:rPr>
                <w:rFonts w:ascii="Arial" w:cs="Arial" w:eastAsia="Arial" w:hAnsi="Arial"/>
                <w:sz w:val="16"/>
                <w:szCs w:val="16"/>
                <w:b w:val="1"/>
                <w:bCs w:val="1"/>
                <w:color w:val="auto"/>
              </w:rPr>
              <w:t>FLEETCOR CONSOLIDATED REVENUES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Pro forma and macro adjusted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697.3</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920" w:type="dxa"/>
            <w:vAlign w:val="bottom"/>
            <w:gridSpan w:val="8"/>
          </w:tcPr>
          <w:p>
            <w:pPr>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Impact of fuel prices/spread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920" w:type="dxa"/>
            <w:vAlign w:val="bottom"/>
            <w:gridSpan w:val="8"/>
          </w:tcPr>
          <w:p>
            <w:pPr>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Impact of adoption of ASC 606</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6"/>
                <w:szCs w:val="16"/>
                <w:color w:val="auto"/>
              </w:rPr>
              <w:t>As reported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585.0</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541.2</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691.1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695.3</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left w:val="single" w:sz="8" w:color="auto"/>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1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Columns may not calculate due to rounding.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Other includes telematics, maintenance, and transportation related businesses.</w:t>
      </w:r>
    </w:p>
    <w:p>
      <w:pPr>
        <w:sectPr>
          <w:pgSz w:w="11900" w:h="16838" w:orient="portrait"/>
          <w:cols w:equalWidth="0" w:num="1">
            <w:col w:w="10219"/>
          </w:cols>
          <w:pgMar w:left="240" w:top="125" w:right="1440" w:bottom="0" w:gutter="0" w:footer="0" w:header="0"/>
        </w:sect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219"/>
          </w:cols>
          <w:pgMar w:left="240" w:top="125" w:right="1440" w:bottom="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report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18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such as delays or failures associated with implementation; fuel price and spread volatility; changes in credit risk of customers and associated losses; the actions of regulators relating to payment cards or investigations; failure to maintain or renew key business relationships; failure to maintain competitive offerings; failure to maintain or renew sources of financing; failure to complete, or delays in completing, anticipated new partnership arrangements or acquisitions and the failure to successfully integrate or otherwise achieve anticipated benefits from such partnerships or acquired businesses; failure to successfully expand business internationally; other risks related to our international operations, including the potential impact to our business as a result of the United Kingdom's referendum to leave the European Union; the impact of foreign exchange rates on operations, revenue and income; the effects of general economic and political conditions on fueling patterns and the commercial activity of fleets; risks related to litigation; risks related to unauthorized access to systems and information; as well as the other risks and uncertainties identified under the caption “Risk Factors” in our Annual Report on Form 10-K for the year ended December 31, 2017 filed with the Securities and Exchange Commission on March 1, 2018 and in our Quarterly Reports on Form 10-Q for the three months ended March 31, 2018 filed with the Securities and Exchange Commission on May 10, 2018 and this Quarterly Report. These factors could cause our actual results and experience to differ materially from any forward-looking statement. 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June 30, 2018, there have been no material changes to our market risk from that disclosed in our Annual Report on Form 10-K for the year ended December 31, 2017.</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June 30, 2018,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which included the recently announced unauthorized system access, our Chief Executive Officer and Chief Financial Officer concluded that, as of June 30, 2018,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added internal controls in support of the accounting, reporting and disclosure requirements of the new revenue accounting standard, Topic 606, which became effective for us as of January 1, 2018. In August 2017, we completed the acquisition of Cambridge Global Payments. In accordance with our integration efforts, we plan to incorporate Cambridge Global Payments operations into our internal control over financial reporting program within the time period provided by the applicable SEC rules and regulations. We have also enhanced information technology internal controls in consideration of the recently announced unauthorized system access.</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than as discussed above, there were no changes in our internal control over financial reporting during the quarter ended June 30, 2018, that have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we are subject to various pending and potential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The defendants dispute the allegations in the complaint and intend to vigorously defend against the claims.</w:t>
      </w:r>
    </w:p>
    <w:p>
      <w:pPr>
        <w:spacing w:after="0" w:line="16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Unauthorized Access into a Portion of the Company’s Systems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April 26, 2018, Company personnel identified suspicious activity primarily on systems involving the Company’s Stored Value Solutions gift card business. The Company took prompt action to stop the activity and limit the improper use of accessed private label gift card information (these gift cards do not contain personally identifiable information such as consumer names, Social Security numbers, driver’s license numbers and other sensitive personal data). The Company through counsel retained three information technology forensic firms to assist in the investigation and the remediation and further enhancement of our systems to prevent future unauthorized access. The Company also contacted federal law enforcement and merchants known to be affected. The investigation has now been concluded and, based on the findings of the investigation, the unauthorized access was limited to what was reported in the Company’s quarterly report on Form 10-Q filed May 10, 2018 and we do not expect the unauthorized access to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1A, “Risk Factors” in our Annual Report on Form 10-K for the year ended December 31, 2017 filed with the Securities and Exchange Commission on March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2018, which could materially affect our business, financial condition or future results. Other than as set forth below and in our Quarterly Report on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10-Q for the three months ended March 31, 2018 filed with</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Securities and Exchange Commission on May 10, 2018, there have been no material changes from the risk factors previously disclosed in the Company’s Annual Report on Form 10-K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During the second quarter of 2018, we discovered unauthorized access to certain Company systems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26, 2018, Company personnel identified suspicious activity primarily on systems involving the Company’s Stored Value Solutions gift card business. The Company took prompt action to stop the activity and limit the improper use of accessed private label gift card information (these gift cards do not contain personally identifiable information such as consumer names, Social Security numbers, driver’s license numbers and other sensitive personal data). The Company through counsel retained three information technology forensic firms to assist in the investigation and the remediation and further enhancement of our systems to prevent future unauthorized access. The Company also contacted federal law enforcement and merchants known to be affected. The investigation has now been concluded and, based on the findings of the investigation, the unauthorized access was limited to what was reported in the Company’s quarterly report on Form 10-Q filed May 10, 2018 and we do not expect the unauthorized access to have a material impact on the Company’s results of operations. While we have made enhancements to our systems to prevent future unauthorized access, we cannot assure you that future incidents will not occur.</w:t>
      </w:r>
    </w:p>
    <w:p>
      <w:pPr>
        <w:spacing w:after="0" w:line="35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4, 2016, our Board of Directors approved a stock repurchase program (the "Program") under which the Company may purchase up to an aggregate of $500 million of its common stock over the following 18 month period. On July 27, 2017, our Board of Directors authorized an increase in the size of the Program by an additional $250 million and an extension of the Program by an additional 18 months. On November 1, 2017, our Board of Directors authorized an increase in the size of the Program by an additional $350 million, and on July 17, 2018, our Board of Directors authorized an additional increase of $500 million in the size of the Program resulting in total aggregate repurchases authorized under the Program of $1.6 billion. Since the beginning of the Program, 6,010,210 shares for an aggregate purchase price of $970.8 million have been repurchased.</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information with respect to purchases of common stock of the Company made during the three months ended June 30, 2018 by the Company as defined in Rule 10b-18(a)(3) under the Exchange Act:</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Value that May</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Total Number of Shares</w:t>
            </w:r>
          </w:p>
        </w:tc>
        <w:tc>
          <w:tcPr>
            <w:tcW w:w="150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the</w:t>
            </w:r>
          </w:p>
        </w:tc>
        <w:tc>
          <w:tcPr>
            <w:tcW w:w="1880" w:type="dxa"/>
            <w:vAlign w:val="bottom"/>
            <w:gridSpan w:val="2"/>
          </w:tcPr>
          <w:p>
            <w:pPr>
              <w:jc w:val="center"/>
              <w:ind w:left="1"/>
              <w:spacing w:after="0" w:line="149" w:lineRule="exact"/>
              <w:rPr>
                <w:sz w:val="20"/>
                <w:szCs w:val="20"/>
                <w:color w:val="auto"/>
              </w:rPr>
            </w:pPr>
            <w:r>
              <w:rPr>
                <w:rFonts w:ascii="Arial" w:cs="Arial" w:eastAsia="Arial" w:hAnsi="Arial"/>
                <w:sz w:val="14"/>
                <w:szCs w:val="14"/>
                <w:b w:val="1"/>
                <w:bCs w:val="1"/>
                <w:color w:val="auto"/>
                <w:w w:val="92"/>
              </w:rPr>
              <w:t>Yet be Purchased Under the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Period</w:t>
            </w:r>
          </w:p>
        </w:tc>
        <w:tc>
          <w:tcPr>
            <w:tcW w:w="220" w:type="dxa"/>
            <w:vAlign w:val="bottom"/>
            <w:vMerge w:val="restart"/>
          </w:tcPr>
          <w:p>
            <w:pPr>
              <w:spacing w:after="0"/>
              <w:rPr>
                <w:sz w:val="12"/>
                <w:szCs w:val="12"/>
                <w:color w:val="auto"/>
              </w:rPr>
            </w:pPr>
          </w:p>
        </w:tc>
        <w:tc>
          <w:tcPr>
            <w:tcW w:w="174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880" w:type="dxa"/>
            <w:vAlign w:val="bottom"/>
            <w:gridSpan w:val="2"/>
          </w:tcPr>
          <w:p>
            <w:pPr>
              <w:jc w:val="center"/>
              <w:ind w:left="1"/>
              <w:spacing w:after="0" w:line="149" w:lineRule="exact"/>
              <w:rPr>
                <w:sz w:val="20"/>
                <w:szCs w:val="20"/>
                <w:color w:val="auto"/>
              </w:rPr>
            </w:pPr>
            <w:r>
              <w:rPr>
                <w:rFonts w:ascii="Arial" w:cs="Arial" w:eastAsia="Arial" w:hAnsi="Arial"/>
                <w:sz w:val="14"/>
                <w:szCs w:val="14"/>
                <w:b w:val="1"/>
                <w:bCs w:val="1"/>
                <w:color w:val="auto"/>
                <w:w w:val="93"/>
              </w:rPr>
              <w:t>Publicly Announced Plan (in</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Purchased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Per 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2018 through May 31, 2018</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663,115</w:t>
            </w:r>
          </w:p>
        </w:tc>
        <w:tc>
          <w:tcPr>
            <w:tcW w:w="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200.93</w:t>
            </w:r>
          </w:p>
        </w:tc>
        <w:tc>
          <w:tcPr>
            <w:tcW w:w="17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5,219,844</w:t>
            </w:r>
          </w:p>
        </w:tc>
        <w:tc>
          <w:tcPr>
            <w:tcW w:w="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288,400</w:t>
            </w:r>
          </w:p>
        </w:tc>
        <w:tc>
          <w:tcPr>
            <w:tcW w:w="0" w:type="dxa"/>
            <w:vAlign w:val="bottom"/>
          </w:tcPr>
          <w:p>
            <w:pPr>
              <w:spacing w:after="0"/>
              <w:rPr>
                <w:sz w:val="1"/>
                <w:szCs w:val="1"/>
                <w:color w:val="auto"/>
              </w:rPr>
            </w:pP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June 1, 2018 through June 30, 2018</w:t>
            </w:r>
          </w:p>
        </w:tc>
        <w:tc>
          <w:tcPr>
            <w:tcW w:w="1740" w:type="dxa"/>
            <w:vAlign w:val="bottom"/>
          </w:tcPr>
          <w:p>
            <w:pPr>
              <w:jc w:val="right"/>
              <w:ind w:right="39"/>
              <w:spacing w:after="0"/>
              <w:rPr>
                <w:sz w:val="20"/>
                <w:szCs w:val="20"/>
                <w:color w:val="auto"/>
              </w:rPr>
            </w:pPr>
            <w:r>
              <w:rPr>
                <w:rFonts w:ascii="Arial" w:cs="Arial" w:eastAsia="Arial" w:hAnsi="Arial"/>
                <w:sz w:val="18"/>
                <w:szCs w:val="18"/>
                <w:color w:val="auto"/>
              </w:rPr>
              <w:t>790,366</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201.33</w:t>
            </w:r>
          </w:p>
        </w:tc>
        <w:tc>
          <w:tcPr>
            <w:tcW w:w="1700" w:type="dxa"/>
            <w:vAlign w:val="bottom"/>
          </w:tcPr>
          <w:p>
            <w:pPr>
              <w:jc w:val="right"/>
              <w:ind w:right="82"/>
              <w:spacing w:after="0"/>
              <w:rPr>
                <w:sz w:val="20"/>
                <w:szCs w:val="20"/>
                <w:color w:val="auto"/>
              </w:rPr>
            </w:pPr>
            <w:r>
              <w:rPr>
                <w:rFonts w:ascii="Arial" w:cs="Arial" w:eastAsia="Arial" w:hAnsi="Arial"/>
                <w:sz w:val="18"/>
                <w:szCs w:val="18"/>
                <w:color w:val="auto"/>
              </w:rPr>
              <w:t>6,010,210</w:t>
            </w:r>
          </w:p>
        </w:tc>
        <w:tc>
          <w:tcPr>
            <w:tcW w:w="400" w:type="dxa"/>
            <w:vAlign w:val="bottom"/>
          </w:tcPr>
          <w:p>
            <w:pPr>
              <w:jc w:val="right"/>
              <w:ind w:right="14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129,279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u w:val="single" w:color="auto"/>
          <w:color w:val="auto"/>
        </w:rPr>
        <w:t>No.</w:t>
      </w:r>
    </w:p>
    <w:p>
      <w:pPr>
        <w:spacing w:after="0" w:line="1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20" w:type="dxa"/>
            <w:vAlign w:val="bottom"/>
            <w:gridSpan w:val="3"/>
          </w:tcPr>
          <w:p>
            <w:pPr>
              <w:jc w:val="center"/>
              <w:ind w:right="20"/>
              <w:spacing w:after="0"/>
              <w:rPr>
                <w:rFonts w:ascii="Arial" w:cs="Arial" w:eastAsia="Arial" w:hAnsi="Arial"/>
                <w:sz w:val="18"/>
                <w:szCs w:val="18"/>
                <w:color w:val="0000FF"/>
                <w:w w:val="87"/>
              </w:rPr>
            </w:pPr>
            <w:hyperlink r:id="rId15">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4"/>
              </w:rPr>
              <w:t>Acquisition agreement to acquire Serviços e Tecnologia de Pagamentos S.A. (incorporated by reference to Exhibit 2.1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w w:val="95"/>
              </w:rPr>
              <w:t>Registrant's Form 8-K, File No. 001-35004, filed with the Securities and Exchange Commission ("SEC") on March 18, 2016)</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1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Amended and Restated Certificate of Incorporation of FleetCor Technologies, Inc. (incorporated by reference to Exhibit 3.1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Registrant’s Annual Report on Form 10-K, File No. 001-35004, filed with the SEC on March 25, 2011)</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1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2"/>
              </w:rPr>
              <w:t>Certificate of Amendment to the Amended and Restated Certificate of Incorporation of FleetCor Technologies, Inc. (incorporated</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w w:val="95"/>
              </w:rPr>
              <w:t>by reference to Exhibit 3.1 to the Registrant's Current Report on Form 8-K, File No. 001-35004, file with the SEC on June 8,</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2018)</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1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6"/>
              </w:rPr>
              <w:t>Amended and Restated Bylaws of FleetCor Technologies, Inc. (incorporated by reference to Exhibit 3.1 to the Registrant’s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Annual Report on Form 8-K, File No. 001-35004, filed with the SEC on January 29, 2018)</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1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4"/>
              </w:rPr>
              <w:t>Form of Stock Certificate for Common Stock (incorporated by reference to Exhibit 4.1 to Amendment No. 3 to the Registrant’s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Registration Statement on Form S-1, File No. 333-166092, filed with the SEC on June 29, 2010)</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8"/>
              </w:rPr>
              <w:t>Certification of Chief Executive Officer pursuant to Rule 13a-14(a) and rule 15d-14(a) of the Securities Exchange Act, as</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amended</w:t>
            </w:r>
          </w:p>
        </w:tc>
      </w:tr>
      <w:tr>
        <w:trPr>
          <w:trHeight w:val="230"/>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Certification of Chief Financial Officer pursuant to Rule 13a-14(a) and rule 15d-14(a) of the Securities Exchange Act, as amended</w:t>
            </w:r>
          </w:p>
        </w:tc>
      </w:tr>
      <w:tr>
        <w:trPr>
          <w:trHeight w:val="372"/>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3"/>
              </w:rPr>
              <w:t>Certification of Chief Executive Officer pursuant to 18 U.S.C. 1350, as adopted pursuant to Section 906 of the Sarbanes-Oxley</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Act of 2001</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of 2001</w:t>
            </w:r>
          </w:p>
        </w:tc>
      </w:tr>
    </w:tbl>
    <w:p>
      <w:pPr>
        <w:spacing w:after="0" w:line="161" w:lineRule="exact"/>
        <w:rPr>
          <w:sz w:val="20"/>
          <w:szCs w:val="20"/>
          <w:color w:val="auto"/>
        </w:rPr>
      </w:pPr>
    </w:p>
    <w:p>
      <w:pPr>
        <w:ind w:left="2000" w:right="80" w:hanging="1222"/>
        <w:spacing w:after="0" w:line="259" w:lineRule="auto"/>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their capacities indicated on August 9, 2018.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FleetCor Technologies, Inc.</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42"/>
        </w:trPr>
        <w:tc>
          <w:tcPr>
            <w:tcW w:w="5040" w:type="dxa"/>
            <w:vAlign w:val="bottom"/>
          </w:tcPr>
          <w:p>
            <w:pPr>
              <w:ind w:left="2220"/>
              <w:spacing w:after="0"/>
              <w:rPr>
                <w:sz w:val="20"/>
                <w:szCs w:val="20"/>
                <w:color w:val="auto"/>
              </w:rPr>
            </w:pPr>
            <w:r>
              <w:rPr>
                <w:rFonts w:ascii="Arial" w:cs="Arial" w:eastAsia="Arial" w:hAnsi="Arial"/>
                <w:sz w:val="14"/>
                <w:szCs w:val="14"/>
                <w:b w:val="1"/>
                <w:bCs w:val="1"/>
                <w:color w:val="auto"/>
              </w:rPr>
              <w:t>Signature</w:t>
            </w:r>
          </w:p>
        </w:tc>
        <w:tc>
          <w:tcPr>
            <w:tcW w:w="920" w:type="dxa"/>
            <w:vAlign w:val="bottom"/>
          </w:tcPr>
          <w:p>
            <w:pPr>
              <w:spacing w:after="0"/>
              <w:rPr>
                <w:sz w:val="24"/>
                <w:szCs w:val="24"/>
                <w:color w:val="auto"/>
              </w:rPr>
            </w:pPr>
          </w:p>
        </w:tc>
        <w:tc>
          <w:tcPr>
            <w:tcW w:w="5460" w:type="dxa"/>
            <w:vAlign w:val="bottom"/>
          </w:tcPr>
          <w:p>
            <w:pPr>
              <w:ind w:left="26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80"/>
        </w:trPr>
        <w:tc>
          <w:tcPr>
            <w:tcW w:w="50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6"/>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/s/ Ronald F. Clarke</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82"/>
        </w:trPr>
        <w:tc>
          <w:tcPr>
            <w:tcW w:w="50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Directors (Duly Authorized Officer and Principal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920" w:type="dxa"/>
            <w:vAlign w:val="bottom"/>
            <w:vMerge w:val="restart"/>
          </w:tcPr>
          <w:p>
            <w:pPr>
              <w:spacing w:after="0"/>
              <w:rPr>
                <w:sz w:val="2"/>
                <w:szCs w:val="2"/>
                <w:color w:val="auto"/>
              </w:rPr>
            </w:pPr>
          </w:p>
        </w:tc>
        <w:tc>
          <w:tcPr>
            <w:tcW w:w="5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Ronald F. Clarke</w:t>
            </w:r>
          </w:p>
        </w:tc>
        <w:tc>
          <w:tcPr>
            <w:tcW w:w="920" w:type="dxa"/>
            <w:vAlign w:val="bottom"/>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5040" w:type="dxa"/>
            <w:vAlign w:val="bottom"/>
          </w:tcPr>
          <w:p>
            <w:pPr>
              <w:ind w:left="40"/>
              <w:spacing w:after="0"/>
              <w:rPr>
                <w:sz w:val="20"/>
                <w:szCs w:val="20"/>
                <w:color w:val="auto"/>
              </w:rPr>
            </w:pPr>
            <w:r>
              <w:rPr>
                <w:rFonts w:ascii="Arial" w:cs="Arial" w:eastAsia="Arial" w:hAnsi="Arial"/>
                <w:sz w:val="18"/>
                <w:szCs w:val="18"/>
                <w:color w:val="auto"/>
              </w:rPr>
              <w:t>/s/ Eric R. Dey</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0" w:type="dxa"/>
            <w:vAlign w:val="bottom"/>
          </w:tcPr>
          <w:p>
            <w:pPr>
              <w:spacing w:after="0"/>
              <w:rPr>
                <w:sz w:val="1"/>
                <w:szCs w:val="1"/>
                <w:color w:val="auto"/>
              </w:rPr>
            </w:pPr>
          </w:p>
        </w:tc>
      </w:tr>
      <w:tr>
        <w:trPr>
          <w:trHeight w:val="41"/>
        </w:trPr>
        <w:tc>
          <w:tcPr>
            <w:tcW w:w="5040" w:type="dxa"/>
            <w:vAlign w:val="bottom"/>
            <w:tcBorders>
              <w:bottom w:val="single" w:sz="8" w:color="auto"/>
            </w:tcBorders>
          </w:tcPr>
          <w:p>
            <w:pPr>
              <w:spacing w:after="0"/>
              <w:rPr>
                <w:sz w:val="3"/>
                <w:szCs w:val="3"/>
                <w:color w:val="auto"/>
              </w:rPr>
            </w:pPr>
          </w:p>
        </w:tc>
        <w:tc>
          <w:tcPr>
            <w:tcW w:w="920" w:type="dxa"/>
            <w:vAlign w:val="bottom"/>
            <w:vMerge w:val="restart"/>
          </w:tcPr>
          <w:p>
            <w:pPr>
              <w:spacing w:after="0"/>
              <w:rPr>
                <w:sz w:val="3"/>
                <w:szCs w:val="3"/>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16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Eric R. Dey</w:t>
            </w:r>
          </w:p>
        </w:tc>
        <w:tc>
          <w:tcPr>
            <w:tcW w:w="920" w:type="dxa"/>
            <w:vAlign w:val="bottom"/>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0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2"/>
        </w:trPr>
        <w:tc>
          <w:tcPr>
            <w:tcW w:w="504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9, 2018</w:t>
      </w:r>
    </w:p>
    <w:p>
      <w:pPr>
        <w:sectPr>
          <w:pgSz w:w="11900" w:h="16838" w:orient="portrait"/>
          <w:cols w:equalWidth="0" w:num="1">
            <w:col w:w="11420"/>
          </w:cols>
          <w:pgMar w:left="240" w:top="58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R. Dey, certify that:</w:t>
      </w:r>
    </w:p>
    <w:p>
      <w:pPr>
        <w:spacing w:after="0" w:line="117"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9, 2018</w:t>
      </w:r>
    </w:p>
    <w:p>
      <w:pPr>
        <w:sectPr>
          <w:pgSz w:w="11900" w:h="16838" w:orient="portrait"/>
          <w:cols w:equalWidth="0" w:num="1">
            <w:col w:w="11420"/>
          </w:cols>
          <w:pgMar w:left="240" w:top="80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Quarterly Report of FleetCor Technologies, Inc., a Delaware corporation (the “Company”), on Form 10-Q for the period ended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June 30, 2018, as filed with the Securities and Exchange Commission (the “Report”), Ronald F. Clarke, Chief Executive Officer of the Company, does hereby certify, pursuant to § 906 of the Sarbanes-Oxley Act of 2002 (18 U.S.C. § 1350), that to his knowledge:</w:t>
      </w:r>
    </w:p>
    <w:p>
      <w:pPr>
        <w:spacing w:after="0" w:line="76"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9, 2018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connection with the Quarterly Report of FleetCor Technologies, Inc., a Delaware corporation (the “Company”), on Form 10-Q for the period ended June 30, 2018, as filed with the Securities and Exchange Commission (the “Report”), Eric R. Dey, Chief Financial Officer of the Company, does hereby certify, pursuant to § 906 of the Sarbanes-Oxley Act of 2002 (18 U.S.C. § 1350), that to his knowledge:</w:t>
      </w:r>
    </w:p>
    <w:p>
      <w:pPr>
        <w:spacing w:after="0" w:line="73"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9, 2018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bullet"/>
      <w:start w:val="1"/>
    </w:lvl>
  </w:abstractNum>
  <w:abstractNum w:abstractNumId="3">
    <w:nsid w:val="B03E0C6"/>
    <w:multiLevelType w:val="hybridMultilevel"/>
    <w:lvl w:ilvl="0">
      <w:lvlJc w:val="left"/>
      <w:lvlText w:val="1"/>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bullet"/>
      <w:start w:val="1"/>
    </w:lvl>
  </w:abstractNum>
  <w:abstractNum w:abstractNumId="11">
    <w:nsid w:val="8138641"/>
    <w:multiLevelType w:val="hybridMultilevel"/>
    <w:lvl w:ilvl="0">
      <w:lvlJc w:val="left"/>
      <w:lvlText w:val="1"/>
      <w:numFmt w:val="bullet"/>
      <w:start w:val="1"/>
    </w:lvl>
  </w:abstractNum>
  <w:abstractNum w:abstractNumId="12">
    <w:nsid w:val="1E7FF521"/>
    <w:multiLevelType w:val="hybridMultilevel"/>
    <w:lvl w:ilvl="0">
      <w:lvlJc w:val="left"/>
      <w:lvlText w:val="2"/>
      <w:numFmt w:val="bullet"/>
      <w:start w:val="1"/>
    </w:lvl>
  </w:abstractNum>
  <w:abstractNum w:abstractNumId="13">
    <w:nsid w:val="7C3DBD3D"/>
    <w:multiLevelType w:val="hybridMultilevel"/>
    <w:lvl w:ilvl="0">
      <w:lvlJc w:val="left"/>
      <w:lvlText w:val="4"/>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bullet"/>
      <w:start w:val="1"/>
    </w:lvl>
  </w:abstractNum>
  <w:abstractNum w:abstractNumId="24">
    <w:nsid w:val="3804823E"/>
    <w:multiLevelType w:val="hybridMultilevel"/>
    <w:lvl w:ilvl="0">
      <w:lvlJc w:val="left"/>
      <w:lvlText w:val="2"/>
      <w:numFmt w:val="bullet"/>
      <w:start w:val="1"/>
    </w:lvl>
  </w:abstractNum>
  <w:abstractNum w:abstractNumId="25">
    <w:nsid w:val="77465F01"/>
    <w:multiLevelType w:val="hybridMultilevel"/>
    <w:lvl w:ilvl="0">
      <w:lvlJc w:val="left"/>
      <w:lvlText w:val="3"/>
      <w:numFmt w:val="bullet"/>
      <w:start w:val="1"/>
    </w:lvl>
  </w:abstractNum>
  <w:abstractNum w:abstractNumId="26">
    <w:nsid w:val="7724C67E"/>
    <w:multiLevelType w:val="hybridMultilevel"/>
    <w:lvl w:ilvl="0">
      <w:lvlJc w:val="left"/>
      <w:lvlText w:val="4"/>
      <w:numFmt w:val="bullet"/>
      <w:start w:val="1"/>
    </w:lvl>
  </w:abstractNum>
  <w:abstractNum w:abstractNumId="27">
    <w:nsid w:val="5C482A97"/>
    <w:multiLevelType w:val="hybridMultilevel"/>
    <w:lvl w:ilvl="0">
      <w:lvlJc w:val="left"/>
      <w:lvlText w:val="5"/>
      <w:numFmt w:val="bullet"/>
      <w:start w:val="1"/>
    </w:lvl>
  </w:abstractNum>
  <w:abstractNum w:abstractNumId="28">
    <w:nsid w:val="2463B9EA"/>
    <w:multiLevelType w:val="hybridMultilevel"/>
    <w:lvl w:ilvl="0">
      <w:lvlJc w:val="left"/>
      <w:lvlText w:val="1"/>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bullet"/>
      <w:start w:val="1"/>
    </w:lvl>
  </w:abstractNum>
  <w:abstractNum w:abstractNumId="33">
    <w:nsid w:val="153EA438"/>
    <w:multiLevelType w:val="hybridMultilevel"/>
    <w:lvl w:ilvl="0">
      <w:lvlJc w:val="left"/>
      <w:lvlText w:val="2"/>
      <w:numFmt w:val="bullet"/>
      <w:start w:val="1"/>
    </w:lvl>
  </w:abstractNum>
  <w:abstractNum w:abstractNumId="34">
    <w:nsid w:val="3855585C"/>
    <w:multiLevelType w:val="hybridMultilevel"/>
    <w:lvl w:ilvl="0">
      <w:lvlJc w:val="left"/>
      <w:lvlText w:val="3"/>
      <w:numFmt w:val="bullet"/>
      <w:start w:val="1"/>
    </w:lvl>
  </w:abstractNum>
  <w:abstractNum w:abstractNumId="35">
    <w:nsid w:val="70A64E2A"/>
    <w:multiLevelType w:val="hybridMultilevel"/>
    <w:lvl w:ilvl="0">
      <w:lvlJc w:val="left"/>
      <w:lvlText w:val="4"/>
      <w:numFmt w:val="bullet"/>
      <w:start w:val="1"/>
    </w:lvl>
  </w:abstractNum>
  <w:abstractNum w:abstractNumId="36">
    <w:nsid w:val="6A2342EC"/>
    <w:multiLevelType w:val="hybridMultilevel"/>
    <w:lvl w:ilvl="0">
      <w:lvlJc w:val="left"/>
      <w:lvlText w:val="5"/>
      <w:numFmt w:val="bullet"/>
      <w:start w:val="1"/>
    </w:lvl>
  </w:abstractNum>
  <w:abstractNum w:abstractNumId="37">
    <w:nsid w:val="2A487CB0"/>
    <w:multiLevelType w:val="hybridMultilevel"/>
    <w:lvl w:ilvl="0">
      <w:lvlJc w:val="left"/>
      <w:lvlText w:val="%1"/>
      <w:numFmt w:val="decimal"/>
      <w:start w:val="10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5"/>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5" Type="http://schemas.openxmlformats.org/officeDocument/2006/relationships/hyperlink" Target="http://www.sec.gov/Archives/edgar/data/1175454/000119312516510408/d167782dex21.htm" TargetMode="External"/><Relationship Id="rId16" Type="http://schemas.openxmlformats.org/officeDocument/2006/relationships/hyperlink" Target="http://www.sec.gov/Archives/edgar/data/1175454/000119312511078175/dex31.htm" TargetMode="External"/><Relationship Id="rId17" Type="http://schemas.openxmlformats.org/officeDocument/2006/relationships/hyperlink" Target="http://www.sec.gov/Archives/edgar/data/1175454/000129993318000489/exhibit1.htm" TargetMode="External"/><Relationship Id="rId18" Type="http://schemas.openxmlformats.org/officeDocument/2006/relationships/hyperlink" Target="http://www.sec.gov/Archives/edgar/data/1175454/000129993318000095/exhibit1.htm" TargetMode="External"/><Relationship Id="rId19" Type="http://schemas.openxmlformats.org/officeDocument/2006/relationships/hyperlink" Target="http://www.sec.gov/Archives/edgar/data/1175454/00011931251014994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2019-12-28T20:13:42Z</dcterms:created>
  <dcterms:modified xsi:type="dcterms:W3CDTF">2019-12-28T20:13:42Z</dcterms:modified>
</cp:coreProperties>
</file>