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8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pPr>
      <w:r>
        <w:rPr>
          <w:rFonts w:ascii="Times New Roman;sans-serif" w:hAnsi="Times New Roman;sans-serif"/>
          <w:b/>
          <w:color w:val="000000"/>
          <w:sz w:val="24"/>
        </w:rPr>
        <w:t>Washington, D.C. 20549</w:t>
      </w:r>
      <w:r>
        <w:rPr>
          <w:color w:val="000000"/>
        </w:rPr>
        <w:t>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__________________________________________________________</w:t>
      </w:r>
    </w:p>
    <w:p>
      <w:pPr>
        <w:pStyle w:val="TextBody"/>
        <w:bidi w:val="0"/>
        <w:spacing w:lineRule="auto" w:line="288" w:before="120" w:after="283"/>
        <w:jc w:val="center"/>
        <w:rPr/>
      </w:pPr>
      <w:r>
        <w:rPr>
          <w:rFonts w:ascii="Times New Roman;sans-serif" w:hAnsi="Times New Roman;sans-serif"/>
          <w:b/>
          <w:color w:val="000000"/>
          <w:sz w:val="36"/>
        </w:rPr>
        <w:t>FORM 10-K</w:t>
      </w:r>
      <w:r>
        <w:rPr>
          <w:color w:val="000000"/>
        </w:rPr>
        <w:t>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__________________________________________________________</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ANNUAL REPORT PURSUANT TO SECTION 13 OR 15(d) OF THE SECURITIES EXCHANGE ACT OF 1934</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88" w:before="120" w:after="283"/>
        <w:jc w:val="center"/>
        <w:rPr/>
      </w:pPr>
      <w:r>
        <w:rPr>
          <w:rFonts w:ascii="Times New Roman;sans-serif" w:hAnsi="Times New Roman;sans-serif"/>
          <w:b/>
          <w:color w:val="000000"/>
          <w:sz w:val="20"/>
        </w:rPr>
        <w:t>OR</w:t>
      </w: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12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001-35004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__________________________________________________________</w:t>
      </w:r>
    </w:p>
    <w:p>
      <w:pPr>
        <w:pStyle w:val="TextBody"/>
        <w:bidi w:val="0"/>
        <w:spacing w:lineRule="auto" w:line="288" w:before="120" w:after="283"/>
        <w:jc w:val="center"/>
        <w:rPr/>
      </w:pPr>
      <w:r>
        <w:rPr>
          <w:rFonts w:ascii="Times New Roman;sans-serif" w:hAnsi="Times New Roman;sans-serif"/>
          <w:b/>
          <w:color w:val="000000"/>
          <w:sz w:val="48"/>
        </w:rPr>
        <w:t>FLEETCOR Technologies, Inc.</w:t>
      </w:r>
      <w:r>
        <w:rPr>
          <w:color w:val="000000"/>
        </w:rPr>
        <w:t xml:space="preserve">  </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20"/>
        </w:rPr>
        <w:t>__________________________________________________________</w:t>
      </w:r>
    </w:p>
    <w:tbl>
      <w:tblPr>
        <w:tblW w:w="6643" w:type="dxa"/>
        <w:jc w:val="center"/>
        <w:tblInd w:w="0" w:type="dxa"/>
        <w:tblLayout w:type="fixed"/>
        <w:tblCellMar>
          <w:top w:w="28" w:type="dxa"/>
          <w:left w:w="28" w:type="dxa"/>
          <w:bottom w:w="28" w:type="dxa"/>
          <w:right w:w="28" w:type="dxa"/>
        </w:tblCellMar>
      </w:tblPr>
      <w:tblGrid>
        <w:gridCol w:w="1220"/>
        <w:gridCol w:w="1072"/>
        <w:gridCol w:w="1082"/>
        <w:gridCol w:w="259"/>
        <w:gridCol w:w="259"/>
        <w:gridCol w:w="261"/>
        <w:gridCol w:w="270"/>
        <w:gridCol w:w="270"/>
        <w:gridCol w:w="271"/>
        <w:gridCol w:w="490"/>
        <w:gridCol w:w="490"/>
        <w:gridCol w:w="699"/>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72-1074903</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w:t>
              <w:br/>
              <w:t>incorporation or organization)</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w:t>
              <w:br/>
              <w:t>Identification No.)</w:t>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3280 Peachtree Road, Suite 2400,</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Atlanta,</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Georgia</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30305</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(770) 449-0479 </w:t>
      </w:r>
    </w:p>
    <w:p>
      <w:pPr>
        <w:pStyle w:val="TextBody"/>
        <w:bidi w:val="0"/>
        <w:spacing w:before="0" w:after="0"/>
        <w:jc w:val="center"/>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FLT</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NYSE</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20"/>
        </w:rPr>
        <w:t>__________________________________________________________</w:t>
      </w:r>
    </w:p>
    <w:p>
      <w:pPr>
        <w:pStyle w:val="TextBody"/>
        <w:bidi w:val="0"/>
        <w:spacing w:lineRule="auto" w:line="288" w:before="120" w:after="283"/>
        <w:jc w:val="left"/>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Indicate by check mark if the registrant is not required to file reports pursuant to Section 13 or Section 15(d)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left"/>
        <w:rPr>
          <w:color w:val="000000"/>
        </w:rPr>
      </w:pPr>
      <w:r>
        <w:rPr>
          <w:color w:val="000000"/>
        </w:rPr>
        <w:t> </w:t>
      </w:r>
    </w:p>
    <w:tbl>
      <w:tblPr>
        <w:tblW w:w="9816"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383"/>
        <w:gridCol w:w="1383"/>
        <w:gridCol w:w="1388"/>
        <w:gridCol w:w="769"/>
        <w:gridCol w:w="769"/>
        <w:gridCol w:w="773"/>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(Do not check if a smaller reporting company)</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40" w:before="116"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16"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12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  </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registrant’s common stock held by non-affiliates of the registrant was approximately $18,017,911,567 as of June 30, 2023, the last business day of the registrant’s most recently completed second fiscal quarter, based on the closing sale price as reported on the New York Stock Exchange.</w:t>
      </w:r>
    </w:p>
    <w:p>
      <w:pPr>
        <w:pStyle w:val="TextBody"/>
        <w:bidi w:val="0"/>
        <w:spacing w:lineRule="auto" w:line="288" w:before="120" w:after="283"/>
        <w:jc w:val="left"/>
        <w:rPr/>
      </w:pPr>
      <w:r>
        <w:rPr>
          <w:rFonts w:ascii="Times New Roman;sans-serif" w:hAnsi="Times New Roman;sans-serif"/>
          <w:b w:val="false"/>
          <w:color w:val="000000"/>
          <w:sz w:val="20"/>
        </w:rPr>
        <w:t>As of</w:t>
      </w:r>
      <w:r>
        <w:rPr>
          <w:color w:val="000000"/>
          <w:shd w:fill="FFFFFF" w:val="clear"/>
        </w:rPr>
        <w:t xml:space="preserve"> </w:t>
      </w:r>
      <w:r>
        <w:rPr>
          <w:rFonts w:ascii="Times New Roman;sans-serif" w:hAnsi="Times New Roman;sans-serif"/>
          <w:b w:val="false"/>
          <w:color w:val="000000"/>
          <w:sz w:val="20"/>
          <w:shd w:fill="FFFFFF" w:val="clear"/>
        </w:rPr>
        <w:t>February 17, 2024, there were 71,853,599 shares</w:t>
      </w:r>
      <w:r>
        <w:rPr>
          <w:color w:val="000000"/>
        </w:rPr>
        <w:t xml:space="preserve"> </w:t>
      </w:r>
      <w:r>
        <w:rPr>
          <w:rFonts w:ascii="Times New Roman;sans-serif" w:hAnsi="Times New Roman;sans-serif"/>
          <w:b w:val="false"/>
          <w:color w:val="000000"/>
          <w:sz w:val="20"/>
        </w:rPr>
        <w:t>of common stock outstanding.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__________________________________________________________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120" w:after="283"/>
        <w:jc w:val="left"/>
        <w:rPr/>
      </w:pPr>
      <w:r>
        <w:rPr>
          <w:rFonts w:ascii="Times New Roman;sans-serif" w:hAnsi="Times New Roman;sans-serif"/>
          <w:b w:val="false"/>
          <w:color w:val="000000"/>
          <w:sz w:val="20"/>
        </w:rPr>
        <w:t xml:space="preserve">Portions of the registrant’s definitive Proxy Statement to be delivered to shareholders in connection with the Annual Meeting of Shareholders to be </w:t>
      </w:r>
      <w:r>
        <w:rPr>
          <w:rFonts w:ascii="Times New Roman;sans-serif" w:hAnsi="Times New Roman;sans-serif"/>
          <w:b w:val="false"/>
          <w:color w:val="000000"/>
          <w:sz w:val="20"/>
          <w:shd w:fill="FFFFFF" w:val="clear"/>
        </w:rPr>
        <w:t>held on June 6, 2024 are incorporated by reference into Part III of this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FLEETCOR TECHNOLOGIES, INC.</w:t>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Year Ended December 31, 2023 </w:t>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56"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92"/>
        <w:gridCol w:w="257"/>
        <w:gridCol w:w="262"/>
        <w:gridCol w:w="2920"/>
        <w:gridCol w:w="2905"/>
        <w:gridCol w:w="3056"/>
        <w:gridCol w:w="149"/>
        <w:gridCol w:w="149"/>
        <w:gridCol w:w="215"/>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13">
              <w:r>
                <w:rPr>
                  <w:rStyle w:val="InternetLink"/>
                  <w:rFonts w:ascii="Times New Roman;sans-serif" w:hAnsi="Times New Roman;sans-serif"/>
                  <w:b w:val="false"/>
                  <w:color w:val="0000FF"/>
                  <w:sz w:val="20"/>
                  <w:u w:val="single"/>
                </w:rPr>
                <w:t>Business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13">
              <w:r>
                <w:rPr>
                  <w:rStyle w:val="InternetLink"/>
                  <w:rFonts w:ascii="Times New Roman;sans-serif" w:hAnsi="Times New Roman;sans-serif"/>
                  <w:b w:val="false"/>
                  <w:strike w:val="false"/>
                  <w:dstrike w:val="false"/>
                  <w:color w:val="000000"/>
                  <w:sz w:val="20"/>
                  <w:u w:val="none"/>
                  <w:effect w:val="none"/>
                </w:rPr>
                <w:t>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X.</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16">
              <w:r>
                <w:rPr>
                  <w:rStyle w:val="InternetLink"/>
                  <w:rFonts w:ascii="Times New Roman;sans-serif" w:hAnsi="Times New Roman;sans-serif"/>
                  <w:b w:val="false"/>
                  <w:color w:val="0000FF"/>
                  <w:sz w:val="20"/>
                  <w:u w:val="single"/>
                </w:rPr>
                <w:t>Executive Officers of the Registrant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16">
              <w:r>
                <w:rPr>
                  <w:rStyle w:val="InternetLink"/>
                  <w:rFonts w:ascii="Times New Roman;sans-serif" w:hAnsi="Times New Roman;sans-serif"/>
                  <w:b w:val="false"/>
                  <w:strike w:val="false"/>
                  <w:dstrike w:val="false"/>
                  <w:color w:val="000000"/>
                  <w:sz w:val="20"/>
                  <w:u w:val="none"/>
                  <w:effect w:val="none"/>
                </w:rPr>
                <w:t>16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19">
              <w:r>
                <w:rPr>
                  <w:rStyle w:val="InternetLink"/>
                  <w:rFonts w:ascii="Times New Roman;sans-serif" w:hAnsi="Times New Roman;sans-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19">
              <w:r>
                <w:rPr>
                  <w:rStyle w:val="InternetLink"/>
                  <w:rFonts w:ascii="Times New Roman;sans-serif" w:hAnsi="Times New Roman;sans-serif"/>
                  <w:b w:val="false"/>
                  <w:strike w:val="false"/>
                  <w:dstrike w:val="false"/>
                  <w:color w:val="000000"/>
                  <w:sz w:val="20"/>
                  <w:u w:val="none"/>
                  <w:effect w:val="none"/>
                </w:rPr>
                <w:t>17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22">
              <w:r>
                <w:rPr>
                  <w:rStyle w:val="InternetLink"/>
                  <w:rFonts w:ascii="Times New Roman;sans-serif" w:hAnsi="Times New Roman;sans-serif"/>
                  <w:b w:val="false"/>
                  <w:color w:val="0000FF"/>
                  <w:sz w:val="20"/>
                  <w:u w:val="single"/>
                </w:rPr>
                <w:t>Unresolved Staff Comments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22">
              <w:r>
                <w:rPr>
                  <w:rStyle w:val="InternetLink"/>
                  <w:rFonts w:ascii="Times New Roman;sans-serif" w:hAnsi="Times New Roman;sans-serif"/>
                  <w:b w:val="false"/>
                  <w:strike w:val="false"/>
                  <w:dstrike w:val="false"/>
                  <w:color w:val="000000"/>
                  <w:sz w:val="20"/>
                  <w:u w:val="none"/>
                  <w:effect w:val="none"/>
                </w:rPr>
                <w:t>30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1747">
              <w:r>
                <w:rPr>
                  <w:rStyle w:val="InternetLink"/>
                  <w:rFonts w:ascii="Times New Roman;sans-serif" w:hAnsi="Times New Roman;sans-serif"/>
                  <w:b w:val="false"/>
                  <w:color w:val="0000FF"/>
                  <w:sz w:val="20"/>
                  <w:u w:val="single"/>
                </w:rPr>
                <w:t>Cybersecurity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1747">
              <w:r>
                <w:rPr>
                  <w:rStyle w:val="InternetLink"/>
                  <w:rFonts w:ascii="Times New Roman;sans-serif" w:hAnsi="Times New Roman;sans-serif"/>
                  <w:b w:val="false"/>
                  <w:strike w:val="false"/>
                  <w:dstrike w:val="false"/>
                  <w:color w:val="000000"/>
                  <w:sz w:val="20"/>
                  <w:u w:val="none"/>
                  <w:effect w:val="none"/>
                </w:rPr>
                <w:t>31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25">
              <w:r>
                <w:rPr>
                  <w:rStyle w:val="InternetLink"/>
                  <w:rFonts w:ascii="Times New Roman;sans-serif" w:hAnsi="Times New Roman;sans-serif"/>
                  <w:b w:val="false"/>
                  <w:color w:val="0000FF"/>
                  <w:sz w:val="20"/>
                  <w:u w:val="single"/>
                </w:rPr>
                <w:t>Properties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25">
              <w:r>
                <w:rPr>
                  <w:rStyle w:val="InternetLink"/>
                  <w:rFonts w:ascii="Times New Roman;sans-serif" w:hAnsi="Times New Roman;sans-serif"/>
                  <w:b w:val="false"/>
                  <w:strike w:val="false"/>
                  <w:dstrike w:val="false"/>
                  <w:color w:val="000000"/>
                  <w:sz w:val="20"/>
                  <w:u w:val="none"/>
                  <w:effect w:val="none"/>
                </w:rPr>
                <w:t>32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28">
              <w:r>
                <w:rPr>
                  <w:rStyle w:val="InternetLink"/>
                  <w:rFonts w:ascii="Times New Roman;sans-serif" w:hAnsi="Times New Roman;sans-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28">
              <w:r>
                <w:rPr>
                  <w:rStyle w:val="InternetLink"/>
                  <w:rFonts w:ascii="Times New Roman;sans-serif" w:hAnsi="Times New Roman;sans-serif"/>
                  <w:b w:val="false"/>
                  <w:strike w:val="false"/>
                  <w:dstrike w:val="false"/>
                  <w:color w:val="000000"/>
                  <w:sz w:val="20"/>
                  <w:u w:val="none"/>
                  <w:effect w:val="none"/>
                </w:rPr>
                <w:t>33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31">
              <w:r>
                <w:rPr>
                  <w:rStyle w:val="InternetLink"/>
                  <w:rFonts w:ascii="Times New Roman;sans-serif" w:hAnsi="Times New Roman;sans-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31">
              <w:r>
                <w:rPr>
                  <w:rStyle w:val="InternetLink"/>
                  <w:rFonts w:ascii="Times New Roman;sans-serif" w:hAnsi="Times New Roman;sans-serif"/>
                  <w:b w:val="false"/>
                  <w:strike w:val="false"/>
                  <w:dstrike w:val="false"/>
                  <w:color w:val="000000"/>
                  <w:sz w:val="20"/>
                  <w:u w:val="none"/>
                  <w:effect w:val="none"/>
                </w:rPr>
                <w:t>34</w:t>
              </w:r>
            </w:hyperlink>
          </w:p>
        </w:tc>
      </w:tr>
      <w:tr>
        <w:trPr/>
        <w:tc>
          <w:tcPr>
            <w:tcW w:w="96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37">
              <w:r>
                <w:rPr>
                  <w:rStyle w:val="InternetLink"/>
                  <w:rFonts w:ascii="Times New Roman;sans-serif" w:hAnsi="Times New Roman;sans-serif"/>
                  <w:b w:val="false"/>
                  <w:strike w:val="false"/>
                  <w:dstrike w:val="false"/>
                  <w:color w:val="000000"/>
                  <w:sz w:val="20"/>
                  <w:u w:val="none"/>
                  <w:effect w:val="none"/>
                </w:rPr>
                <w:t>35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40">
              <w:r>
                <w:rPr>
                  <w:rStyle w:val="InternetLink"/>
                  <w:rFonts w:ascii="Times New Roman;sans-serif" w:hAnsi="Times New Roman;sans-serif"/>
                  <w:b w:val="false"/>
                  <w:color w:val="0000FF"/>
                  <w:sz w:val="20"/>
                  <w:u w:val="single"/>
                </w:rPr>
                <w:t>Selected Financial Data</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40">
              <w:r>
                <w:rPr>
                  <w:rStyle w:val="InternetLink"/>
                  <w:rFonts w:ascii="Times New Roman;sans-serif" w:hAnsi="Times New Roman;sans-serif"/>
                  <w:b w:val="false"/>
                  <w:strike w:val="false"/>
                  <w:dstrike w:val="false"/>
                  <w:color w:val="000000"/>
                  <w:sz w:val="20"/>
                  <w:u w:val="none"/>
                  <w:effect w:val="none"/>
                </w:rPr>
                <w:t>36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43">
              <w:r>
                <w:rPr>
                  <w:rStyle w:val="InternetLink"/>
                  <w:rFonts w:ascii="Times New Roman;sans-serif" w:hAnsi="Times New Roman;sans-serif"/>
                  <w:b w:val="false"/>
                  <w:strike w:val="false"/>
                  <w:dstrike w:val="false"/>
                  <w:color w:val="000000"/>
                  <w:sz w:val="20"/>
                  <w:u w:val="none"/>
                  <w:effect w:val="none"/>
                </w:rPr>
                <w:t>37</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46">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46">
              <w:r>
                <w:rPr>
                  <w:rStyle w:val="InternetLink"/>
                  <w:rFonts w:ascii="Times New Roman;sans-serif" w:hAnsi="Times New Roman;sans-serif"/>
                  <w:b w:val="false"/>
                  <w:strike w:val="false"/>
                  <w:dstrike w:val="false"/>
                  <w:color w:val="000000"/>
                  <w:sz w:val="20"/>
                  <w:u w:val="none"/>
                  <w:effect w:val="none"/>
                </w:rPr>
                <w:t>56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49">
              <w:r>
                <w:rPr>
                  <w:rStyle w:val="InternetLink"/>
                  <w:rFonts w:ascii="Times New Roman;sans-serif" w:hAnsi="Times New Roman;sans-serif"/>
                  <w:b w:val="false"/>
                  <w:color w:val="0000FF"/>
                  <w:sz w:val="20"/>
                  <w:u w:val="single"/>
                </w:rPr>
                <w:t>Financial Statements and Supplementary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49">
              <w:r>
                <w:rPr>
                  <w:rStyle w:val="InternetLink"/>
                  <w:rFonts w:ascii="Times New Roman;sans-serif" w:hAnsi="Times New Roman;sans-serif"/>
                  <w:b w:val="false"/>
                  <w:strike w:val="false"/>
                  <w:dstrike w:val="false"/>
                  <w:color w:val="000000"/>
                  <w:sz w:val="20"/>
                  <w:u w:val="none"/>
                  <w:effect w:val="none"/>
                </w:rPr>
                <w:t>58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130">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130">
              <w:r>
                <w:rPr>
                  <w:rStyle w:val="InternetLink"/>
                  <w:rFonts w:ascii="Times New Roman;sans-serif" w:hAnsi="Times New Roman;sans-serif"/>
                  <w:b w:val="false"/>
                  <w:strike w:val="false"/>
                  <w:dstrike w:val="false"/>
                  <w:color w:val="000000"/>
                  <w:sz w:val="20"/>
                  <w:u w:val="none"/>
                  <w:effect w:val="none"/>
                </w:rPr>
                <w:t>105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133">
              <w:r>
                <w:rPr>
                  <w:rStyle w:val="InternetLink"/>
                  <w:rFonts w:ascii="Times New Roman;sans-serif" w:hAnsi="Times New Roman;sans-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133">
              <w:r>
                <w:rPr>
                  <w:rStyle w:val="InternetLink"/>
                  <w:rFonts w:ascii="Times New Roman;sans-serif" w:hAnsi="Times New Roman;sans-serif"/>
                  <w:b w:val="false"/>
                  <w:strike w:val="false"/>
                  <w:dstrike w:val="false"/>
                  <w:color w:val="000000"/>
                  <w:sz w:val="20"/>
                  <w:u w:val="none"/>
                  <w:effect w:val="none"/>
                </w:rPr>
                <w:t>105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136">
              <w:r>
                <w:rPr>
                  <w:rStyle w:val="InternetLink"/>
                  <w:rFonts w:ascii="Times New Roman;sans-serif" w:hAnsi="Times New Roman;sans-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136">
              <w:r>
                <w:rPr>
                  <w:rStyle w:val="InternetLink"/>
                  <w:rFonts w:ascii="Times New Roman;sans-serif" w:hAnsi="Times New Roman;sans-serif"/>
                  <w:b w:val="false"/>
                  <w:strike w:val="false"/>
                  <w:dstrike w:val="false"/>
                  <w:color w:val="000000"/>
                  <w:sz w:val="20"/>
                  <w:u w:val="none"/>
                  <w:effect w:val="none"/>
                </w:rPr>
                <w:t>109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139">
              <w:r>
                <w:rPr>
                  <w:rStyle w:val="InternetLink"/>
                  <w:rFonts w:ascii="Times New Roman;sans-serif" w:hAnsi="Times New Roman;sans-serif"/>
                  <w:b w:val="false"/>
                  <w:color w:val="0000FF"/>
                  <w:sz w:val="20"/>
                  <w:u w:val="single"/>
                </w:rPr>
                <w:t>Disclosure Regarding Foreign Jurisdictions that Prevent Inspections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139">
              <w:r>
                <w:rPr>
                  <w:rStyle w:val="InternetLink"/>
                  <w:rFonts w:ascii="Times New Roman;sans-serif" w:hAnsi="Times New Roman;sans-serif"/>
                  <w:b w:val="false"/>
                  <w:strike w:val="false"/>
                  <w:dstrike w:val="false"/>
                  <w:color w:val="000000"/>
                  <w:sz w:val="20"/>
                  <w:u w:val="none"/>
                  <w:effect w:val="none"/>
                </w:rPr>
                <w:t>109</w:t>
              </w:r>
            </w:hyperlink>
          </w:p>
        </w:tc>
      </w:tr>
      <w:tr>
        <w:trPr/>
        <w:tc>
          <w:tcPr>
            <w:tcW w:w="96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III</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145">
              <w:r>
                <w:rPr>
                  <w:rStyle w:val="InternetLink"/>
                  <w:rFonts w:ascii="Times New Roman;sans-serif" w:hAnsi="Times New Roman;sans-serif"/>
                  <w:b w:val="false"/>
                  <w:color w:val="0000FF"/>
                  <w:sz w:val="20"/>
                  <w:u w:val="single"/>
                </w:rPr>
                <w:t>Directors, Executive Officers and Corporate Governance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145">
              <w:r>
                <w:rPr>
                  <w:rStyle w:val="InternetLink"/>
                  <w:rFonts w:ascii="Times New Roman;sans-serif" w:hAnsi="Times New Roman;sans-serif"/>
                  <w:b w:val="false"/>
                  <w:strike w:val="false"/>
                  <w:dstrike w:val="false"/>
                  <w:color w:val="000000"/>
                  <w:sz w:val="20"/>
                  <w:u w:val="none"/>
                  <w:effect w:val="none"/>
                </w:rPr>
                <w:t>110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148">
              <w:r>
                <w:rPr>
                  <w:rStyle w:val="InternetLink"/>
                  <w:rFonts w:ascii="Times New Roman;sans-serif" w:hAnsi="Times New Roman;sans-serif"/>
                  <w:b w:val="false"/>
                  <w:color w:val="0000FF"/>
                  <w:sz w:val="20"/>
                  <w:u w:val="single"/>
                </w:rPr>
                <w:t>Executive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148">
              <w:r>
                <w:rPr>
                  <w:rStyle w:val="InternetLink"/>
                  <w:rFonts w:ascii="Times New Roman;sans-serif" w:hAnsi="Times New Roman;sans-serif"/>
                  <w:b w:val="false"/>
                  <w:strike w:val="false"/>
                  <w:dstrike w:val="false"/>
                  <w:color w:val="000000"/>
                  <w:sz w:val="20"/>
                  <w:u w:val="none"/>
                  <w:effect w:val="none"/>
                </w:rPr>
                <w:t>110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151">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151">
              <w:r>
                <w:rPr>
                  <w:rStyle w:val="InternetLink"/>
                  <w:rFonts w:ascii="Times New Roman;sans-serif" w:hAnsi="Times New Roman;sans-serif"/>
                  <w:b w:val="false"/>
                  <w:strike w:val="false"/>
                  <w:dstrike w:val="false"/>
                  <w:color w:val="000000"/>
                  <w:sz w:val="20"/>
                  <w:u w:val="none"/>
                  <w:effect w:val="none"/>
                </w:rPr>
                <w:t>110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154">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154">
              <w:r>
                <w:rPr>
                  <w:rStyle w:val="InternetLink"/>
                  <w:rFonts w:ascii="Times New Roman;sans-serif" w:hAnsi="Times New Roman;sans-serif"/>
                  <w:b w:val="false"/>
                  <w:strike w:val="false"/>
                  <w:dstrike w:val="false"/>
                  <w:color w:val="000000"/>
                  <w:sz w:val="20"/>
                  <w:u w:val="none"/>
                  <w:effect w:val="none"/>
                </w:rPr>
                <w:t>110</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157">
              <w:r>
                <w:rPr>
                  <w:rStyle w:val="InternetLink"/>
                  <w:rFonts w:ascii="Times New Roman;sans-serif" w:hAnsi="Times New Roman;sans-serif"/>
                  <w:b w:val="false"/>
                  <w:color w:val="0000FF"/>
                  <w:sz w:val="20"/>
                  <w:u w:val="single"/>
                </w:rPr>
                <w:t>Principal Accountant Fees and Services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157">
              <w:r>
                <w:rPr>
                  <w:rStyle w:val="InternetLink"/>
                  <w:rFonts w:ascii="Times New Roman;sans-serif" w:hAnsi="Times New Roman;sans-serif"/>
                  <w:b w:val="false"/>
                  <w:strike w:val="false"/>
                  <w:dstrike w:val="false"/>
                  <w:color w:val="000000"/>
                  <w:sz w:val="20"/>
                  <w:u w:val="none"/>
                  <w:effect w:val="none"/>
                </w:rPr>
                <w:t>110</w:t>
              </w:r>
            </w:hyperlink>
          </w:p>
        </w:tc>
      </w:tr>
      <w:tr>
        <w:trPr/>
        <w:tc>
          <w:tcPr>
            <w:tcW w:w="96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IV</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163">
              <w:r>
                <w:rPr>
                  <w:rStyle w:val="InternetLink"/>
                  <w:rFonts w:ascii="Times New Roman;sans-serif" w:hAnsi="Times New Roman;sans-serif"/>
                  <w:b w:val="false"/>
                  <w:color w:val="0000FF"/>
                  <w:sz w:val="20"/>
                  <w:u w:val="single"/>
                </w:rPr>
                <w:t>Exhibits and Financial Statement Schedules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163">
              <w:r>
                <w:rPr>
                  <w:rStyle w:val="InternetLink"/>
                  <w:rFonts w:ascii="Times New Roman;sans-serif" w:hAnsi="Times New Roman;sans-serif"/>
                  <w:b w:val="false"/>
                  <w:strike w:val="false"/>
                  <w:dstrike w:val="false"/>
                  <w:color w:val="000000"/>
                  <w:sz w:val="20"/>
                  <w:u w:val="none"/>
                  <w:effect w:val="none"/>
                </w:rPr>
                <w:t>111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166">
              <w:r>
                <w:rPr>
                  <w:rStyle w:val="InternetLink"/>
                  <w:rFonts w:ascii="Times New Roman;sans-serif" w:hAnsi="Times New Roman;sans-serif"/>
                  <w:b w:val="false"/>
                  <w:color w:val="0000FF"/>
                  <w:sz w:val="20"/>
                  <w:u w:val="single"/>
                </w:rPr>
                <w:t>Form 10-K Summary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166">
              <w:r>
                <w:rPr>
                  <w:rStyle w:val="InternetLink"/>
                  <w:rFonts w:ascii="Times New Roman;sans-serif" w:hAnsi="Times New Roman;sans-serif"/>
                  <w:b w:val="false"/>
                  <w:strike w:val="false"/>
                  <w:dstrike w:val="false"/>
                  <w:color w:val="000000"/>
                  <w:sz w:val="20"/>
                  <w:u w:val="none"/>
                  <w:effect w:val="none"/>
                </w:rPr>
                <w:t>116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169">
              <w:r>
                <w:rPr>
                  <w:rStyle w:val="InternetLink"/>
                  <w:rFonts w:ascii="Times New Roman;sans-serif" w:hAnsi="Times New Roman;sans-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169">
              <w:r>
                <w:rPr>
                  <w:rStyle w:val="InternetLink"/>
                  <w:rFonts w:ascii="Times New Roman;sans-serif" w:hAnsi="Times New Roman;sans-serif"/>
                  <w:b w:val="false"/>
                  <w:strike w:val="false"/>
                  <w:dstrike w:val="false"/>
                  <w:color w:val="000000"/>
                  <w:sz w:val="20"/>
                  <w:u w:val="none"/>
                  <w:effect w:val="none"/>
                </w:rPr>
                <w:t>117</w:t>
              </w:r>
            </w:hyperlink>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Note About Forward-Looking Statements</w:t>
      </w:r>
    </w:p>
    <w:p>
      <w:pPr>
        <w:pStyle w:val="TextBody"/>
        <w:bidi w:val="0"/>
        <w:spacing w:before="0" w:after="0"/>
        <w:jc w:val="center"/>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contains forward-looking statements within the meaning of the federal securities laws. Statements that are not historical facts, including statements about FLEETCOR’s beliefs, expectations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w:t>
      </w:r>
    </w:p>
    <w:p>
      <w:pPr>
        <w:pStyle w:val="TextBody"/>
        <w:bidi w:val="0"/>
        <w:spacing w:lineRule="auto" w:line="256" w:before="0" w:after="0"/>
        <w:jc w:val="left"/>
        <w:rPr>
          <w:color w:val="000000"/>
        </w:rPr>
      </w:pPr>
      <w:r>
        <w:rPr>
          <w:color w:val="000000"/>
        </w:rPr>
        <w:t> </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including those discussed in this report in Item 1A, “Risk Factors,” and Item 7, “Management’s Discussion and Analysis of Financial Condition and Results of Operations,” many of which are outside of our control, that could cause our actual results and experience to differ materially from any forward-looking statement.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may not be realized due to a variety of factors, including, without limitation:</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impact of macroeconomic conditions, including any recession that has occurred or may occur in the future, and whether expected trends, including retail fuel prices, fuel price spreads, fuel transaction patterns, electric vehicle, and retail lodging price trends develop as anticipated and we are able to develop successful strategies in light of these trends;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our ability to successfully execute our strategic plan, manage our growth and achieve our performance targets;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our ability to attract new and retain existing partners, merchants, and providers, their promotion and support of our products, and their financial performance;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the failure of management assumptions and estimates, as well as differences in, and changes to, economic, market, interest rate, interchange fees, foreign exchange rates, and credit conditions, including changes in borrowers’ credit risks and payment behaviors;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risk of higher borrowing costs and adverse financial market conditions impacting our funding and liquidity, and any reduction in our credit ratings;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our ability to successfully manage our credit risks and the sufficiency of our allowance for expected credit losses;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our ability to securitize our trade receivables;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occurrence of fraudulent activity, data breaches or failures of our information security controls or cybersecurity-related incidents that may compromise our systems or customers’ information;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any disruptions in the operations of our computer systems and data centers;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international operational and political risks and compliance and regulatory risks and costs associated with international operations;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impact of international conflicts, including between Russia and Ukraine, as well as within the Middle East, on the global economy or our business and operations;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our ability to develop and implement new technology, products, and services;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any alleged infringement of intellectual property rights of others and our ability to protect our intellectual property;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the regulation, supervision, and examination of our business by foreign and domestic governmental authorities, as well as litigation and regulatory actions, including the lawsuit filed by the Federal Trade Commission (FTC);</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the impact of regulations relating to privacy, information security and data protection; use of third-party vendors and ongoing third-party business relationships; and failure to comply with anti-money laundering (AML) and anti-terrorism financing laws;</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changes in our senior management team and our ability to attract, motivate and retain qualified personnel consistent with our strategic plan;</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tax legislation initiatives or challenges to our tax positions and/or interpretations, and state sales tax rules and regulations;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risks of mergers, acquisitions and divestitures, including, without limitation, the related time and costs of implementing such transactions, integrating operations as part of these transactions and possible failures to achieve expected gains, revenue growth and/or expense savings from such transactions;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our ability to remediate material weaknesses and the ongoing effectiveness of internal control over financial reporting;</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our restatement of prior quarterly financial statements may affect investor confidence and raise reputational issues and may subject us to additional risks and uncertainties, including increased professional costs and the increased possibility of legal proceedings and regulatory inquiries; and</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the other factors and information in this Annual Report on Form 10-K and other filings that we make with the SEC under the Exchange Act and Securities Act. See “Risk Factors” in this Annual Report on Form 10-K.</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Given these risks and uncertainties, you are cautioned not to place undue reliance on these forward-looking statements. The forward-looking statements included in this report are made only as of the date hereof. We do not undertake, and specifically disclaim, any obligation to update any such statements or to publicly announce the results of any revisions to any of such statements to reflect future events or developments.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EXPLANATORY NOTE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Annual Report on Form 10-K for the year ended December 31, 2023 (“Form 10-K”) includes the restatement of our unaudited condensed consolidated financial statements for the quarterly periods ended March 31, 2023, June 30, 2023 and September 30, 2023 (the “Restated Periods”). The Audit Committee of the Company’s Board of Directors, in consultation with the Company's management, concluded that the Company’s previously issued condensed consolidated financial statements and related disclosures for the Restated Periods should no longer be relied upon related to the specific errors contained in such interim financial statements.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disclosed in Note 20 to the Consolidated Financial Statements included in this Form 10-K, we are restating the Restated Periods to correct errors pertaining only to our balance sheets (and the related effects on the statements of cash flows) related to (1) the recognition of certain cash balances as restricted cash and customer deposits held in custodial accounts for the benefit of (FBO) customers entered into in the first quarter of 2023 based on the Company's determination that it exercises control over such funds and (2) a correction to the Company's accounts receivable and accounts payable balances related to an incorrect classification of certain unbilled accounts receivable balances.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disclosed in Item 9A, as of December 31, 2023, management has determined that the Company did not maintain effective internal control over financial reporting due to the existence of certain material weaknesses. Management also concluded that the Company’s disclosure controls and procedures were not effective as of December 31, 2023 due to the existence of the material weaknesses. For additional information, see Item 9A of this Form 10-K.</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filed and do not intend to file amendments to our Quarterly Reports on Form 10-Q for the Restated Periods. 2023 comparative amounts presented in our 2024 Quarterly Reports on Form 10-Q will be changed retrospectively to reflect the restatement. Accordingly, investors should rely only on the financial information and other disclosures regarding the Restated Periods in this Form 10-K or in future filings with the SEC (as applicable), and not on any previously issued or filed reports, earnings releases or similar communications relating to the Restated Periods.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the restatement on the Restated Periods is described in Note 20 to our audited financial statements included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180"/>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FLEETCOR is a global payments company that helps businesses and consumers better manager their expenses. FLEETCOR's suite of modern payment solutions help customers better manage vehicle-related expenses (e.g. fueling, tolls and parking), lodging expenses (e.g. hotel bookings) and corporate payments (e.g. domestic and international vendors). This results in our customers saving time and ultimately spending less. Since its incorporation in 2000, FLEETCOR’s smarter payment and spend management solutions have been delivered in a variety of ways depending on the needs of the customer. From physical payment cards to software that includes customizable controls and robust payment capabilities, we provide our customers with a better way to pay.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FLEETCOR has been a member of the S&amp;P 500 since 2018 and trades on the New York Stock Exchange under the ticker FLT. We expect to rebrand FLEETCOR to Corpay, Inc. in March 2024, including changing our New York Stock Exchange ticker from FLT to CPAY.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Businesses spend an estimated $135 trillion each year in transactions with other businesses. In many instances, businesses lack the proper tools to monitor what is being purchased, and employ manual, paper-based, disparate processes and methods to both approve and make payments for their business-to-business purchases. This often results in wasted time and money due to unnecessary or unauthorized spending, fraud, receipt collection, data input and consolidation, report generation, reimbursement processing, account reconciliations, employee disciplinary actions, and more.</w:t>
      </w:r>
    </w:p>
    <w:p>
      <w:pPr>
        <w:pStyle w:val="TextBody"/>
        <w:bidi w:val="0"/>
        <w:spacing w:lineRule="auto" w:line="256" w:before="180" w:after="283"/>
        <w:jc w:val="left"/>
        <w:rPr/>
      </w:pPr>
      <w:r>
        <w:rPr>
          <w:rFonts w:ascii="Times New Roman;sans-serif" w:hAnsi="Times New Roman;sans-serif"/>
          <w:b w:val="false"/>
          <w:color w:val="000000"/>
          <w:sz w:val="20"/>
        </w:rPr>
        <w:t>Digital payments are faster and more secure than paper-based methods such as checks, and provide timely and detailed data that can be utilized to effectively reduce unauthorized purchases and fraud, automate data entry and reporting, and eliminate reimbursement processes. Combining this payment data with analytical tools delivers powerful insights, which managers can use to better run their businesses.</w:t>
      </w:r>
      <w:r>
        <w:rPr>
          <w:color w:val="000000"/>
        </w:rPr>
        <w:t xml:space="preserve">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FLEETCOR’s vision is that every payment is digital, every purchase is controlled, and every related decision is informed. Our wide range of modern, digitized solutions provide control, reporting, and automation benefits superior to many of the payment methods businesses often use such as cash, paper checks, general purpose credit cards, as well as employee pay and reclaim processes. In addition to delivering meaningful value to our customers, our solutions also share several important and attractive business model characteristics such as: </w:t>
      </w:r>
    </w:p>
    <w:p>
      <w:pPr>
        <w:pStyle w:val="TextBody"/>
        <w:bidi w:val="0"/>
        <w:spacing w:lineRule="auto" w:line="256" w:before="180" w:after="283"/>
        <w:ind w:left="0" w:right="0" w:hanging="360"/>
        <w:jc w:val="left"/>
        <w:rPr/>
      </w:pPr>
      <w:r>
        <w:rPr>
          <w:color w:val="000000"/>
        </w:rPr>
        <w:t>•</w:t>
      </w:r>
      <w:r>
        <w:rPr>
          <w:rFonts w:ascii="Times New Roman;sans-serif" w:hAnsi="Times New Roman;sans-serif"/>
          <w:b w:val="false"/>
          <w:color w:val="000000"/>
          <w:sz w:val="20"/>
        </w:rPr>
        <w:t>the majority of revenue is derived primarily from business customers, which tend to have relatively predictable, consistent volumes;</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color w:val="000000"/>
          <w:sz w:val="20"/>
        </w:rPr>
        <w:t>recurring revenue models driven by recurring volume, resulting in predictable revenue;</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color w:val="000000"/>
          <w:sz w:val="20"/>
        </w:rPr>
        <w:t>similar selling systems with common sales approaches, management and reporting;</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color w:val="000000"/>
          <w:sz w:val="20"/>
        </w:rPr>
        <w:t>specialized technology platforms and proprietary payment acceptance networks, which create competitive advantages and barriers to entry; and</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color w:val="000000"/>
          <w:sz w:val="20"/>
        </w:rPr>
        <w:t>high EBITDA margins and cash flow translation with limited infrastructure investment requirements.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actively market and sell to current and prospective customers leveraging a multi-channel, go-to-market approach, which includes comprehensive digital channels, direct sales forces and strategic partner relationships. We sell stand-alone products and services, and are currently organizing and establishing platforms where a single customer can use multiple products from one user interface. It is important to note that we compete mostly with legacy payment methods and traditional ways of paying, such as cash and checks. We supplement our organic growth strategy and sales efforts by pursuing attractive acquisition opportunities, which serve to strengthen and extend our market positions and create value faster. With a long, proven operating history, FLEETCOR now serves hundreds of thousands of customers with millions of cardholders making payments to millions of vendors around the world.</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FLEETCOR has the following reportable segments: Vehicle Payments, Corporate Payments, Lodging Payments and Other. We report these segments as they reflect how we organize and manage our global employee base, manage operating performance, execute on strategic initiatives and contemplate the differing regulatory environments across geographies and solutions. Our Vehicle Payments solutions help control and monitor employee spending while in the field or in a vehicle and include fuel, tolls and other complementary products. Our Corporate Payments solutions simplify and automate vendor payments and include accounts payable (AP) automation, virtual cards, cross-border, and purchasing and travel and entertainment (T&amp;E) card products. Our Lodging Payments solutions help businesses manage their lodging costs, while simplifying the management offerings from hotels, to longer term housing arrangements, while also providing traveler and end customer support.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Vehicle Payments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Vehicle Payments solutions are purpose-built to enable our customers to pay for vehicle related expenses. For our business customers, we also provide greater control and visibility of spending when compared with less specialized payment methods, such as cash or general-purpose credit cards. Our digital enabled solutions provide customers with significant control capabilities such as, customizable user-level controls, programmable alerts, and detailed transaction reporting. Furthermore, our business customers can use the data, controls and tools to combat employee misuse and fraud, streamline expense administration and potentially lower their operating costs, accessible through sophisticated web portals and mobile applications. For our consumer customers, our Vehicle Payment solutions provide seamless, mobile first digital experience when paying for certain vehicle related expenses, removing the friction associated with alternative payment methods and having to use multiple service providers.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utilize both proprietary and third-party payment acceptance networks to deliver our Vehicle Payments solutions. In our proprietary networks, which tend to be geographically distinct and unique to the markets we serve, transactions are processed on applications and operating systems owned and operated by us, and only at select participating merchants with whom we have contracted directly for acceptance. These proprietary networks generally provide us with better economics, as we control more of the transaction, and richer data because of how the networks and point of sale software are configured. Third-party networks are operated by independent parties, and tend to be more broadly accepted, which is the primary benefit compared with our proprietary networks. Mastercard and VISA are our primary third-party network partners.</w:t>
      </w:r>
    </w:p>
    <w:p>
      <w:pPr>
        <w:pStyle w:val="TextBody"/>
        <w:bidi w:val="0"/>
        <w:spacing w:lineRule="auto" w:line="256" w:before="180" w:after="283"/>
        <w:jc w:val="left"/>
        <w:rPr/>
      </w:pPr>
      <w:r>
        <w:rPr>
          <w:rFonts w:ascii="Times New Roman;sans-serif" w:hAnsi="Times New Roman;sans-serif"/>
          <w:b/>
          <w:i/>
          <w:color w:val="000000"/>
          <w:sz w:val="20"/>
        </w:rPr>
        <w:t xml:space="preserve">Fuel </w:t>
      </w:r>
      <w:r>
        <w:rPr>
          <w:color w:val="000000"/>
        </w:rPr>
        <w:t xml:space="preserve">– </w:t>
      </w:r>
      <w:r>
        <w:rPr>
          <w:rFonts w:ascii="Times New Roman;sans-serif" w:hAnsi="Times New Roman;sans-serif"/>
          <w:b w:val="false"/>
          <w:color w:val="000000"/>
          <w:sz w:val="20"/>
        </w:rPr>
        <w:t xml:space="preserve">Our fuel solutions are used by customers to pay and control spending for fuel for vehicles and fleets, Our fuel solutions are fuel type agnostic, regardless of fuel type (fossil fuel, electricity, etc.). We offer fuel solutions to businesses and government entities who operate vehicle fleets, as well as to consumers primarily in Brazil, Mexico and Europe. At the most basic level, we provide the measurement of fuel used and facilitate the payment for that fuel to the merchant, whether that fuel be diesel, gasoline, compressed natural gas, or electricity, while also providing online control, reporting and tracking capabilities to fleet operators. In many cases we can also deliver fuel price savings to our business customers when compared to the retail (board) price of fuel, and in Europe especially, we also enable fleets to significantly streamline the VAT reclaim process by digitizing and itemizing fuel receipts in a way that is compliant with tax authority requirements.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measurement, control and payment needs of our customers operating electric vehicles (EV) are similar to those operating traditional, internal combustion vehicles, just centered around electricity usage instead of gas or diesel usage. As we help our customers manage through the transition to EVs, many will operate mixed fleets for a long period of time, and will need access to all modalities of fueling, including networks of fuel stations, electric charging stations both on the road and at the office, in addition to at-home charging options. Considering the increased complexity of managing a mixed or an all EV fleet, our product sets are positioned to remain valuable and capture transaction economics, regardless of the vehicle type or propulsion method. We have also enhanced our customer platforms and reporting capabilities to ensure a fully integrated mixed fleet experience for our customers, so they can capture and review all the relevant fleet insights in one place, eliminating the need to select alternative providers for different fuel types or manage disparate systems.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solutions also have additional capabilities, where we can enable the fuel card to allow customers to purchase a limited set of non-fuel items, such as oil, tolls, parking and vehicle maintenance supplies. Our proprietary EV networks in the U.K. and western Europe, combined with our Mastercard network in the U.S., offer access to hundreds of thousands of charge points and the management of at-home charging, while also delivering additional value-added services through a mobile app, including the ability to locate and route to a charge-point, charge-point speed, functionality and whether in use. Our EV home-charging software solution is aimed at fleets that need to accurately reimburse drivers for charging that takes place at home for business purposes, capturing, measuring and accurately pricing relevant charging sessions and is directly integrated with energy companies to facilitate direct payment, thus bypassing the home energy account. We are actively expanding our EV footprint to accommodate charging in the U.S., U.K. and Europe.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provide program management services to major oil companies, leasing companies and fuel marketers, which allow these partners to outsource the sales, marketing, credit, service, and system operations of their branded fuel card portfolios. Our fuel partners include British Petroleum (BP), Arco, Speedway, Casey's and over 640 fuel marketers of all sizes. On the EV side, we also provide similar modular solutions to original equipment manufacturers (OEMs) who wish to distribute on-road EV charging solutions to consumers buying an EV. We would typically either white-label our charging app or integrate directly via application programming interface (API) with vehicle OEMs to deliver access to our products. Our vehicle OEM partners include Renault, Nissan, Polestar and Jaguar-Land Rover.</w:t>
      </w:r>
    </w:p>
    <w:p>
      <w:pPr>
        <w:pStyle w:val="TextBody"/>
        <w:bidi w:val="0"/>
        <w:spacing w:lineRule="auto" w:line="256" w:before="180" w:after="283"/>
        <w:jc w:val="left"/>
        <w:rPr/>
      </w:pPr>
      <w:r>
        <w:rPr>
          <w:rFonts w:ascii="Times New Roman;sans-serif" w:hAnsi="Times New Roman;sans-serif"/>
          <w:b/>
          <w:i/>
          <w:color w:val="000000"/>
          <w:sz w:val="20"/>
        </w:rPr>
        <w:t xml:space="preserve">Tolls </w:t>
      </w:r>
      <w:r>
        <w:rPr>
          <w:color w:val="000000"/>
        </w:rPr>
        <w:t xml:space="preserve">– </w:t>
      </w:r>
      <w:r>
        <w:rPr>
          <w:rFonts w:ascii="Times New Roman;sans-serif" w:hAnsi="Times New Roman;sans-serif"/>
          <w:b w:val="false"/>
          <w:color w:val="000000"/>
          <w:sz w:val="20"/>
        </w:rPr>
        <w:t>Operated primarily in Brazil, we are the leading electronic toll payments provider to businesses and consumers in the form of radio frequency identification (RFID) tags affixed to vehicle windshields. Our tolls solution primarily operates on our proprietary Sem Parar</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network, which processes transactions for more than 6.7 million tagholders on 100% of the toll roads that accept RFID across Brazil. We provide convenience and faster travel for customers, while also reducing manual labor and cash handling at merchants’ toll booths. Our tolls solution also provides commercial customers with driver routing controls and fare auditing, mostly in the form of vehicle type and axle count configuration.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tags may also be used at approximately 6,400 participating merchant locations to purchase goods and services </w:t>
      </w:r>
      <w:bookmarkStart w:id="0" w:name="iea14758844bc46f09ac33b716f47f0c3_56236"/>
      <w:bookmarkEnd w:id="0"/>
      <w:r>
        <w:rPr>
          <w:rFonts w:ascii="Times New Roman;sans-serif" w:hAnsi="Times New Roman;sans-serif"/>
          <w:b w:val="false"/>
          <w:color w:val="000000"/>
          <w:sz w:val="20"/>
        </w:rPr>
        <w:t xml:space="preserve">while in the vehicle, such as parking, fuel, car washes, and meals at drive-through restaurants. At merchant locations, payment via electronic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tags is faster, safer and more secure for customers, which in turn increases loyalty and throughput for merchants and eliminates the handling of cash.</w:t>
      </w:r>
    </w:p>
    <w:p>
      <w:pPr>
        <w:pStyle w:val="TextBody"/>
        <w:bidi w:val="0"/>
        <w:spacing w:lineRule="auto" w:line="256" w:before="180" w:after="283"/>
        <w:jc w:val="left"/>
        <w:rPr/>
      </w:pPr>
      <w:r>
        <w:rPr>
          <w:rFonts w:ascii="Times New Roman;sans-serif" w:hAnsi="Times New Roman;sans-serif"/>
          <w:b/>
          <w:i/>
          <w:color w:val="000000"/>
          <w:sz w:val="20"/>
        </w:rPr>
        <w:t xml:space="preserve">Parking </w:t>
      </w:r>
      <w:r>
        <w:rPr>
          <w:color w:val="000000"/>
        </w:rPr>
        <w:t xml:space="preserve">– </w:t>
      </w:r>
      <w:r>
        <w:rPr>
          <w:rFonts w:ascii="Times New Roman;sans-serif" w:hAnsi="Times New Roman;sans-serif"/>
          <w:b w:val="false"/>
          <w:color w:val="000000"/>
          <w:sz w:val="20"/>
        </w:rPr>
        <w:t xml:space="preserve">Our parking app for mobile devices allows millions of consumers and fleets to pay for parking in seconds, replacing the use of coins or cash for parking. Our solution also allows business fleets the ability to manage their vehicles from anywhere, add and remove authorized drivers and pay in a secured and approved modality. Given the high frequency nature of use and the millions of monthly active users on the app, parking lends itself well to further extension into the other services we offer, namely EV charging, maintenance and fueling, amongst others. Our parking solutions are available in the U.S., Canada, Europe, the U.K. and Brazil. </w:t>
      </w:r>
    </w:p>
    <w:p>
      <w:pPr>
        <w:pStyle w:val="TextBody"/>
        <w:bidi w:val="0"/>
        <w:spacing w:lineRule="auto" w:line="256" w:before="180" w:after="283"/>
        <w:jc w:val="left"/>
        <w:rPr/>
      </w:pPr>
      <w:r>
        <w:rPr>
          <w:rFonts w:ascii="Times New Roman;sans-serif" w:hAnsi="Times New Roman;sans-serif"/>
          <w:b/>
          <w:i/>
          <w:color w:val="000000"/>
          <w:sz w:val="20"/>
        </w:rPr>
        <w:t xml:space="preserve">Fleet Maintenance </w:t>
      </w:r>
      <w:r>
        <w:rPr>
          <w:color w:val="000000"/>
        </w:rPr>
        <w:t xml:space="preserve">– </w:t>
      </w:r>
      <w:r>
        <w:rPr>
          <w:rFonts w:ascii="Times New Roman;sans-serif" w:hAnsi="Times New Roman;sans-serif"/>
          <w:b w:val="false"/>
          <w:color w:val="000000"/>
          <w:sz w:val="20"/>
        </w:rPr>
        <w:t xml:space="preserve">We provide a SaaS-based vehicle lifecycle management solution that helps major leasing companies, as well as fleet operators of all sizes, to predominately manage their vehicle maintenance, service, and repair needs primarily in the U.K., but also in France, Denmark, Ireland and Australia. This solution is provided through our proprietary maintenance and repair network, which, in the U.K., processes transactions for fleet customers at over 9,000 service centers. The same platform also provides leasing companies with the capability to manage the re-marketing of leased vehicles and any ad-hoc vehicle rental needs. In addition, we offer compliance service to the U.K.’s heavy goods (truck) operators, workshops and drivers. Finally, we are increasingly extending the platform for use in the small fleet and B2B2C space, enabling consumers to access our proprietary maintenance network at advantaged economics to them. </w:t>
      </w:r>
    </w:p>
    <w:p>
      <w:pPr>
        <w:pStyle w:val="TextBody"/>
        <w:bidi w:val="0"/>
        <w:spacing w:lineRule="auto" w:line="256" w:before="180" w:after="283"/>
        <w:jc w:val="left"/>
        <w:rPr/>
      </w:pPr>
      <w:r>
        <w:rPr>
          <w:rFonts w:ascii="Times New Roman;sans-serif" w:hAnsi="Times New Roman;sans-serif"/>
          <w:b/>
          <w:i/>
          <w:color w:val="000000"/>
          <w:sz w:val="20"/>
        </w:rPr>
        <w:t xml:space="preserve">Long-Haul Transportation Services </w:t>
      </w:r>
      <w:r>
        <w:rPr>
          <w:color w:val="000000"/>
        </w:rPr>
        <w:t xml:space="preserve">– </w:t>
      </w:r>
      <w:r>
        <w:rPr>
          <w:rFonts w:ascii="Times New Roman;sans-serif" w:hAnsi="Times New Roman;sans-serif"/>
          <w:b w:val="false"/>
          <w:color w:val="000000"/>
          <w:sz w:val="20"/>
        </w:rPr>
        <w:t xml:space="preserve">In addition to, and often in conjunction with our fuel solutions, we provide trucking companies in North America with various solutions and services relevant to their industry including road tax compliance analysis and reporting, permit procurement and cash movement and disbursement. </w:t>
      </w:r>
    </w:p>
    <w:p>
      <w:pPr>
        <w:pStyle w:val="TextBody"/>
        <w:bidi w:val="0"/>
        <w:spacing w:lineRule="auto" w:line="256" w:before="180" w:after="283"/>
        <w:jc w:val="left"/>
        <w:rPr/>
      </w:pPr>
      <w:r>
        <w:rPr>
          <w:rFonts w:ascii="Times New Roman;sans-serif" w:hAnsi="Times New Roman;sans-serif"/>
          <w:b/>
          <w:i/>
          <w:color w:val="000000"/>
          <w:sz w:val="20"/>
        </w:rPr>
        <w:t xml:space="preserve">Benefits </w:t>
      </w:r>
      <w:r>
        <w:rPr>
          <w:color w:val="000000"/>
        </w:rPr>
        <w:t xml:space="preserve">– </w:t>
      </w:r>
      <w:r>
        <w:rPr>
          <w:rFonts w:ascii="Times New Roman;sans-serif" w:hAnsi="Times New Roman;sans-serif"/>
          <w:b w:val="false"/>
          <w:color w:val="000000"/>
          <w:sz w:val="20"/>
        </w:rPr>
        <w:t>In Mexico and Brazil, we offer prepaid food vouchers or cards that may be used as a form of payment in restaurants and grocery stores. Additionally, in Brazil, we offer prepaid transportation cards and vouchers that may be used by commuting employees as a form of payment on public transportation.</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Corporate Payments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Payments solutions are designed to help businesses streamline the back-office operations associated with making outgoing payments to vendors. Companies can save time, cut costs, and manage B2B payment processing more efficiently with our suite of Corporate Payment solutions, including AP automation, virtual cards, cross-border, and purchasing and T&amp;E cards. </w:t>
      </w:r>
    </w:p>
    <w:p>
      <w:pPr>
        <w:pStyle w:val="TextBody"/>
        <w:bidi w:val="0"/>
        <w:spacing w:lineRule="auto" w:line="256" w:before="180" w:after="283"/>
        <w:jc w:val="left"/>
        <w:rPr/>
      </w:pPr>
      <w:r>
        <w:rPr>
          <w:rFonts w:ascii="Times New Roman;sans-serif" w:hAnsi="Times New Roman;sans-serif"/>
          <w:b/>
          <w:i/>
          <w:color w:val="000000"/>
          <w:sz w:val="20"/>
        </w:rPr>
        <w:t>AP Automation</w:t>
      </w:r>
      <w:r>
        <w:rPr>
          <w:color w:val="000000"/>
        </w:rPr>
        <w:t xml:space="preserve"> – </w:t>
      </w:r>
      <w:r>
        <w:rPr>
          <w:rFonts w:ascii="Times New Roman;sans-serif" w:hAnsi="Times New Roman;sans-serif"/>
          <w:b w:val="false"/>
          <w:color w:val="000000"/>
          <w:sz w:val="20"/>
        </w:rPr>
        <w:t xml:space="preserve">We offer AP Automation solutions with options that are purpose-built for the simplest small business to the most complex large enterprise. We initiate, manage and guarantee payment of all company-approved bills to all domestic and international vendors through whichever payment modalities the vendors allow, such as automated clearing house (ACH), wire, check or payment card. Our mid-market/enterprise option meets the needs of the most complex global enterprises with multiple organizational hierarchies, approval workflows, locations, bank accounts, robust on-demand reporting and seamless integration with Enterprise Resource Planning (ERP) systems. We also provide rich data on the remittance to the vendor, regardless of payment modality, which facilitates invoice reconciliations and payment posting. By automating the process of paying vendors, businesses of all sizes can reduce the time, costs and fraud risks associated with their payment processes, and focus on operating their businesses. </w:t>
      </w:r>
    </w:p>
    <w:p>
      <w:pPr>
        <w:pStyle w:val="TextBody"/>
        <w:bidi w:val="0"/>
        <w:spacing w:lineRule="auto" w:line="256" w:before="180" w:after="283"/>
        <w:jc w:val="left"/>
        <w:rPr/>
      </w:pPr>
      <w:r>
        <w:rPr>
          <w:rFonts w:ascii="Times New Roman;sans-serif" w:hAnsi="Times New Roman;sans-serif"/>
          <w:b/>
          <w:i/>
          <w:color w:val="000000"/>
          <w:sz w:val="20"/>
        </w:rPr>
        <w:t>Virtual Card</w:t>
      </w:r>
      <w:r>
        <w:rPr>
          <w:color w:val="000000"/>
        </w:rPr>
        <w:t xml:space="preserve"> – </w:t>
      </w:r>
      <w:r>
        <w:rPr>
          <w:rFonts w:ascii="Times New Roman;sans-serif" w:hAnsi="Times New Roman;sans-serif"/>
          <w:b w:val="false"/>
          <w:color w:val="000000"/>
          <w:sz w:val="20"/>
        </w:rPr>
        <w:t>Our Virtual Card solution provides a single-use card number for a specific amount, usable within a defined timeframe. Virtual Cards provide enhanced security relative to checks while reducing total payment costs for our customers. Full remittance data accompanies each Virtual Card payment, providing significant reconciliation advantages to ACH payments. We have integrated our Virtual Card offering into most leading ERP systems, providing a seamless experience for AP personnel.</w:t>
      </w:r>
      <w:r>
        <w:rPr>
          <w:color w:val="000000"/>
        </w:rPr>
        <w:t xml:space="preserve"> </w:t>
      </w:r>
    </w:p>
    <w:p>
      <w:pPr>
        <w:pStyle w:val="TextBody"/>
        <w:bidi w:val="0"/>
        <w:spacing w:lineRule="auto" w:line="256" w:before="180" w:after="283"/>
        <w:jc w:val="left"/>
        <w:rPr/>
      </w:pPr>
      <w:r>
        <w:rPr>
          <w:rFonts w:ascii="Times New Roman;sans-serif" w:hAnsi="Times New Roman;sans-serif"/>
          <w:b w:val="false"/>
          <w:color w:val="000000"/>
          <w:sz w:val="20"/>
        </w:rPr>
        <w:t>We have built a proprietary merchant acceptance network that accepts our Virtual Card payments. Our merchant acceptance network is unique due to the nature of commercial Virtual Card acceptance.</w:t>
      </w:r>
      <w:r>
        <w:rPr>
          <w:color w:val="000000"/>
        </w:rPr>
        <w:t xml:space="preserve"> </w:t>
      </w:r>
      <w:r>
        <w:rPr>
          <w:rFonts w:ascii="Times New Roman;sans-serif" w:hAnsi="Times New Roman;sans-serif"/>
          <w:b w:val="false"/>
          <w:color w:val="000000"/>
          <w:sz w:val="20"/>
        </w:rPr>
        <w:t xml:space="preserve">Each issuer negotiates directly with the merchant for acceptance, so other issuers’ virtual cards are not interchangeable. This network is managed with proprietary technology that allows us to continuously expand Virtual Card acceptance and optimize the amount of spend we can capture. The scale of this network, coupled with an in-house vendor enrollment service, is a competitive advantage. Our ERP integrations, API capabilities, strategic vendor enrollment, and transaction management tools enable us to optimize our customers’ electronic payables programs.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Virtual Card solution operates solely on the Mastercard network. Our customers’ ERP systems are directly integrated with our issuing system, and merchants must be enrolled in our proprietary vendor network to accept our Virtual Card solution. This two-sided transaction, where both payor and receiver are in our network, provides substantial payment security relative to paper checks or ACH. </w:t>
      </w:r>
    </w:p>
    <w:p>
      <w:pPr>
        <w:pStyle w:val="TextBody"/>
        <w:bidi w:val="0"/>
        <w:spacing w:lineRule="auto" w:line="256" w:before="180" w:after="283"/>
        <w:jc w:val="left"/>
        <w:rPr/>
      </w:pPr>
      <w:r>
        <w:rPr>
          <w:rFonts w:ascii="Times New Roman;sans-serif" w:hAnsi="Times New Roman;sans-serif"/>
          <w:b/>
          <w:i/>
          <w:color w:val="000000"/>
          <w:sz w:val="20"/>
        </w:rPr>
        <w:t>Cross-Border</w:t>
      </w:r>
      <w:r>
        <w:rPr>
          <w:color w:val="000000"/>
        </w:rPr>
        <w:t xml:space="preserve"> – </w:t>
      </w:r>
      <w:r>
        <w:rPr>
          <w:rFonts w:ascii="Times New Roman;sans-serif" w:hAnsi="Times New Roman;sans-serif"/>
          <w:b w:val="false"/>
          <w:color w:val="000000"/>
          <w:sz w:val="20"/>
        </w:rPr>
        <w:t xml:space="preserve">Our Cross-Border solution is used by our customers to pay international vendors, foreign office and personnel expenses and for profit repatriation and dividends. We also offer hedging and risk management services to customers, which helps them manage the impact of volatile exchange rates in the course of doing business internationally. This solution may be sold in conjunction with our AP Automation and Virtual Card solutions.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pPr>
      <w:r>
        <w:rPr>
          <w:rFonts w:ascii="Times New Roman;sans-serif" w:hAnsi="Times New Roman;sans-serif"/>
          <w:b w:val="false"/>
          <w:color w:val="000000"/>
          <w:sz w:val="20"/>
        </w:rPr>
        <w:t>Trade settlement and payment delivery is facilitated through a global network of correspondent banks, in-country payment gateways and technology providers, enabling us to send payments to recipients in over 200 countries and 145 currencies. Our customers rely on us to deliver personalized service and customer solutions. We offer a proprietary trading and payments platform that we can "white label" for financial institutions looking to expand their cross-border payment capability, as well as a suite of API products that enables us to embed our full capability directly within the technology of both customers and partners. By utilizing transaction monitoring and watch list screening systems, we ensure payments are safe, secure, and meet all applicable regulatory requirements.</w:t>
      </w:r>
      <w:r>
        <w:rPr>
          <w:color w:val="000000"/>
        </w:rPr>
        <w:t xml:space="preserve"> </w:t>
      </w:r>
    </w:p>
    <w:p>
      <w:pPr>
        <w:pStyle w:val="TextBody"/>
        <w:bidi w:val="0"/>
        <w:spacing w:lineRule="auto" w:line="256" w:before="180" w:after="283"/>
        <w:jc w:val="left"/>
        <w:rPr/>
      </w:pPr>
      <w:r>
        <w:rPr>
          <w:rFonts w:ascii="Times New Roman;sans-serif" w:hAnsi="Times New Roman;sans-serif"/>
          <w:b/>
          <w:i/>
          <w:color w:val="000000"/>
          <w:sz w:val="20"/>
        </w:rPr>
        <w:t xml:space="preserve">Purchasing and T&amp;E Cards </w:t>
      </w:r>
      <w:r>
        <w:rPr>
          <w:color w:val="000000"/>
        </w:rPr>
        <w:t xml:space="preserve">– </w:t>
      </w:r>
      <w:r>
        <w:rPr>
          <w:rFonts w:ascii="Times New Roman;sans-serif" w:hAnsi="Times New Roman;sans-serif"/>
          <w:b w:val="false"/>
          <w:color w:val="000000"/>
          <w:sz w:val="20"/>
        </w:rPr>
        <w:t>We also offer purchasing cards and travel &amp; entertainment (T&amp;E) solutions to our customers. These solutions are generally sold in conjunction with our Virtual Card or AP Automation offerings. Additionally, we provide technology, which combines and leverages transaction data captured from our virtual, purchasing, and T&amp;E card products, to help our customers analyze and manage their corporate spending.</w:t>
      </w:r>
      <w:r>
        <w:rPr>
          <w:color w:val="FF0000"/>
        </w:rPr>
        <w:t xml:space="preserve"> </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Lodging Payments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Lodging Payments solutions help businesses manage and control their lodging costs while simplifying the management offerings from hotels or longer term housing arrangements and also providing traveler and end customer support. We serve lodging customers through three primary verticals: workforce, airlines and insurance. We offer lodging solutions to businesses primarily in North America and the U.K. that have employees who travel overnight for work purposes, to airlines and cruise lines globally to accommodate both their traveling crews and stranded passengers and to policyholders displaced from their homes due to damage or catastrophe on behalf of property insurance carriers.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size, scale, and nature of our lodging customer base enables us to negotiate lodging nightly rates lower than the rates most companies could negotiate directly and far below the rates available to the general public. We utilize both proprietary and third-party networks where we provide access to deeply discounted hotel rooms with streamlined travel management programs, providing enhanced controls and reporting, audit and tax management services. We also can secure hotel rooms outside our proprietary networks in each of our solutions, or private homes in our insurance vertical. We use proprietary data management and payment processing systems to manage customer billings and reports, which, combined with our discounted hotel network, provide customers with potential savings and increased visibility into their lodging costs. </w:t>
      </w:r>
    </w:p>
    <w:p>
      <w:pPr>
        <w:pStyle w:val="TextBody"/>
        <w:bidi w:val="0"/>
        <w:spacing w:lineRule="auto" w:line="256" w:before="180" w:after="283"/>
        <w:jc w:val="left"/>
        <w:rPr/>
      </w:pPr>
      <w:r>
        <w:rPr>
          <w:rFonts w:ascii="Times New Roman;sans-serif" w:hAnsi="Times New Roman;sans-serif"/>
          <w:b/>
          <w:i/>
          <w:color w:val="000000"/>
          <w:sz w:val="20"/>
        </w:rPr>
        <w:t xml:space="preserve">Workforce </w:t>
      </w:r>
      <w:r>
        <w:rPr>
          <w:color w:val="000000"/>
        </w:rPr>
        <w:t xml:space="preserve">– </w:t>
      </w:r>
      <w:r>
        <w:rPr>
          <w:rFonts w:ascii="Times New Roman;sans-serif" w:hAnsi="Times New Roman;sans-serif"/>
          <w:b w:val="false"/>
          <w:color w:val="000000"/>
          <w:sz w:val="20"/>
        </w:rPr>
        <w:t xml:space="preserve">Our Workforce Lodging solutions provide a comprehensive solution for business travel programs of any size and business profile, with the ability to scale to the needs of the customer. Our solution allows customers to find and book lodging in minutes online, via app, directly with the hotel or by calling us. We provide full-service lodging management for project-based travelers and long-term stay programs. Our solution provides customers options, controls and insights they need to streamline their corporate lodging program and optimize their investment in travel. </w:t>
      </w:r>
    </w:p>
    <w:p>
      <w:pPr>
        <w:pStyle w:val="TextBody"/>
        <w:bidi w:val="0"/>
        <w:spacing w:lineRule="auto" w:line="256" w:before="180" w:after="283"/>
        <w:jc w:val="left"/>
        <w:rPr/>
      </w:pPr>
      <w:r>
        <w:rPr>
          <w:rFonts w:ascii="Times New Roman;sans-serif" w:hAnsi="Times New Roman;sans-serif"/>
          <w:b/>
          <w:i/>
          <w:color w:val="000000"/>
          <w:sz w:val="20"/>
        </w:rPr>
        <w:t xml:space="preserve">Airlines </w:t>
      </w:r>
      <w:r>
        <w:rPr>
          <w:color w:val="000000"/>
        </w:rPr>
        <w:t>–</w:t>
      </w:r>
      <w:r>
        <w:rPr>
          <w:rFonts w:ascii="Times New Roman;sans-serif" w:hAnsi="Times New Roman;sans-serif"/>
          <w:b w:val="false"/>
          <w:color w:val="000000"/>
          <w:sz w:val="20"/>
        </w:rPr>
        <w:t xml:space="preserve">The integration of our processing systems with airline logistics and crew management systems enables us to deliver incremental enhanced services to the airline travel industry. We offer end-to-end automation of the crew layover process, providing cost-saving hotel and transport bookings. We also have a proactive disruption system managing flight rebookings, hotels, meals, compensation, and transportation for distressed passengers, which delivers a notification directly to the affected passenger to self-service based on their individual requirements. With an all-in-one platform, airlines can access automated web-based billing and continual transaction auditing that's tied to their operational data to increase billing accuracy. </w:t>
      </w:r>
    </w:p>
    <w:p>
      <w:pPr>
        <w:pStyle w:val="TextBody"/>
        <w:bidi w:val="0"/>
        <w:spacing w:lineRule="auto" w:line="256" w:before="180" w:after="283"/>
        <w:jc w:val="left"/>
        <w:rPr/>
      </w:pPr>
      <w:r>
        <w:rPr>
          <w:rFonts w:ascii="Times New Roman;sans-serif" w:hAnsi="Times New Roman;sans-serif"/>
          <w:b/>
          <w:i/>
          <w:color w:val="000000"/>
          <w:sz w:val="20"/>
        </w:rPr>
        <w:t xml:space="preserve">Insurance </w:t>
      </w:r>
      <w:r>
        <w:rPr>
          <w:color w:val="000000"/>
        </w:rPr>
        <w:t xml:space="preserve">– </w:t>
      </w:r>
      <w:r>
        <w:rPr>
          <w:rFonts w:ascii="Times New Roman;sans-serif" w:hAnsi="Times New Roman;sans-serif"/>
          <w:b w:val="false"/>
          <w:color w:val="000000"/>
          <w:sz w:val="20"/>
        </w:rPr>
        <w:t xml:space="preserve">We provide temporary housing solutions for displaced policyholders of insurance carriers and catastrophe teams, serving at the request and approval of the insurance adjuster, delivering a seamless housing experience. We partner with claims adjusters to determine the best housing solution for policyholders, including extended stay hotels and long-term housing, providing policyholders a mobile app to manage their temporary housing and receipts. </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FLEETCOR provides other payments solutions that are not considered within our Vehicle Payments, Corporate Payments, or Lodging Payments segments.</w:t>
      </w:r>
    </w:p>
    <w:p>
      <w:pPr>
        <w:pStyle w:val="TextBody"/>
        <w:bidi w:val="0"/>
        <w:spacing w:lineRule="auto" w:line="256" w:before="180" w:after="283"/>
        <w:jc w:val="left"/>
        <w:rPr/>
      </w:pPr>
      <w:r>
        <w:rPr>
          <w:rFonts w:ascii="Times New Roman;sans-serif" w:hAnsi="Times New Roman;sans-serif"/>
          <w:b/>
          <w:i/>
          <w:color w:val="000000"/>
          <w:sz w:val="20"/>
        </w:rPr>
        <w:t xml:space="preserve">Gift </w:t>
      </w:r>
      <w:r>
        <w:rPr>
          <w:color w:val="000000"/>
        </w:rPr>
        <w:t xml:space="preserve">– </w:t>
      </w:r>
      <w:r>
        <w:rPr>
          <w:rFonts w:ascii="Times New Roman;sans-serif" w:hAnsi="Times New Roman;sans-serif"/>
          <w:b w:val="false"/>
          <w:color w:val="000000"/>
          <w:sz w:val="20"/>
        </w:rPr>
        <w:t xml:space="preserve">We provide fully integrated gift card program management and processing services to retailers in 64 countries, in both plastic and digital form. The gift cards are issued specifically for each customer under their specific brands and are generally accepted exclusively within their retail network, digitally or in-person.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Gift solutions include card design, production and packaging, delivery and fulfillment, card and account management, transaction processing, promotion development and management, website design and hosting, program analytics and card distribution channel management. Our turnkey solution benefits our customers in the form of brand promotion, cardholder loyalty, increased sales, interest on prepaid balances and breakage on abandoned card balances.</w:t>
      </w:r>
    </w:p>
    <w:p>
      <w:pPr>
        <w:pStyle w:val="TextBody"/>
        <w:bidi w:val="0"/>
        <w:spacing w:lineRule="auto" w:line="256" w:before="180" w:after="283"/>
        <w:jc w:val="left"/>
        <w:rPr/>
      </w:pPr>
      <w:r>
        <w:rPr>
          <w:rFonts w:ascii="Times New Roman;sans-serif" w:hAnsi="Times New Roman;sans-serif"/>
          <w:b/>
          <w:i/>
          <w:color w:val="000000"/>
          <w:sz w:val="20"/>
        </w:rPr>
        <w:t xml:space="preserve">Payroll Card </w:t>
      </w:r>
      <w:r>
        <w:rPr>
          <w:color w:val="000000"/>
        </w:rPr>
        <w:t xml:space="preserve">– </w:t>
      </w:r>
      <w:r>
        <w:rPr>
          <w:rFonts w:ascii="Times New Roman;sans-serif" w:hAnsi="Times New Roman;sans-serif"/>
          <w:b w:val="false"/>
          <w:color w:val="000000"/>
          <w:sz w:val="20"/>
        </w:rPr>
        <w:t xml:space="preserve">We offer a Payroll Card solution in North America in the form of a reloadable stored value card, that can be used instead of a paper payroll check. Our solution operates on the Mastercard payment network and the Allpoint ATM network. The payroll cards are issued to our customers’ employees and funded by the employees’ wages. As cardholders, the employees may present the payroll card as a form of payment for personal purchases, transfer funds to their bank account or withdraw funds from participating ATMs.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pPr>
      <w:r>
        <w:rPr>
          <w:rFonts w:ascii="Times New Roman;sans-serif" w:hAnsi="Times New Roman;sans-serif"/>
          <w:b/>
          <w:color w:val="000000"/>
          <w:sz w:val="20"/>
        </w:rPr>
        <w:t>Sales and Distribution</w:t>
      </w:r>
      <w:r>
        <w:rPr>
          <w:color w:val="000000"/>
        </w:rPr>
        <w:t xml:space="preserve">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actively market and sell our solutions to current and prospective customers leveraging a multi-channel approach. This go-to-market strategy includes comprehensive digital channels, direct sales forces and strategic partner relationships. We continue to expand online, end-to-end capability where the customers can buy, onboard and manage their accounts on their own. In addition, we leverage an omni-channel approach that enables our sales people to be more efficient by improving their prospecting efforts through digitally sourced leads. In our direct sales force channel, we acquire and manage the customer relationship, which has historically been either in-person or via telesales. Our capabilities are also offered through indirect sales channels (e.g., major oil companies and fuel marketers for fuel, and retail establishments for tolls) and on a branded or “white label” basis, indirectly through a broad range of resellers and partners across most of our solutions. In doing so, we leverage their sales networks to expand our reach into new customer segments, new industry verticals, and new geographies faster and at a significantly lower cost.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our tolls solution, we also place proprietary manned kiosks and unmanned vending machines in areas with high consumer foot traffic, such as shopping malls, to reach consumers. With respect to our gift solutions, third-party distribution is generally provided by other companies, who are reliant on access to our systems to meet their distribution obligations.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capitalize on our products’ specialization by deploying product-dedicated sales forces to target specific customer segments. As our solution set has expanded, we are also facilitating cross-selling and bundled product offerings to fully leverage our distribution capabilities, capture more spend and revenue from our existing customer base, and deliver more value to customers which should improve customer loyalty and retention.</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Credit Underwriting and Collections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perform a detailed application review of all new applications for credit, evaluating the applications for fraud as well as credit risk. With both the fraud and credit review we leverage third-party data sources, including device data, fraud scores and credit bureau data to name a few. The credit review includes a combination of Machine Learning models, as well as judgmental underwriting based on customer financials. We employ a variety of tools to manage risk in our portfolio, including billing frequency, payment terms, spending limits, payment methods, delinquency suspension and security. Further, we use fraud detection programs, including proprietary and third-party solutions, to monitor transactions and prevent misuse. We monitor the credit quality of our portfolio periodically utilizing external credit scores and internal behavior data to identify high risk or deteriorating credit quality accounts and control our risk through various strategies. We conduct targeted strategies to minimize exposure to high-risk accounts, including reducing spending limits and payment terms or requiring additional security deposits.</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competition is from financial institutions providing a full suite of financial products, including general purpose cards, AP payments (i.e. check and ACH), and foreign exchange (FX) solutions. We also compete with specialized competitive offerings from other companies that vary by product solution.</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color w:val="000000"/>
          <w:sz w:val="20"/>
        </w:rPr>
        <w:t xml:space="preserve">Vehicle Payments: Our fuel solutions compete with similar offerings such as, WEX, U.S. Bank Voyager Fleet Systems, Edenred, Sodexo, Alelo, Radius Payment Solutions and DKV. Our toll solutions compete with similar offerings such as, ConectCar, Veloe (Alelo), and Repom (Edenred). Our parking solutions compete with similar offerings such as ParkMobile, ParkHub, Parking BOXX and FLASH. </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color w:val="000000"/>
          <w:sz w:val="20"/>
        </w:rPr>
        <w:t xml:space="preserve">Corporate Payments: Our corporate payments solutions compete with similar offerings from financial institutions, such as, American Express, Coupa, AvidXchange, Bill.com and Convera. </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color w:val="000000"/>
          <w:sz w:val="20"/>
        </w:rPr>
        <w:t>Lodging Payments: Our lodging solutions compete with similar offerings from traditional travel management companies such as, American Express Global Business Travel, as well as in-house travel solutions at large corporations and airlines.</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color w:val="000000"/>
          <w:sz w:val="20"/>
        </w:rPr>
        <w:t>Other; Our gift and payroll card solutions compete with similar offerings from Fiserv, other special-purpose card issuers, and payroll companies.</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Competitive Advantage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executing our strategy, we are advantaged by leveraging our competitive strengths:</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i/>
          <w:color w:val="000000"/>
          <w:sz w:val="20"/>
        </w:rPr>
        <w:t>Global Scale</w:t>
      </w:r>
      <w:r>
        <w:rPr>
          <w:color w:val="000000"/>
        </w:rPr>
        <w:t xml:space="preserve"> – </w:t>
      </w:r>
      <w:r>
        <w:rPr>
          <w:rFonts w:ascii="Times New Roman;sans-serif" w:hAnsi="Times New Roman;sans-serif"/>
          <w:b w:val="false"/>
          <w:color w:val="000000"/>
          <w:sz w:val="20"/>
        </w:rPr>
        <w:t>We have strong market positions across four continents. This enables us to provide new offerings with better cost economics, sell complementary products, acquire attractive assets that can leverage existing infrastructure and cost synergies, and introduce successful products and practices from other markets.</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i/>
          <w:color w:val="000000"/>
          <w:sz w:val="20"/>
        </w:rPr>
        <w:t>Compounding Growth Model</w:t>
      </w:r>
      <w:r>
        <w:rPr>
          <w:color w:val="000000"/>
        </w:rPr>
        <w:t xml:space="preserve"> – </w:t>
      </w:r>
      <w:r>
        <w:rPr>
          <w:rFonts w:ascii="Times New Roman;sans-serif" w:hAnsi="Times New Roman;sans-serif"/>
          <w:b w:val="false"/>
          <w:color w:val="000000"/>
          <w:sz w:val="20"/>
        </w:rPr>
        <w:t xml:space="preserve">Our growth model historically benefits from strong revenue retention, organic growth from new customer acquisitions and selling more value-added products to current customers, via developed and acquired payment solutions. </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i/>
          <w:color w:val="000000"/>
          <w:sz w:val="20"/>
        </w:rPr>
        <w:t>Proprietary Networks</w:t>
      </w:r>
      <w:r>
        <w:rPr>
          <w:color w:val="000000"/>
        </w:rPr>
        <w:t xml:space="preserve"> – </w:t>
      </w:r>
      <w:r>
        <w:rPr>
          <w:rFonts w:ascii="Times New Roman;sans-serif" w:hAnsi="Times New Roman;sans-serif"/>
          <w:b w:val="false"/>
          <w:color w:val="000000"/>
          <w:sz w:val="20"/>
        </w:rPr>
        <w:t>Our specialized proprietary networks allow for unique data capture at the point of sale, providing an incremental value proposition to our customers. These proprietary networks also provide us with advantageous economics by providing attractive, captive spend to the merchant base.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i/>
          <w:color w:val="000000"/>
          <w:sz w:val="20"/>
        </w:rPr>
        <w:t>Scalable Technology</w:t>
      </w:r>
      <w:r>
        <w:rPr>
          <w:color w:val="000000"/>
        </w:rPr>
        <w:t xml:space="preserve"> – </w:t>
      </w:r>
      <w:r>
        <w:rPr>
          <w:rFonts w:ascii="Times New Roman;sans-serif" w:hAnsi="Times New Roman;sans-serif"/>
          <w:b w:val="false"/>
          <w:color w:val="000000"/>
          <w:sz w:val="20"/>
        </w:rPr>
        <w:t>Our easy-to-use platforms provide control and functionality for our customers, and we can on-board incremental customer volume with very limited need for additional infrastructure. We own and control all the critical components to our offering, creating improved speed to market and proprietary feature functionality in the marketplace.</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i/>
          <w:color w:val="000000"/>
          <w:sz w:val="20"/>
        </w:rPr>
        <w:t>Diversification</w:t>
      </w:r>
      <w:r>
        <w:rPr>
          <w:color w:val="000000"/>
        </w:rPr>
        <w:t xml:space="preserve"> – </w:t>
      </w:r>
      <w:r>
        <w:rPr>
          <w:rFonts w:ascii="Times New Roman;sans-serif" w:hAnsi="Times New Roman;sans-serif"/>
          <w:b w:val="false"/>
          <w:color w:val="000000"/>
          <w:sz w:val="20"/>
        </w:rPr>
        <w:t xml:space="preserve">Our solutions and geographic diversification are designed to provide stability through the “portfolio effect” when one geography or business is underperforming relative to the others. This allows FLEETCOR to deliver more consistent financial performance relative to competitors, continue to invest throughout business cycles and reallocate resources to higher performing businesses. </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Technology</w:t>
      </w:r>
    </w:p>
    <w:p>
      <w:pPr>
        <w:pStyle w:val="TextBody"/>
        <w:bidi w:val="0"/>
        <w:spacing w:lineRule="auto" w:line="256" w:before="180" w:after="283"/>
        <w:jc w:val="left"/>
        <w:rPr/>
      </w:pPr>
      <w:r>
        <w:rPr>
          <w:rFonts w:ascii="Times New Roman;sans-serif" w:hAnsi="Times New Roman;sans-serif"/>
          <w:b w:val="false"/>
          <w:color w:val="000000"/>
          <w:sz w:val="20"/>
        </w:rPr>
        <w:t>Our technology provides continuous authorization of transactions, processing of critical account and customer information, and settlement between merchants, issuing companies, and individual commercial entities. We recognize the importance of state-of-the-art, secure, efficient, and reliable technology in our business and have made significant investments in our applications and infrastructure. In 2023, we spent appro</w:t>
      </w:r>
      <w:r>
        <w:rPr>
          <w:rFonts w:ascii="Times New Roman;sans-serif" w:hAnsi="Times New Roman;sans-serif"/>
          <w:b w:val="false"/>
          <w:color w:val="000000"/>
          <w:sz w:val="20"/>
          <w:shd w:fill="FFFFFF" w:val="clear"/>
        </w:rPr>
        <w:t>ximat</w:t>
      </w:r>
      <w:r>
        <w:rPr>
          <w:rFonts w:ascii="Times New Roman;sans-serif" w:hAnsi="Times New Roman;sans-serif"/>
          <w:b w:val="false"/>
          <w:color w:val="000000"/>
          <w:sz w:val="20"/>
        </w:rPr>
        <w:t>ely $370 million i</w:t>
      </w:r>
      <w:r>
        <w:rPr>
          <w:rFonts w:ascii="Times New Roman;sans-serif" w:hAnsi="Times New Roman;sans-serif"/>
          <w:b w:val="false"/>
          <w:color w:val="000000"/>
          <w:sz w:val="20"/>
          <w:shd w:fill="FFFFFF" w:val="clear"/>
        </w:rPr>
        <w:t>n capital a</w:t>
      </w:r>
      <w:r>
        <w:rPr>
          <w:rFonts w:ascii="Times New Roman;sans-serif" w:hAnsi="Times New Roman;sans-serif"/>
          <w:b w:val="false"/>
          <w:color w:val="000000"/>
          <w:sz w:val="20"/>
        </w:rPr>
        <w:t xml:space="preserve">nd operating expenses to operate, protect, and enhance our technology.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operate several proprietary processing systems that provide features and functionality to run our card programs and solutions, including our card issuing, processing, and information services. Our processing systems also integrate with our proprietary networks, which provide brand awareness and connectivity to our acceptance locations that enables the “end-to-end” card acceptance, data capture, and transaction authorization capabilities of our card programs. Our proprietary processing systems and aggregation software are tailored to meet the unique needs of the individual markets they serve and enable us to create and deliver solutions that serve each of our industry verticals and geographies. Our technology platforms are comprised of four key components, which were primarily developed and are maintained in-house: (1) a core processing platform; (2) specialized software; (3) integrated network capabilities; and (4) a cloud-based architecture with proprietary APIs.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technology function is based in the U.S., Europe and Brazil and has expertise in the management of applications, transaction networks and infrastructure. We operate application development centers in the U.S., U.K., Netherlands, Czech Republic, Brazil and New Zealand. Our distributed application architecture allows us to maintain, administer and innovate our solutions in a cost-effective and flexible manner. Our purpose-built solutions contain significant intellectual property that differentiates us from our competition.</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continually seek to modernize and evolve our technology solutions through our core IT transformation initiatives. Our IT transformation initiatives are focused on three main pillars: (1) digital strategy; (2) core systems modernization; and (3) data. Our digital strategy is focused on streamlining a digital customer experience across all of our solutions, providing a seamless experience. Additionally, we are investing in modernizing our core transactional systems to make them more resilient, secure, and scalable. Our technology infrastructure is supported by highly-secure data centers, with redundant locations. We operate our primary data centers, located in Atlanta, Georgia; Studley, United Kingdom; Prague, Czech Republic; Las Vegas, Nevada; Lexington and Louisville, Kentucky; São Paulo, Brazil; and Toronto, Canada.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as we develop new solutions and modernize legacy assets, we increasingly leverage cloud services. Through the use of cloud technology and microservices, we are able to modernize our platforms with no disruption to our customers. Finally, data is becoming an ever-increasing part of how the Company and its customers do business. We are focused on investing in our data assets to deliver value for our customers through improved insights to help them to better control expenses and mitigate fraud. The use of cloud services provides us with increased flexibility and agility. We use only proven technology and expect no foreseeable capacity limitations. </w:t>
      </w:r>
    </w:p>
    <w:p>
      <w:pPr>
        <w:pStyle w:val="TextBody"/>
        <w:bidi w:val="0"/>
        <w:spacing w:lineRule="auto" w:line="256" w:before="180" w:after="283"/>
        <w:jc w:val="left"/>
        <w:rPr/>
      </w:pPr>
      <w:r>
        <w:rPr>
          <w:rFonts w:ascii="Times New Roman;sans-serif" w:hAnsi="Times New Roman;sans-serif"/>
          <w:b w:val="false"/>
          <w:color w:val="000000"/>
          <w:sz w:val="20"/>
        </w:rPr>
        <w:t>We maintain disaster recovery and business continuity plans, which benefited us during the COVID-19 pandemic and continue to benefit us. Our telecommunications and internet systems have multiple levels of redundancy to ensure the reliability of network service. In 2023, we achieved ove</w:t>
      </w:r>
      <w:r>
        <w:rPr>
          <w:rFonts w:ascii="Times New Roman;sans-serif" w:hAnsi="Times New Roman;sans-serif"/>
          <w:b w:val="false"/>
          <w:color w:val="000000"/>
          <w:sz w:val="20"/>
          <w:shd w:fill="FFFFFF" w:val="clear"/>
        </w:rPr>
        <w:t>r 99.9% up-</w:t>
      </w:r>
      <w:r>
        <w:rPr>
          <w:rFonts w:ascii="Times New Roman;sans-serif" w:hAnsi="Times New Roman;sans-serif"/>
          <w:b w:val="false"/>
          <w:color w:val="000000"/>
          <w:sz w:val="20"/>
        </w:rPr>
        <w:t>time for authorizations globally.</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Safeguarding Our Business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provide our services, we may collect, use and store sensitive business information and personal information. Some of this information is also processed and stored by financial institutions, merchants, and other entities, as well as third-party service providers to whom we outsource certain functions and other agents, which we refer to collectively as, our associated third parties. We may have responsibility to the card networks, financial institutions, and in some instances, our customers, and/or individuals, for our failure or the failure of our associated third parties (as applicable) to protect this information.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systems align with industry standards for security, with multiple industry certifications. Our network is configured with multiple layers of security to isolate our core systems from unauthorized access. We use secure communication among applications, and our employees access critical components strictly on a "need-to-know" basis. We may not be able to adequately protect our systems or the data we collect from continually evolving cybersecurity risks or other technological risks, which could subject us to liability and damage our reputation. See also, "Risks related to information technology and security" under Item 1A for further discussion of the risks we face in connection with our technology systems and potential data breach and cybersecurity risks facing the Company. Also, see Item 1C Cybersecurity for further discussion of the Company's risk management strategy and governance.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Regulatory</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substantial number of laws and regulations, both in the U.S. and in other jurisdictions, apply to businesses offering payment products to customers, processing payments and servicing related accounts, or operating payment networks. These laws and regulations are often evolving and sometimes ambiguous or inconsistent, and the extent to which they apply to us is at times unclear. Failure to comply with regulations may result in the suspension or revocation of licenses or registrations, the limitation, suspension, or termination of services or relationships with our bank partners and sponsors and business and sales partners, and/or the imposition of civil and criminal penalties, including fines. Certain of our solutions are also subject to rules set by various payment networks, such as Mastercard, as more fully described below.</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while not exhaustive, is a description of several federal and state laws and regulations in the U.S., as well as foreign laws and regulations, that are applicable to our business, and therefore can materially affect our capital expenditures, earnings, and competitive position. In addition, the legal and regulatory framework governing our business is subject to ongoing revision, and changes in that framework could have a significant effect on us.</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Money Transmission and Payment Instrument Licensing Regulations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U.S. laws and regulations governing money transmission and the issuance and sale of payment instruments. In the U.S., most states license money transmitters and issuers of payment instruments. Through our subsidiaries, we are licensed in all states where required for business. Many states exercise authority over the operations related to money transmission and payment instruments and, as part of this authority, subject us to periodic examinations, which may include a review of our compliance practices, policies and procedures, financial position and related records, privacy and data security policies and procedures, and other matters related to our business. As a result of these periodic examinations, state agencies sometimes issue us findings and recommendations, prompting us to make changes to our operations, and procedures.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a licensee, we are subject to certain restrictions and requirements, including net worth and surety bond requirements, record keeping and reporting requirements, requirements for regulatory approval of controlling stockholders or direct and indirect changes of control of the licensee and certain other corporate events, and requirements to maintain certain levels of permissible investments in an amount equal to our outstanding payment obligations. Many states as well as the Financial Crimes Enforcement Network of the U.S. Department of the Treasury (FinCEN) also require money transmitters and issuers of payment instruments to comply with federal and state anti-money laundering laws (AML) and regulations. See “Anti-Money Laundering, Counter Terrorist, and Sanctions Regulations.”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Recently, a number of state legislatures have adopted all or parts of a new money transmission and sales of payment instruments model law, the Money Transmission Modernization Act. State laws regarding money transmission and sales of payment instruments requirements may continue to change in the future. Additionally, government agencies may impose new or additional requirements on money transmission and sales of payment instruments. We expect that compliance costs will increase in the future for our regulated subsidiaries.</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Privacy and Information Security Laws and Regulations</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services that are subject to various state, federal, and foreign privacy and information security laws and regulations including, among others, the Gramm-Leach-Bliley Act, the EU’s General Data Protection Regulation (GDPR) and its Network and Information Security (NIS) Directive, the U.K.'s GDPR and NIS Regulations, Canada’s Personal Information Protection and Electronic Documents Act, Brazil’s General Data Protection Law, and China's Personal Information Protection Law. In the U.S., we are now subject to several comprehensive data privacy laws at the state level, including the California Consumer Privacy Act, as amended by the California Privacy Rights Act, the Virginia Consumer Data Protection Act, the Colorado Privacy Act (effective July 1, 2023), the Connecticut Data Privacy Act (effective July 1, 2023), and the Utah Consumer Privacy Act (effective December 31, 2023). We are also subject to the separate security breach notification laws of each of the 50 states, and the District of Columbia. Some non-U.S. data protection laws, including in the U.K., EU., and China, impose restrictions on the international transfer of personal data absent lawfully recognized transfer mechanisms or, in some cases, prohibit such transfer completely. Going forward, we will likely be subject to new and evolving data privacy laws in the U.S. and abroad, which could result in additional costs of compliance, enforcement actions, regulatory investigations and fines, individual or class action litigation, or reputational harm.</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and similar laws and their related regulations collectively restrict certain collection, processing, storage, use, and disclosure of personal information, require notice to individuals of privacy practices, and provide individuals with certain rights to prevent use and disclosure of protected information. Some also impose requirements for the safeguarding and proper destruction of personal information through the issuance of data security standards or guidelines. In many cases they impose obligations to notify affected individuals, state officers or other governmental authorities, the media, and consumer reporting agencies, as well as businesses and governmental agencies, of security breaches affecting personal information. In addition, some restrict the ability to collect and utilize certain types of information such as Social Security and driver’s license numbers. These laws and regulations are complex and evolving, and can provide for significant penalties for non-compliance. We incur and expect to continue to incur significant and ongoing operating costs as part of our efforts to comply with applicable laws and regulations regarding personal information. These efforts also may divert management and employee attention from other business initiatives.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products that access payment networks require compliance with Payment Card Industry (PCI) data security standards. See “Payment Card Industry Rules.”</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Email and Text Marketing Laws and Regulations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email marketing and text-messaging to reach out to current or potential customers and therefore are subject to various statutes, regulations, and rulings, including the Telephone Consumer Protection Act (TCPA), the Controlling the Assault of Non-Solicited Pornography and Marketing Act (CAN-SPAM Act) and related Federal Communication Commission (FCC) orders. Several states have enacted additional, more restrictive and punitive laws regulating telemarketing and commercial email. Foreign legislation exists as well, including Canada’s Anti-Spam Legislation and the European laws that have been enacted pursuant to European Union Directive 2002/58/EC and its amendments. Although we believe that our telemarketing and email practices comply with the relevant regulatory requirements, violations could result in enforcement actions, statutory fines and penalties, class action litigation and reputational harm. </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Unfair or Deceptive Business Practices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All persons engaged in commerce, including, but not limited to, us and our bank sponsors and customers, are subject to regulatory enforcement by the FTC, under Section 5 of the Federal Trade Commission Act, and state attorneys general, under various consumer-protection statutes, prohibiting unfair or deceptive acts or practices, and certain products also are subject to the jurisdiction of the Consumer Financial Protection Bureau (CFPB) regarding the prohibition of unfair, deceptive, or abusive acts and practices. As a service provider to certain of our bank sponsors, we may further be subject to direct supervision and examination by federal banking regulators in connection with certain of our products and services, which may increase our compliance costs. If we are accused of violating any of these laws, rules and regulations, we may be subject to enforcement actions and as a result, may incur losses and liabilities that may impact our business.</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Lending Regulations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several laws and related regulations governing the provision and administration of credit. The Truth in Lending Act (TILA) was enacted as a consumer protection measure to increase consumer awareness of the cost of credit and to protect consumers from unauthorized charges or billing errors, and is implemented by the CFPB’s Regulation Z. Most provisions of TILA and Regulation Z apply only to the extension of consumer credit, but a limited number of provisions apply to commercial cards as well. One example where TILA and Regulation Z are generally applicable is a limitation on liability for unauthorized use, although a business that acquires 10 or more credit cards for its personnel can agree to more expansive liability. Our cardholder agreements generally provide that these business customers waive, to the fullest extent possible, all limitations on liability for unauthorized card use. The Equal Credit Opportunity Act (ECOA) together with Regulation B prohibit creditors from discriminating on certain prohibited bases, such as an applicant’s sex, race, nationality, age and marital status, and further requires that creditors disclose the reasons for taking any adverse action against an applicant or a customer seeking credit. The Fair Credit Reporting Act (FCRA) regulates consumer reporting agencies and the disclosure and use of consumer reports. We obtain consumer reports with respect to an individual who guarantees or otherwise is obligated on a commercial card. The Fair and Accurate Credit Transactions Act of 2003 amended FCRA and requires creditors to adopt identity theft prevention programs to detect, prevent and mitigate identity theft in connection with covered accounts, which can include business accounts for which there is a reasonably foreseeable risk of identity theft.</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Anti-Money Laundering, Counter Terrorist, and Sanctions Regulations</w:t>
      </w:r>
    </w:p>
    <w:p>
      <w:pPr>
        <w:pStyle w:val="TextBody"/>
        <w:bidi w:val="0"/>
        <w:spacing w:lineRule="auto" w:line="256"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Currency and Foreign Transactions Reporting Act, which is also known as the Bank Secrecy Act (BSA) and which has been amended by the USA PATRIOT Act of 2001, contains a variety of provisions aimed at fighting terrorism and money laundering. Among other things, the BSA and related regulations issued by FinCEN require financial-services providers to establish AML programs, to prohibit the financing of terrorism, to report suspicious activity, and to maintain a number of related records. We are also subject to certain economic and trade sanctions programs that are administered by the U.S. Department of Treasury’s Office of Foreign Assets Control (OFAC) that prohibit or restrict transactions to or from or dealings with specified countries, their governments and, in certain circumstances, their nationals, narcotics traffickers, and terrorists or terrorist organizations. In addition to economic sanctions programs, we are also subject to a number of international laws and regulations focused on fighting terrorism and money laundering, including primarily:</w:t>
      </w:r>
    </w:p>
    <w:p>
      <w:pPr>
        <w:pStyle w:val="TextBody"/>
        <w:bidi w:val="0"/>
        <w:spacing w:lineRule="auto" w:line="256" w:before="120" w:after="60"/>
        <w:ind w:left="0" w:right="0" w:hanging="360"/>
        <w:jc w:val="left"/>
        <w:rPr/>
      </w:pPr>
      <w:r>
        <w:rPr>
          <w:color w:val="000000"/>
        </w:rPr>
        <w:t>•</w:t>
      </w:r>
      <w:r>
        <w:rPr>
          <w:rFonts w:ascii="Times New Roman;sans-serif" w:hAnsi="Times New Roman;sans-serif"/>
          <w:b w:val="false"/>
          <w:color w:val="000000"/>
          <w:sz w:val="20"/>
        </w:rPr>
        <w:t>in Canada, Proceeds of Crime (Money Laundering) and Terrorist Financing Act (PCMLTFA);</w:t>
      </w:r>
    </w:p>
    <w:p>
      <w:pPr>
        <w:pStyle w:val="TextBody"/>
        <w:bidi w:val="0"/>
        <w:spacing w:lineRule="auto" w:line="256" w:before="120" w:after="60"/>
        <w:ind w:left="0" w:right="0" w:hanging="360"/>
        <w:jc w:val="left"/>
        <w:rPr/>
      </w:pPr>
      <w:r>
        <w:rPr>
          <w:color w:val="000000"/>
        </w:rPr>
        <w:t>•</w:t>
      </w:r>
      <w:r>
        <w:rPr>
          <w:rFonts w:ascii="Times New Roman;sans-serif" w:hAnsi="Times New Roman;sans-serif"/>
          <w:b w:val="false"/>
          <w:color w:val="000000"/>
          <w:sz w:val="20"/>
        </w:rPr>
        <w:t>in Australia, as a registered remittance dealer with AUSTRAC, the Anti-Money Laundering and Counter-Terrorism Financing Act 2006 (AML/CTF Act);</w:t>
      </w:r>
    </w:p>
    <w:p>
      <w:pPr>
        <w:pStyle w:val="TextBody"/>
        <w:bidi w:val="0"/>
        <w:spacing w:lineRule="auto" w:line="256" w:before="120" w:after="60"/>
        <w:ind w:left="0" w:right="0" w:hanging="360"/>
        <w:jc w:val="left"/>
        <w:rPr/>
      </w:pPr>
      <w:r>
        <w:rPr>
          <w:color w:val="000000"/>
        </w:rPr>
        <w:t>•</w:t>
      </w:r>
      <w:r>
        <w:rPr>
          <w:rFonts w:ascii="Times New Roman;sans-serif" w:hAnsi="Times New Roman;sans-serif"/>
          <w:b w:val="false"/>
          <w:color w:val="000000"/>
          <w:sz w:val="20"/>
        </w:rPr>
        <w:t xml:space="preserve">in the U.K., as a registered Electronic Money Institution with the Financial Conduct Authority, the Proceeds of Crime Act, 2002, and the Terrorism Act 2000; </w:t>
      </w:r>
    </w:p>
    <w:p>
      <w:pPr>
        <w:pStyle w:val="TextBody"/>
        <w:bidi w:val="0"/>
        <w:spacing w:lineRule="auto" w:line="256" w:before="120" w:after="60"/>
        <w:ind w:left="0" w:right="0" w:hanging="360"/>
        <w:jc w:val="left"/>
        <w:rPr/>
      </w:pPr>
      <w:r>
        <w:rPr>
          <w:color w:val="000000"/>
        </w:rPr>
        <w:t>•</w:t>
      </w:r>
      <w:r>
        <w:rPr>
          <w:rFonts w:ascii="Times New Roman;sans-serif" w:hAnsi="Times New Roman;sans-serif"/>
          <w:b w:val="false"/>
          <w:color w:val="000000"/>
          <w:sz w:val="20"/>
        </w:rPr>
        <w:t xml:space="preserve">in Ireland, the Criminal Justice (Money Laundering and Terrorist Financing) Act 2010, as amended by Part 2 of the Criminal Justice Act 2013 and by the Criminal Justice (Money Laundering and Terrorist Financing) (Amendment) Act 2018; and </w:t>
      </w:r>
    </w:p>
    <w:p>
      <w:pPr>
        <w:pStyle w:val="TextBody"/>
        <w:bidi w:val="0"/>
        <w:spacing w:lineRule="auto" w:line="256" w:before="120" w:after="180"/>
        <w:ind w:left="0" w:right="0" w:hanging="360"/>
        <w:jc w:val="left"/>
        <w:rPr/>
      </w:pPr>
      <w:r>
        <w:rPr>
          <w:color w:val="000000"/>
        </w:rPr>
        <w:t>•</w:t>
      </w:r>
      <w:r>
        <w:rPr>
          <w:rFonts w:ascii="Times New Roman;sans-serif" w:hAnsi="Times New Roman;sans-serif"/>
          <w:b w:val="false"/>
          <w:color w:val="000000"/>
          <w:sz w:val="20"/>
        </w:rPr>
        <w:t>in the EU, AML requirements promulgated under the 4th, 5th and 6th EU Anti-Money Laundering Directives.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Numerous other countries have also enacted or proposed new or enhanced AML legislation and regulations applicable to us. </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Non-banks that provide certain financial services are required to register with FinCEN as “money services businesses” (MSB). Certain of our subsidiaries are registered as MSBs.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provisions of the BSA known as the Prepaid Access Rule issued by FinCEN impose certain obligations, such as registration and collection of consumer information, on “providers” of certain prepaid access programs, including the stored value products issued by our sponsor banks for which we serve as program manager. FinCEN has taken the position that, where the issuing bank has principal oversight and control of such prepaid access programs, no other participant in the distribution chain would be required to register as a provider under the Prepaid Access Rule. Despite this position, we have opted to register as a provider of prepaid access through our subsidiary, Comdata Inc. </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Interchange Fees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Dodd-Frank Wall Street Reform and Consumer Protection Act of 2010 (Dodd-Frank Act) effected comprehensive revisions to a wide array of federal laws governing financial institutions, financial services, and financial markets. The Durbin Amendment to the Dodd-Frank Act provided that interchange fees that a card issuer or payment network receives or charges for debit transactions must be “reasonable and proportional” to the cost incurred by the card issuer in authorizing, clearing and settling the transaction. Payment network fees may not be used directly or indirectly to compensate card issuers in circumvention of the interchange transaction fee restrictions. The Federal Reserve has capped debit interchange fees and may reduce the cap in the future, however the cap has not had a material direct impact on our results of operations because we operate under an exemption to the cap for the majority of our debit transactions.</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Anti-Bribery Regulations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Foreign Corrupt Practices Act (FCPA) prohibits the payment of bribes to foreign government officials and political figures and includes anti-bribery provisions enforced by the Department of Justice and accounting provisions enforced by the Securities and Exchange Commission (SEC). The statute has a broad reach, covering all U.S. companies and citizens doing business abroad, among others, and defining a foreign official to include not only those holding public office but also local citizens affiliated with foreign government-run or -owned organizations. The statute also requires maintenance of appropriate books and records and maintenance of adequate internal controls to prevent and detect possible FCPA violations. We are subject to similar statutes in certain foreign jurisdictions in which we operate, such as the U.K. Bribery Act.</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Payment Card Industry Rules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certain services we provide for payment cards bearing the Mastercard brand, and to those acting as merchants accepting those cards, we must comply with the bylaws, regulations and requirements that are promulgated by Mastercard and other applicable payment-card organizations, including the Payment Card Industry Data Security Standard (PCI DSS), the Mastercard Site Data Protection Program (SDP) and other applicable data-security program requirements. A breach of such payment card network rules could subject us to a variety of fines or penalties that may be levied by the payment networks for certain acts or omissions. The payment networks routinely update and modify their requirements. Our failure to comply with the networks’ requirements or to pay the fines they impose could cause the termination of our registration and require us to stop processing transactions on their networks. Our subsidiary, Comdata Inc., is PCI DSS 3.2 compliant.</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network operating rules promulgated by the National ACH Association relating to payment transactions processed by us using the ACH Network.</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Escheat Regulations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be subject to unclaimed or abandoned property (escheat) laws in the U.S. that require us to turn over to certain government authorities the property of others that we hold that has been unclaimed for a specified period of time, such as payment instruments that have not been presented for payment and account balances that are due to a customer following discontinuation of our relationship. We may be subject to audit by individual U.S. states with regard to our escheatment practices.</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Prepaid Card Regulations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card programs that we manage may be subject to various federal and state laws and regulations, such as the Credit Card Accountability, Responsibility, and Disclosure Act of 2009 (CARD Act) and the CFPB’s Regulation E, which impose requirements on general-use prepaid cards, store gift cards and electronic gift certificates. </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State Usury Laws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Extensions of credit under many of our card products may be treated as commercial loans and may require state licensing. In some states, usury laws limit the interest rates that can be charged not only on consumer loans but on commercial loans as well. To the extent that these usury laws apply, we are limited in the amount of interest that we can charge and collect from our customers. Because we have substantial operations in multiple jurisdictions, we utilize choice of law provisions in our cardholder agreements as to the laws of which jurisdiction to apply. With respect to card products where we work with a partner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or issuing bank, the partner bank may utilize the law of the jurisdiction applicable to the bank and “export” the usury limit of that state in connection with cards issued to residents of other states or we may use our choice of law provisions.</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Derivatives Regulations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Rules adopted under the Dodd-Frank Act by the Commodity Futures Trading Commission (CFTC), provisions of the European Market Infrastructure Regulation and its technical standards, as well as derivative reporting in Canada and the U.S., have subjected certain of the foreign exchange derivative contracts we offer to our customers as part of our cross-border payments business to reporting, recordkeeping, and other requirements. Additionally, certain foreign exchange derivatives transactions we may enter into in the future may be subject to centralized clearing requirements, or may be subject to margin requirements in the U.S., U.K., and European Union. Other jurisdictions outside the U.S., U.K., and the European Union are considering, have implemented, or are implementing regulations similar to those described above.</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Other</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must contractually comply with certain regulations to which our sponsor banks are subject, as applicable. We may be examined by our sponsor banks’ regulators and be subject to audits by certain sponsor banks relative to such regulations.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Housing Assistance Tax Act of 2008 requires information returns to be made for each calendar year by merchants, acquiring entities, and third-party settlement organizations with respect to payments made in settlement of electronic payment transactions and third-party payment network transactions occurring in that calendar year. Reportable transactions are also subject to backup withholding requirements. We are required to comply with these requirements for the merchants in our Comdata network. We could be liable for penalties if our information return is not in compliance with these regulations.</w:t>
      </w:r>
    </w:p>
    <w:p>
      <w:pPr>
        <w:pStyle w:val="TextBody"/>
        <w:bidi w:val="0"/>
        <w:spacing w:lineRule="auto" w:line="256" w:before="18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Human Capital </w:t>
      </w:r>
    </w:p>
    <w:p>
      <w:pPr>
        <w:pStyle w:val="TextBody"/>
        <w:bidi w:val="0"/>
        <w:spacing w:lineRule="auto" w:line="256" w:before="0" w:after="0"/>
        <w:jc w:val="left"/>
        <w:rPr/>
      </w:pPr>
      <w:r>
        <w:rPr>
          <w:rFonts w:ascii="Times New Roman;sans-serif" w:hAnsi="Times New Roman;sans-serif"/>
          <w:b w:val="false"/>
          <w:color w:val="000000"/>
          <w:sz w:val="20"/>
          <w:shd w:fill="FFFFFF" w:val="clear"/>
        </w:rPr>
        <w:t xml:space="preserve">As of December 31, 2023, FLEETCOR employed approximately 10,500 associates located in more than 21 countries around the world, with approximately 4,100 of those associates based in the U.S. At </w:t>
      </w:r>
      <w:r>
        <w:rPr>
          <w:rFonts w:ascii="Times New Roman;sans-serif" w:hAnsi="Times New Roman;sans-serif"/>
          <w:b w:val="false"/>
          <w:color w:val="000000"/>
          <w:sz w:val="20"/>
        </w:rPr>
        <w:t xml:space="preserve">FLEETCOR, we strongly believe that talent is a strong determinant of the Company’s performance and success. Our values-driven people programs, practices and policies have been developed to ensure we are able to attract, retain and develop the quality of talent necessary to advance our key initiatives and achieve our strategic objectives. We are firmly committed to delivering a strong employee value proposition and unique employment experience to our associates which, in turn, should lead to better customer experiences and business outcomes. </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Culture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culture has evolved through time, as the Company has grown considerably both organically and through acquisitions. Despite FLEETCOR’s expansive size and geographic scope, we seek to retain a strong entrepreneurial spirit, and share a common vision, mission and set of values, which together serve as cornerstones to our “One FLEETCOR” culture. Our values, listed below, are infused in all aspects of FLEETCOR, and guide our employee selection, behavior and interactions with both internal and external stakeholders:</w:t>
      </w:r>
    </w:p>
    <w:p>
      <w:pPr>
        <w:pStyle w:val="TextBody"/>
        <w:bidi w:val="0"/>
        <w:spacing w:lineRule="auto" w:line="256" w:before="180" w:after="283"/>
        <w:ind w:left="0" w:right="0" w:hanging="360"/>
        <w:jc w:val="left"/>
        <w:rPr/>
      </w:pPr>
      <w:r>
        <w:rPr>
          <w:color w:val="000000"/>
        </w:rPr>
        <w:t>•</w:t>
      </w:r>
      <w:r>
        <w:rPr>
          <w:rFonts w:ascii="Times New Roman;sans-serif" w:hAnsi="Times New Roman;sans-serif"/>
          <w:b w:val="false"/>
          <w:color w:val="000000"/>
          <w:sz w:val="20"/>
        </w:rPr>
        <w:t>Innovation – figure out a better way</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Execution – get it done; outputs matter</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Integrity – do the right thing</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People – we make the difference</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Collaboration – accomplish more together</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Diversity, Inclusion and Belonging</w:t>
      </w:r>
    </w:p>
    <w:p>
      <w:pPr>
        <w:pStyle w:val="TextBody"/>
        <w:bidi w:val="0"/>
        <w:spacing w:lineRule="auto" w:line="256" w:before="180" w:after="283"/>
        <w:jc w:val="left"/>
        <w:rPr/>
      </w:pPr>
      <w:r>
        <w:rPr>
          <w:rFonts w:ascii="Times New Roman;sans-serif" w:hAnsi="Times New Roman;sans-serif"/>
          <w:b w:val="false"/>
          <w:color w:val="000000"/>
          <w:sz w:val="20"/>
        </w:rPr>
        <w:t>O</w:t>
      </w:r>
      <w:r>
        <w:rPr>
          <w:rFonts w:ascii="Times New Roman;sans-serif" w:hAnsi="Times New Roman;sans-serif"/>
          <w:b w:val="false"/>
          <w:color w:val="000000"/>
          <w:sz w:val="20"/>
          <w:shd w:fill="FFFFFF" w:val="clear"/>
        </w:rPr>
        <w:t>ur focus on diversity, inclusion and belonging (DIB) is part of our successful “One FLEETCOR” culture. As of December 31, 2023, females represented approximately 52% of our global workforce and approximately 17% of our senior leadership team, while minorities comprised approximately 36% of our domestic workforce and approximately 17% of our senior leadership team.</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Fostering a culturally diverse and inclusive environment and creating a true sense of belonging are among our top priorities. Our global diversity council, three regional councils and nine employee resource groups (ERGs) are dedicated to building diversity, inclusion and belonging into all aspects of our global operations. Sponsored by the Chairman of the Board and CEO, the councils and ERGs are vital to creating an environment where all employees are able to prosper. Our ERGs allow a safe space for traditionally underrepresented employees to connect and discuss experiences. The ERGs also provide FLEETCOR with perspectives on the unique needs and lived experiences of those who are traditionally underrepresented.</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Employee Wellness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FLEETCOR’s benefits programs are designed to meet the evolving needs of a diverse workforce across the globe. Because we want our employees and their families to thrive, in additional to our regular benefit offerings, we focused on physical and mental well-being in 2023. During the year, we offered free, online fitness classes, sponsored the FLEETCOR Wellbeing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Challenge, provided access to employee assistance programs in all regions, and celebrated Mental Health Awareness programs globally. </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Talent Development</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FLEETCOR offers a variety of high-quality learning opportunities, designed to support employee development and organizational effectiveness. Learning opportunities are available in all geographies at all levels, and incorporate personal, business and leadership skills development with the goal of empowering our organization, creating avenues for closing skill gaps, and enhancing the capabilities of our workforce. Leadership, teamwork, communication, and many other soft skills are vital to our success. We offer a wide variety of career opportunities and paths to advancement through on-the-job coaching, training, and education. We are proud to be a company where an associate can start as an intern and turn it into a successful career.</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The Voice of the Employee</w:t>
      </w:r>
    </w:p>
    <w:p>
      <w:pPr>
        <w:pStyle w:val="TextBody"/>
        <w:bidi w:val="0"/>
        <w:spacing w:lineRule="auto" w:line="256" w:before="180" w:after="283"/>
        <w:jc w:val="left"/>
        <w:rPr/>
      </w:pPr>
      <w:r>
        <w:rPr>
          <w:rFonts w:ascii="Times New Roman;sans-serif" w:hAnsi="Times New Roman;sans-serif"/>
          <w:b w:val="false"/>
          <w:color w:val="000000"/>
          <w:sz w:val="20"/>
        </w:rPr>
        <w:t>We continue to develop a</w:t>
      </w:r>
      <w:r>
        <w:rPr>
          <w:rFonts w:ascii="Times New Roman;sans-serif" w:hAnsi="Times New Roman;sans-serif"/>
          <w:b w:val="false"/>
          <w:color w:val="000000"/>
          <w:sz w:val="20"/>
          <w:shd w:fill="FFFFFF" w:val="clear"/>
        </w:rPr>
        <w:t>nd refine our people programs based on feedback we receive directly from our workforce, which we gather through a survey of all employees globally</w:t>
      </w:r>
      <w:r>
        <w:rPr>
          <w:rFonts w:ascii="Times New Roman;sans-serif" w:hAnsi="Times New Roman;sans-serif"/>
          <w:b w:val="false"/>
          <w:color w:val="000000"/>
          <w:sz w:val="20"/>
        </w:rPr>
        <w:t>. The participation rate for our 2023 survey was approximately 70%. Our employee engagement score in 2023 remained consistent with previous years’ results. We believe our employee propositi</w:t>
      </w:r>
      <w:r>
        <w:rPr>
          <w:rFonts w:ascii="Times New Roman;sans-serif" w:hAnsi="Times New Roman;sans-serif"/>
          <w:b w:val="false"/>
          <w:color w:val="000000"/>
          <w:sz w:val="20"/>
          <w:shd w:fill="FFFFFF" w:val="clear"/>
        </w:rPr>
        <w:t xml:space="preserve">on remains strong and we continue to attract and retain top talent. We continue to share the detailed engagement scores across the organization, and analyze the results to understand differences by geography, demographics, job level, and leader, and to identify opportunities for further improvement. Throughout 2023, we conducted several additional pulse surveys and focus groups to assess the ongoing engagement of our workforce. </w:t>
      </w:r>
    </w:p>
    <w:p>
      <w:pPr>
        <w:pStyle w:val="TextBody"/>
        <w:bidi w:val="0"/>
        <w:spacing w:lineRule="auto" w:line="256" w:before="18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October 2020, FLEETCOR published its inaugural Corporate Responsibility &amp; Sustainability Report (CRS Report), in which we provided detailed information about the Company’s views and approaches regarding environmental, social and governance issues. We published a 2021 CRS Report in January 2022, which contains information incremental to our inaugural report and is therefore intended to be read in conjunction with that report. Our 2021 CRS Report includes further details related to our global talent strategy, DIB metrics, employee wellness and talent development. We are currently preparing our third CRS Report for publication later this year. Our CRS Reports may be accessed electronically at https://investor.fleetcor.com, in the governance section. </w:t>
      </w:r>
    </w:p>
    <w:p>
      <w:pPr>
        <w:pStyle w:val="TextBody"/>
        <w:bidi w:val="0"/>
        <w:spacing w:lineRule="auto" w:line="256" w:before="18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Additional Information</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website at www.fleetcor.com. The information on the Company’s website is not incorporated by reference into this Annual Report on Form 10-K. We make available on or through our website certain reports and amendments to those reports that we file with or furnish the SEC in accordance with the Securities and Exchange Act of 1934, as amended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 </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SEC maintains a website that contains reports, proxy and information statements and other information regarding issuers that file electronically at https://www.sec.gov.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80"/>
        <w:jc w:val="center"/>
        <w:rPr>
          <w:rFonts w:ascii="Times New Roman;sans-serif" w:hAnsi="Times New Roman;sans-serif"/>
          <w:b/>
          <w:color w:val="000000"/>
          <w:sz w:val="20"/>
        </w:rPr>
      </w:pPr>
      <w:r>
        <w:rPr>
          <w:rFonts w:ascii="Times New Roman;sans-serif" w:hAnsi="Times New Roman;sans-serif"/>
          <w:b/>
          <w:color w:val="000000"/>
          <w:sz w:val="20"/>
        </w:rPr>
        <w:t>ITEM X. EXECUTIVE OFFICERS OF THE REGISTRANT</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our executive officers, with their respective ages as of December 31, 2023. Our officers serve at the discretion of our board of directors. There are no family relationships between any of our directors or executive officers.</w:t>
      </w:r>
    </w:p>
    <w:tbl>
      <w:tblPr>
        <w:tblW w:w="8015"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180"/>
        <w:gridCol w:w="181"/>
        <w:gridCol w:w="131"/>
        <w:gridCol w:w="109"/>
        <w:gridCol w:w="109"/>
        <w:gridCol w:w="109"/>
        <w:gridCol w:w="1546"/>
        <w:gridCol w:w="1546"/>
        <w:gridCol w:w="2203"/>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Position(s)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Ronald F. Clarke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 of the Board of Directors</w:t>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Tom Panther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Alan 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Group President—Vehicle Payments</w:t>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Armando L. Netto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Group President—Vehicle Payments </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Alissa B. Vickery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bl>
    <w:p>
      <w:pPr>
        <w:pStyle w:val="TextBody"/>
        <w:bidi w:val="0"/>
        <w:spacing w:lineRule="auto" w:line="256" w:before="180" w:after="180"/>
        <w:jc w:val="left"/>
        <w:rPr/>
      </w:pPr>
      <w:r>
        <w:rPr>
          <w:rFonts w:ascii="Times New Roman;sans-serif" w:hAnsi="Times New Roman;sans-serif"/>
          <w:b w:val="false"/>
          <w:i/>
          <w:color w:val="000000"/>
          <w:sz w:val="20"/>
        </w:rPr>
        <w:t>Ronald F. Clarke</w:t>
      </w:r>
      <w:r>
        <w:rPr>
          <w:color w:val="000000"/>
        </w:rPr>
        <w:t xml:space="preserve"> </w:t>
      </w:r>
      <w:r>
        <w:rPr>
          <w:rFonts w:ascii="Times New Roman;sans-serif" w:hAnsi="Times New Roman;sans-serif"/>
          <w:b w:val="false"/>
          <w:color w:val="000000"/>
          <w:sz w:val="20"/>
        </w:rPr>
        <w:t>has been our Chief Executive Officer since August 2000 and was appointed Chairman of our Board of Directors in March 2003. From 1999 to 2000, Mr. Clarke served as President and Chief Operating Officer of AHL Services, Inc., a staffing firm. From 1990 to 1998, Mr. Clarke served as Chief Marketing Officer and later as a Division President with Automatic Data Processing, Inc., a human resources software and services company. From 1987 to 1990, Mr. Clarke was a Principal with Booz Allen Hamilton, a global management consulting firm. Earlier in his career, Mr. Clarke was a marketing manager for General Electric Company, a diversified technology, media, and financial services corporation.</w:t>
      </w:r>
    </w:p>
    <w:p>
      <w:pPr>
        <w:pStyle w:val="TextBody"/>
        <w:bidi w:val="0"/>
        <w:spacing w:lineRule="auto" w:line="256" w:before="180" w:after="180"/>
        <w:jc w:val="left"/>
        <w:rPr/>
      </w:pPr>
      <w:r>
        <w:rPr>
          <w:rFonts w:ascii="Times New Roman;sans-serif" w:hAnsi="Times New Roman;sans-serif"/>
          <w:b w:val="false"/>
          <w:i/>
          <w:color w:val="000000"/>
          <w:sz w:val="20"/>
        </w:rPr>
        <w:t>Tom Panther</w:t>
      </w:r>
      <w:r>
        <w:rPr>
          <w:color w:val="000000"/>
        </w:rPr>
        <w:t xml:space="preserve"> </w:t>
      </w:r>
      <w:r>
        <w:rPr>
          <w:rFonts w:ascii="Times New Roman;sans-serif" w:hAnsi="Times New Roman;sans-serif"/>
          <w:b w:val="false"/>
          <w:color w:val="000000"/>
          <w:sz w:val="20"/>
        </w:rPr>
        <w:t>has been our Chief Financial Officer since May 2023. Prior to joining FLEETCOR, Mr. Panther served as the CFO at EVO Payments, Inc. (“EVO”) from November 2019 until March 2023, where he was instrumental in EVO delivering strong revenue growth and significant margin expansion, as well as executing a number of key initiatives, including international M&amp;A, debt and capital financings, and serving as a key advisor to the Board. Prior to joining EVO, Mr. Panther worked at SunTrust Banks, Inc. for nearly 20 years serving in numerous leadership roles. Mr. Panther began his career at Arthur Andersen.</w:t>
      </w:r>
    </w:p>
    <w:p>
      <w:pPr>
        <w:pStyle w:val="TextBody"/>
        <w:bidi w:val="0"/>
        <w:spacing w:lineRule="auto" w:line="256" w:before="0" w:after="180"/>
        <w:jc w:val="left"/>
        <w:rPr/>
      </w:pPr>
      <w:r>
        <w:rPr>
          <w:rFonts w:ascii="Times New Roman;sans-serif" w:hAnsi="Times New Roman;sans-serif"/>
          <w:b w:val="false"/>
          <w:i/>
          <w:color w:val="000000"/>
          <w:sz w:val="20"/>
          <w:shd w:fill="FFFFFF" w:val="clear"/>
        </w:rPr>
        <w:t xml:space="preserve">Alan King </w:t>
      </w:r>
      <w:r>
        <w:rPr>
          <w:rFonts w:ascii="Times New Roman;sans-serif" w:hAnsi="Times New Roman;sans-serif"/>
          <w:b w:val="false"/>
          <w:color w:val="000000"/>
          <w:sz w:val="20"/>
          <w:shd w:fill="FFFFFF" w:val="clear"/>
        </w:rPr>
        <w:t>has served as our Group President — Vehicle Payments since December 2023 and prior to that was our Group President of Global Fleet since May 2022. Mr. King joined FLEETCOR in August 2016 and served as our President - U.K., Australia, and New Zealand, based in London, until June 2019. From July 2019 to April 2022, Mr. King was Group President of Europe, Australia, and New Zealand Fuel. Prior to joining us, Mr. King worked at Mastercard where he was most recently Managing Director, MasterCard Prepaid Management Services. During his 11 year career at Mastercard, Mr. King held the roles of Group Head, Global Prepaid Solutions, Group General Manager for Market and Business Development in the U.K. &amp; Ireland, and General Manager, Global Accounts. Prior to Mastercard, Mr. King held leadership positions at VISA in the CEMEA region from 2003 to 2005 and at Citibank from 1998 to 2003, largely across commercial payments in international markets. Mr. King spent the early part of his career in the telecom and automotive industries, in various sales and marketing roles covering Europe.</w:t>
      </w:r>
    </w:p>
    <w:p>
      <w:pPr>
        <w:pStyle w:val="TextBody"/>
        <w:bidi w:val="0"/>
        <w:spacing w:lineRule="auto" w:line="256" w:before="0" w:after="180"/>
        <w:jc w:val="left"/>
        <w:rPr/>
      </w:pPr>
      <w:r>
        <w:rPr>
          <w:rFonts w:ascii="Times New Roman;sans-serif" w:hAnsi="Times New Roman;sans-serif"/>
          <w:b w:val="false"/>
          <w:i/>
          <w:color w:val="000000"/>
          <w:sz w:val="20"/>
        </w:rPr>
        <w:t>Armando L. Netto</w:t>
      </w:r>
      <w:r>
        <w:rPr>
          <w:color w:val="000000"/>
        </w:rPr>
        <w:t xml:space="preserve"> </w:t>
      </w:r>
      <w:r>
        <w:rPr>
          <w:rFonts w:ascii="Times New Roman;sans-serif" w:hAnsi="Times New Roman;sans-serif"/>
          <w:b w:val="false"/>
          <w:color w:val="000000"/>
          <w:sz w:val="20"/>
        </w:rPr>
        <w:t>has served as our Group President — Vehicle Payments since December 2023 and prior to that was our Group President – Brazil since June 2014. Prior to joining us, Mr. Netto led IT Services for TIVIT, an IT and BPO services company, from 2006 to 2014, where he led the integration of functional areas into the business unit, focused on onboarding new clients and ensuring service quality. Prior to TIVIT, Mr. Netto held various leadership roles with Unisys and McKinsey, where he gained international experience in Europe supporting clients in the U.K., France, Austria, Portugal, and the Netherlands.</w:t>
      </w:r>
    </w:p>
    <w:p>
      <w:pPr>
        <w:pStyle w:val="TextBody"/>
        <w:bidi w:val="0"/>
        <w:spacing w:lineRule="auto" w:line="256" w:before="0" w:after="180"/>
        <w:jc w:val="left"/>
        <w:rPr/>
      </w:pPr>
      <w:r>
        <w:rPr>
          <w:rFonts w:ascii="Times New Roman;sans-serif" w:hAnsi="Times New Roman;sans-serif"/>
          <w:b w:val="false"/>
          <w:i/>
          <w:color w:val="000000"/>
          <w:sz w:val="20"/>
          <w:shd w:fill="FFFFFF" w:val="clear"/>
        </w:rPr>
        <w:t>Alissa B. Vickery</w:t>
      </w:r>
      <w:r>
        <w:rPr>
          <w:color w:val="000000"/>
          <w:shd w:fill="FFFFFF" w:val="clear"/>
        </w:rPr>
        <w:t xml:space="preserve"> </w:t>
      </w:r>
      <w:r>
        <w:rPr>
          <w:rFonts w:ascii="Times New Roman;sans-serif" w:hAnsi="Times New Roman;sans-serif"/>
          <w:b w:val="false"/>
          <w:color w:val="000000"/>
          <w:sz w:val="20"/>
          <w:shd w:fill="FFFFFF" w:val="clear"/>
        </w:rPr>
        <w:t>has been our Chief Accounting Officer since September 2020 and also served as our interim Chief Financial Officer from October 2022 through May 2023. Mrs. Vickery joined FLEETCOR in 2011 and served as Senior Vice President of Accounting and Controls, with oversight of external reporting, technical accounting and internal audit until her appointment as interim Chief Financial Officer. Prior to joining us, Mrs. Vickery held a Senior Director position at Worldpay and spent more than nine years in public accounting at Deloitte LLP and Arthur Andersen LLP, as a senior manager in the audit and assurance practice.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center"/>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5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carefully consider the following risks applicable to us. If any of the following risks actually occur, our business, operating results, financial condition and the trading price of our common stock could be materially adversely affected. The risks discussed below also include forward-looking statements, and our actual results may differ substantially from those discussed in these forward-looking statements. See “Note Regarding Forward-Looking Statements” in this report.</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information technology and security</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We are dependent on the efficient and uninterrupted operation of interconnected computer systems, telecommunications, data centers and call centers, including technology and network systems managed by multiple third parties, which could result in our inability to prevent disruptions in our services.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provide reliable service to customers, cardholders and other network participants depends upon uninterrupted operation of our data centers and call centers as well as third-party labor and services providers. Our business involves processing large numbers of transactions, the movement of large sums of money and the management of large amounts of data. We rely on the ability of our employees, contractors, suppliers, systems and processes to complete these transactions in a secure, uninterrupted and error-free manner.</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subsidiaries operate in various countries and country specific factors, such as power availability, telecommunications carrier redundancy, embargoes and regulation can adversely impact our information processing by or for our local subsidiaries.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engage backup facilities for each of our processing centers for key systems and data. However, there could be material delays in fully activating backup facilities depending on the nature of the breakdown, security breach or catastrophic event (such as fire, explosion, flood, pandemic, natural disaster, power loss, telecommunications failure or physical break-in). We have controls and documented measures to mitigate these risks but these mitigating controls might not reduce the duration, scope or severity of an outage in time to avoid adverse effects.</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experience software defects, system errors, computer viruses and development delays, which could damage customer relationships, decrease our profitability and expose us to liability.</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depends heavily on the reliability of proprietary and third-party processing systems. A system outage could adversely affect our business, financial condition or results of operations, including by damaging our reputation or exposing us to third-party liability. To successfully operate our business, we must be able to protect our processing and other systems from interruption, including from events that may be beyond our control. Events that could cause system interruptions include, but are not limited to, fire, natural disaster, unauthorized entry, power loss, telecommunications failure, computer viruses, terrorist acts and war. Although we have taken steps to protect against data loss and system failures, there is still risk that we may lose critical data or experience system failures.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solutions are based on sophisticated software and computing systems that are constantly evolving. We often encounter delays and cost overruns in developing changes implemented to our systems. In addition, the underlying software may contain undetected errors, viruses or defects. Defects in our software products and errors or delays in our processing of electronic transactions could result in additional development costs, diversion of technical and other resources from our other development efforts, loss of credibility with current or potential customers, harm to our reputation or exposure to liability claims. In addition, we rely on technologies supplied to us by third parties that may also contain undetected errors, viruses or defects that could adversely affect our business, financial condition or results of operations. Although we attempt to limit our potential liability for warranty claims through disclaimers in our software documentation and limitation of liability provisions in our licenses and other agreements with our customers, we cannot assure that these measures will be successful in limiting our liability.</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adequately protect our systems or the data we collect from continually evolving cybersecurity risks or other technological risks, which could subject us to liability and damage our reputation.</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electronically receive, process, store and transmit data and sensitive information about our customers and merchants, including bank account information, social security numbers, expense data, and credit card, debit card and checking account numbers. We endeavor to keep this information confidential; however, our websites, networks, information systems, services and technologies may be targeted for sabotage, disruption or misappropriation. The uninterrupted operation of our information systems and our ability to maintain the confidentiality of the customer and consumer information that resides on our systems are critical to the successful operation of our business. Unauthorized access to our networks and computer systems could result in the theft or publication of confidential information or the deletion or modification of records or could otherwise cause interruptions in our service and operations.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a previously disclosed unauthorized access incident during the second quarter of 2018, we are not aware of any material breach of our or our associated third parties’ computer systems, although we and others in our industry are regularly the subject of attempts by bad actors to gain unauthorized access to these computer systems and data or to obtain, change or destroy confidential data (including personal consumer information of individuals) through a variety of means.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techniques used to sabotage or obtain unauthorized access to our systems and the data we collect change frequently and may not be recognized until launched against a target, especially considering heightened threats and risks associated with artificial intelligence, we may be unable to anticipate these techniques or to implement adequate preventative measures. An incident may not be detected until well after it occurs and the severity and potential impact may not be fully known for a substantial period of time after it has been discovered. Our ability to address incidents may also depend on the timing and nature of assistance that may be provided from relevant governmental or law enforcement agencies. Threats to our systems and our associated third parties’ systems can derive from human error, fraud or malice on the part of employees or third parties, or may result from accidental technological failure. Computer viruses can be distributed and could infiltrate our systems or those of our associated third parties. In addition, denial of service or other attacks could be launched against us for a variety of purposes, including to interfere with our services or create a diversion for other malicious activities. Although we believe we have sufficient controls in place to prevent disruption and misappropriation and to respond to such attacks, any inability to prevent security breaches could have a negative impact on our reputation, expose us to liability, decrease market acceptance of electronic transactions and cause our present and potential clients to choose another service provider.</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risk of cyber-attacks has increased in connection with the military conflicts between Russia and Ukraine, as well as within the Middle East, and the resulting geopolitical conflicts. In light of those and other geopolitical events, nation-state actors or their supporters may launch retaliatory cyber-attacks, and may attempt to cause supply chain and other third-party service provider disruptions, or take other geopolitically motivated retaliatory actions that may disrupt our business operations, result in data compromise, or both. Nation-state actors have in the past carried out, and may in the future carry out, cyber-attacks to achieve their aims and goals, which may include espionage, information operations, monetary gain, ransomware, disruption, and destruction. In February 2022, the U.S. Cybersecurity and Infrastructure Security Agency issued a warning for American organizations noting the potential for Russia’s cyber-attacks on Ukrainian government and critical infrastructure organizations to impact organizations both within and beyond the U.S., particularly in the wake of sanctions imposed by the U.S. and its allies. These circumstances increase the likelihood of cyber-attacks and/or security breaches.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could also be subject to liability for claims relating to misuse of personal information, such as unauthorized marketing purposes and violation of data privacy laws. For example, we are subject to a variety of U.S. and international statutes, regulations, and rulings relevant to the direct email marketing and text-messaging industries. While we believe we are in compliance with the relevant laws and regulations, if we were ever found to be in violation, our business, financial condition, operating results and cash flows could be materially adversely affected. We cannot provide assurance that the contractual requirements related to security and privacy that we impose on our service providers who have access to customer and consumer data will be followed or will be adequate to prevent the unauthorized use or disclosure of data. In addition, we have agreed in certain agreements to take certain protective measures to ensure the confidentiality of customer data. The costs of systems and procedures associated with such protective measures, as well as the cost of deploying additional personnel, training our employees and hiring outside experts, may increase and could adversely affect our ability to compete effectively. Any failure to adequately enforce or provide these protective measures could result in liability, protracted and costly litigation, governmental and card network intervention and fines, remediation costs, and with respect to misuse of personal information of our customers, lost revenue and reputational harm. While we maintain insurance covering certain security and privacy damages and claim expenses above a certain financial retention level,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payment network rules, regulatory requirements, and related obligations, we may be responsible for the acts or failures to act of certain third parties, such as third-party service providers, vendors, partners and others, which we refer to collectively as associated participants. The failure of our associated participants to safeguard cardholder data and other information in accordance with such rules, requirements and obligations could result in significant fines and sanctions and could harm our reputation and deter existing and prospective customers from using our services. We cannot assure you that there are written agreements in place with every associated participant or that such written agreements will ensure the adequate safeguarding of such data or information or allow us to seek reimbursement from associated participants. Any such unauthorized use or disclosure of data or information also could result in litigation that could result in a material adverse effect on our business, financial condition and results of operations.</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If we fail to develop and implement new technology, products and services, adapt our products and services to changes in technology, or if our ongoing efforts to upgrade our technology, products and services are not successful, we could lose customers and partners.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markets for our solutions are highly competitive and characterized by rapid technological change, frequent introduction of new products and services, evolving industry standards and evolving customer needs. We must respond to the technological advances offered by our competitors, including the use of artificial intelligence, and the requirements of regulators and our customers and partners, in order to maintain and improve upon our competitive position and fulfill contractual obligations. We may be unsuccessful in expanding our technological capabilities and developing, marketing, selling or encouraging adoption of new products and services that meet these changing demands, which could jeopardize our competitive position. Similarly, if new technologies are developed that displace our traditional payment card as payment mechanisms for purchase transactions by businesses, we may be unsuccessful in adequately responding to customer practices and our transaction volume may decline. In addition, we regularly engage in significant efforts to upgrade our products, services and underlying technology, which may or may not be successful in achieving broad acceptance or their intended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solutions we deliver are designed to process complex transactions and provide reports and other information on those transactions, all at high volumes and processing speeds. Any failure to deliver an effective and secure product or service or any performance issue that arises with a new product or service could result in significant processing or reporting errors or other losses. We may rely on third parties to develop or co-develop our solutions or to incorporate our solutions into broader platforms for the commercial payments industry. We may not be able to enter into such relationships on attractive terms, or at all, and these relationships may not be successful. In addition, partners, some of whom may be our competitors or potential competitors, may choose to develop competing solutions on their own or with third parties.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remain competitive, we are continually involved in a number of projects, including the development of new platforms, mobile payment applications, e-commerce services and other new offerings emerging in the payments technology industry, including with respect to EVs. These projects carry the risks associated with any development effort, including cost overruns, delays in delivery and performance problems. Any delay in the delivery of new services or the failure to differentiate our services could render our services less desirable to customers, or possibly even obsolete.</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Adverse effects on payment card transaction volume and other aspects of our business and operations, from unfavorable macroeconomic conditions, weather conditions, natural catastrophes or public health crises or from changes to business purchasing practices, could adversely affect our financial condition and operating results. </w:t>
      </w:r>
    </w:p>
    <w:p>
      <w:pPr>
        <w:pStyle w:val="TextBody"/>
        <w:bidi w:val="0"/>
        <w:spacing w:lineRule="auto" w:line="256" w:before="180" w:after="283"/>
        <w:jc w:val="left"/>
        <w:rPr/>
      </w:pPr>
      <w:r>
        <w:rPr>
          <w:rFonts w:ascii="Times New Roman;sans-serif" w:hAnsi="Times New Roman;sans-serif"/>
          <w:b w:val="false"/>
          <w:color w:val="000000"/>
          <w:sz w:val="20"/>
        </w:rPr>
        <w:t>Adverse macroeconomic conditions within the U.S. or internationally, including but not limited to recessions, inflation, rising interest rates, labor shortages and disputes, high unemployment, currency fluctuations, actual or anticipated large-scale defaults or failures, terrorist attacks, prolonged or recurring government shutdowns, regional or domestic hostilities, economic sanctions and the prospect or occurrence or more widespread conflicts, rising energy prices, or a slowdown of global trade, and reduced consumer, small business, government, and corporate spending, have a direct impact on the demand for fuel, business-related products and services, or payment card services in general.</w:t>
      </w:r>
      <w:r>
        <w:rPr>
          <w:color w:val="000000"/>
        </w:rPr>
        <w:t xml:space="preserve"> </w:t>
      </w:r>
      <w:r>
        <w:rPr>
          <w:rFonts w:ascii="Times New Roman;sans-serif" w:hAnsi="Times New Roman;sans-serif"/>
          <w:b w:val="false"/>
          <w:color w:val="000000"/>
          <w:sz w:val="20"/>
        </w:rPr>
        <w:t xml:space="preserve">A substantial portion of our revenue is based on the volume of payment card transactions by our customers. Accordingly, our operating results could be adversely impacted by such events or trends that negatively impact the demand for fuel, business-related products and services, or payment card services in general.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our transaction volume is generally correlated with general economic conditions and levels of spending, particularly in the U.S., Canada, the United Kingdom, Europe, Latin America, Australia and New Zealand, and the related amount of business activity in economies in which we operate. Downturns in these economies are generally characterized by reduced commercial activity and, consequently, reduced purchasing of fuel and other business-related products and services by our customers. Similarly, prolonged adverse weather events, travel bans due to medical quarantine (such as the responses to the COVID-19 pandemic) or in response to natural catastrophes, especially those that impact regions in which we process a large number and amount of payment transactions, could adversely affect our transaction volumes. Likewise, recent political, investor and industry focus on greenhouse gas emissions and climate change issues may adversely affect the volume of transactions or business operations of the oil companies, merchants and truck stop owners with whom we maintain strategic relationships, which could adversely impact our business. Further, we may not be able to successfully execute our EV strategy, which could further adversely impact our business.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transaction volumes could be adversely affected if businesses do not continue to use, or fail to increase their use of, credit, debit, ACH, virtual cards or stored value cards as a payment mechanism for their transactions. Similarly, our transaction volumes could be impacted by adverse developments in the payments industry, such as new legislation or regulation that makes it more difficult for customers to do business, or a well-publicized data security breach that undermines the confidence of the public in electronic payment systems.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adverse macroeconomic conditions, and resulting trends, weather conditions, natural catastrophes or public health crises, could affect other aspects of our business. For example, because we derive a portion of our revenues from travel-related spending, our business is sensitive to safety concerns related to travel and, limitations on travel and mobility and health-related risks, and such adverse factors could impact the amount spent on lodging solutions or other business expenses. While our lodging solutions generally benefit from weather-related events, disasters or catastrophic events in the future, including the impact of such events on certain industries or the overall economy, could have a negative effect on our business, results of operations and infrastructure, including our technology and systems. Climate change may exacerbate certain of these threats, including the frequency and severity of weather-related events. Such factors and conditions may also impact the proper functioning of financial and capital markets, which could have a negative impact on our ability to access capital in the future.</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If we fail to adequately assess and monitor credit risks of our customers, we could experience an increase in credit loss.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credit risk of our customers which range in size from small sole proprietorships to large publicly traded companies. We use various methods to screen potential customers and establish appropriate credit limits, but these methods cannot eliminate all potential credit risks and may not always prevent us from approving customer applications that are not credit-worthy or are fraudulently completed. Changes in our industry, customer demand, and, in relation to our fuel customers, movement in fuel prices may result in periodic increases to customer credit limits and spending and, as a result, could lead to increased credit losses. We may also fail to detect changes to the credit risk of customers over time. Further, during a declining economic environment (including economic weakness caused by large-scale crises like the COVID-19 pandemic), we may experience increased customer defaults and preference claims by bankrupt customers. Additionally, the counterparties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financial instruments that we use in our international payments provider business to reduce our exposure to various market risks, including changes in foreign exchange rates, may fail to honor their obligations, which could expose us to risks we had sought to mitigate. This risk includes the exposure generated when we write derivative contracts to our customers as part of our cross-currency payments business, and we typically hedge the net exposure through offsetting contracts with established financial institution counterparties. If a customer becomes insolvent, files for bankruptcy, commits fraud or otherwise fails to pay us, we may be exposed to the value of an offsetting position with such counterparties for the derivatives or may bear financial risk for those receivables where we have offered trade credit. If we fail to adequately manage our credit risks, our bad debt expense could be significantly higher than historic levels and adversely affect our business, operating results and financial condition. </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We may incur substantial losses due to fraudulent use of our payment solutions.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certain circumstances, when we fund customer transactions, we may bear the risk of substantial losses due to fraudulent use of our payment solutions. We do not maintain insurance to protect us against all of such losses. We bear similar risk relating to fraudulent acts of employees or contractors, for which we maintain insurance. However, the conditions or limits of coverage may be insufficient to protect us against such losses.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Criminals are using increasingly sophisticated methods to engage in illegal activities involving financial products, such as skimming and counterfeiting payment cards and identity theft. A single significant incident of fraud, or increases in the overall level of fraud, involving our cards and other products and services, could result in reputational damage to us, which could reduce the use and acceptance of our cards and other payment solutions and services or lead to greater regulation that would increase our compliance costs. Fraudulent activity could also result in the imposition of regulatory sanctions, including significant monetary fines, which could have a material adverse effect on our business, financial condition and results of operations.</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Any decrease in our receipt of fees and charges, or limitations on our fees and charges, could adversely affect our business, results of operations and financial condition.</w:t>
      </w:r>
    </w:p>
    <w:p>
      <w:pPr>
        <w:pStyle w:val="TextBody"/>
        <w:bidi w:val="0"/>
        <w:spacing w:lineRule="auto" w:line="256" w:before="180" w:after="283"/>
        <w:jc w:val="left"/>
        <w:rPr/>
      </w:pPr>
      <w:r>
        <w:rPr>
          <w:rFonts w:ascii="Times New Roman;sans-serif" w:hAnsi="Times New Roman;sans-serif"/>
          <w:b w:val="false"/>
          <w:color w:val="000000"/>
          <w:sz w:val="20"/>
        </w:rPr>
        <w:t>Our card solutions include a variety of fees and charges associ</w:t>
      </w:r>
      <w:r>
        <w:rPr>
          <w:rFonts w:ascii="Times New Roman;sans-serif" w:hAnsi="Times New Roman;sans-serif"/>
          <w:b w:val="false"/>
          <w:color w:val="000000"/>
          <w:sz w:val="20"/>
          <w:shd w:fill="FFFFFF" w:val="clear"/>
        </w:rPr>
        <w:t>ated with transactions, cards, reports, optional services and late payments. Revenues for late fees and finance charges represented approxima</w:t>
      </w:r>
      <w:r>
        <w:rPr>
          <w:rFonts w:ascii="Times New Roman;sans-serif" w:hAnsi="Times New Roman;sans-serif"/>
          <w:b w:val="false"/>
          <w:color w:val="000000"/>
          <w:sz w:val="20"/>
        </w:rPr>
        <w:t>tely 4% of our consolidated revenue for the year ended December 31, 2023. If the users of our cards decrease their transaction activity, or the extent to which they use optional services or pay invoices late, our revenue could be materially adversely affected. In addition, several market factors can affect the amount of our fees and charges, including the market for similar charges for competitive card products and the availability of alternative payment methods. Furthermore, regulators and Congress have passed new legislation that changes the electronic payments industry’s pricing, charges and other practices related to its customers. Any restrictions on our ability to price our products and services could materially and adversely affect our revenue.</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We operate in a competitive business environment, and if we are unable to compete effectively, our business, operating results and financial condition would be adversely affected.</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market for our solutions is highly competitive, and competition could intensify in the future. Our competitors vary in size and in the scope and breadth of the products and services they offer. Our primary competitors in the North American Fuel solutions are small regional and large independent fleet card providers, major oil companies and petroleum marketers that issue their own fleet cards, and major financial services companies that provide card services to major oil companies and petroleum marketers. Corporate Payments solutions faces a variety of competitors, some of which have greater financial resources, name recognition and scope and breadth of products and services. Competitors in the Lodging solutions include travel agencies, online lodging discounters, internal corporate procurement and travel resources, and independent services companies. Our primary competitors in Europe, Australia and New Zealand are independent fleet card providers, major oil companies and petroleum marketers that issue branded fleet cards, and providers of card outsourcing services to major oil companies and petroleum marketers. Our primary competitors in Latin America are independent providers of fleet cards and vouchers for food, fuel, tolls, and transportation and major oil companies and providers of card outsourcing services to major oil companies and petroleum marketers who offer commercial fleet cards.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most significant competitive factors in our business are the breadth of product and service features, network acceptance size, customer service, payment terms, account management, and price. We may experience competitive disadvantages with respect to any of these factors from time to time as potential customers prioritize or value these competitive factors differently. As a result, a specific offering of our features, networks and pricing may serve as a competitive advantage with respect to one customer and a disadvantage for another based on the customers’ preferences.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existing and potential competitors have longer operating histories, greater brand name recognition, larger customer bases, more extensive customer relationships or greater financial and technical resources than we do. In addition, our larger competitors may also have greater resources than we do to devote to the promotion and sale of their products and services and to pursue acquisitions. Many of our competitors provide additional and unrelated products and services to customers, such as treasury management, commercial lending and credit card processing, which allow them to bundle their products and services together and present them to existing customers with whom they have established relationships, sometimes at a discount. If price competition continues to intensify, we may have to increase the incentives that we offer to our customers, decrease the prices of our solutions or lose customers, each of which could adversely affect our operating results. In Vehicle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solutions, major oil companies, petroleum marketers and large financial institutions may choose to integrate fuel card services as a complement to their existing or complementary card products and services to adapt more quickly to new or emerging technologies, such as EVs, and changing opportunities, standards or customer requirements. To the extent that our competitors are regarded as leaders in specific categories, they may have an advantage over us as we attempt to further penetrate these categories.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mergers or consolidations among competitors, or acquisitions of our competitors by large companies may present competitive challenges to our business if their fuel card products and services are effectively integrated and bundled into lower cost sales packages with other widely utilized non-fuel card related products and services.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Overall, increased competition in our markets could result in intensified pricing pressure, reduced profit margins, increased sales and marketing expenses and a failure to increase, or a loss of, market share. We may not be able to maintain or improve our competitive position against our current or future competitors, which could adversely affect our business, operating results and financial condition.</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 decline in retail fuel prices or contraction in fuel price spreads could adversely affect our revenue and operating results. </w:t>
      </w:r>
    </w:p>
    <w:p>
      <w:pPr>
        <w:pStyle w:val="TextBody"/>
        <w:bidi w:val="0"/>
        <w:spacing w:lineRule="auto" w:line="256" w:before="180" w:after="283"/>
        <w:jc w:val="left"/>
        <w:rPr/>
      </w:pPr>
      <w:r>
        <w:rPr>
          <w:rFonts w:ascii="Times New Roman;sans-serif" w:hAnsi="Times New Roman;sans-serif"/>
          <w:b w:val="false"/>
          <w:color w:val="000000"/>
          <w:sz w:val="20"/>
        </w:rPr>
        <w:t>We estimate during the year ended December 31, 2023, approxim</w:t>
      </w:r>
      <w:r>
        <w:rPr>
          <w:rFonts w:ascii="Times New Roman;sans-serif" w:hAnsi="Times New Roman;sans-serif"/>
          <w:b w:val="false"/>
          <w:color w:val="000000"/>
          <w:sz w:val="20"/>
          <w:shd w:fill="FFFFFF" w:val="clear"/>
        </w:rPr>
        <w:t>ately 10% of our consolidated revenue was directly influenced by the absolute price of fuel. Approximately 5% of our consolidated revenue du</w:t>
      </w:r>
      <w:r>
        <w:rPr>
          <w:rFonts w:ascii="Times New Roman;sans-serif" w:hAnsi="Times New Roman;sans-serif"/>
          <w:b w:val="false"/>
          <w:color w:val="000000"/>
          <w:sz w:val="20"/>
        </w:rPr>
        <w:t>ring the year ended December 31, 2023 was derived from transactions where our revenue is tied to fuel price spreads. When our fleet customers purchase fuel, certain arrangements in our Vehicle Payments solutions generate revenue as a percentage of the fuel transaction purchase amount and other arrangements generate revenue based on fuel price spreads. The fuel price that we charge to any Vehicle Payments customer is dependent on several factors including, among others, the fuel price paid to the fuel merchant, posted retail fuel prices and competitive fuel prices. The significant volatility in fuel prices can impact these revenues by lowering total fuel transaction purchase amounts and tightening fuel price spreads. We experience fuel price spread contraction when the merchant’s wholesale cost of fuel increases at a faster rate than the fuel price we charge to our Vehicle Payments customers, or the fuel price we charge to our Vehicle Payments customers decreases at a faster rate than the merchant’s wholesale cost of fuel. The volatility is due to many factors outside our control, including new oil production or production slowdowns, supply and demand for oil and gas and market expectations of future supply and demand, merchant mix and fuel type, political conditions, actions by OPEC and other major oil producing countries, speculative trading, government regulation, weather and general economic conditions. When such volatility leads to a decline in retail fuel prices or a contraction of fuel price spreads, our revenue and operating results could be adversely affected.</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The value of certain of our solutions depend, in part, on relationships with oil companies, fuel and lodging merchants, truck stop operators, airlines, sales channels, and other channels and partnerships to grow our business. The failure to maintain and grow existing relationships, or establish new relationships, could adversely affect our revenues and operating results.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success and growth of our solutions depend on the wide acceptability of such cards when our customers need to use them. As a result, the success of these solutions is in part dependent on our ability to maintain relationships with major oil companies, petroleum marketers, closed-loop fuel and lodging merchants, truck stop operators, airlines, sales channels, and other channels and partnerships (each of whom we refer to as our “partners”) and to enter into additional relationships or expand existing arrangements to increase the acceptability of our payment solutions. These relationships vary in length and may be renegotiated at the end of their respective terms. Due to the highly competitive, and at times exclusive, nature of these relationships, we often must participate in a competitive bidding process to establish or continue the relationships. Such bidding processes may focus on a limited number of factors, including pricing, which may affect our ability to effectively compete for these relationships.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various partners with whom we maintain relationships experience bankruptcy, financial distress, or otherwise are forced to contract their operations, our solutions could be adversely impacted. Similarly, because some of our solutions are independently marketed, certain other adverse events outside our control, like those companies’ failure to maintain their brands or a decrease in the size of their branded networks may adversely affect our ability to grow our revenue.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loss of, failure to continue or failure to establish new relationships, or the weakness or decrease in size of companies with whom we maintain relationships, could adversely affect our ability to serve our customers and adversely affect our solutions and operating results.</w:t>
      </w:r>
    </w:p>
    <w:p>
      <w:pPr>
        <w:pStyle w:val="TextBody"/>
        <w:bidi w:val="0"/>
        <w:spacing w:lineRule="auto" w:line="256" w:before="180" w:after="283"/>
        <w:jc w:val="left"/>
        <w:rPr/>
      </w:pPr>
      <w:r>
        <w:rPr>
          <w:rFonts w:ascii="Times New Roman;sans-serif" w:hAnsi="Times New Roman;sans-serif"/>
          <w:b/>
          <w:i/>
          <w:color w:val="000000"/>
          <w:sz w:val="20"/>
        </w:rPr>
        <w:t>We must comply with various rules and requirements, including the payment of fees, of Mastercard and our sponsor banks in order to remain registered to participate in the Mastercard networks.</w:t>
      </w:r>
      <w:r>
        <w:rPr>
          <w:color w:val="000000"/>
        </w:rPr>
        <w:t xml:space="preserve"> </w:t>
      </w:r>
    </w:p>
    <w:p>
      <w:pPr>
        <w:pStyle w:val="TextBody"/>
        <w:bidi w:val="0"/>
        <w:spacing w:lineRule="auto" w:line="256" w:before="180" w:after="283"/>
        <w:jc w:val="left"/>
        <w:rPr/>
      </w:pPr>
      <w:r>
        <w:rPr>
          <w:rFonts w:ascii="Times New Roman;sans-serif" w:hAnsi="Times New Roman;sans-serif"/>
          <w:b w:val="false"/>
          <w:color w:val="000000"/>
          <w:sz w:val="20"/>
        </w:rPr>
        <w:t>A significant source of our revenue comes from processing transactions through the Mastercard networks. In order to offer Mastercard programs to our customers, one of our subsidiaries is registered as a member service provider with Mastercard through sponsorship by Mastercard member banks in both the U.S. and Canada. Registration as a service provider is dependent upon our being sponsored by member banks. If our sponsor banks should stop providing sponsorship for us or determine to provide sponsorship on materially less favorable terms, we would need to find other financial institutions to provide those services or we would need to become a Mastercard member, either of which could prove to be difficult and expensive. Even if we pursue sponsorship by alternative member banks, similar requirements and dependencies would likely still exist</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In addition, Mastercard routinely updates and modifies its membership requirements. Changes in such requirements may make it significantly more expensive for us to provide these services. If we do not comply with Mastercard requirements, it could seek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fine us, suspend us or terminate our registration, which allows us to process transactions on its networks. The termination of our registration, or any changes in the payment network rules that would impair our registration, could require us to stop providing Mastercard payment processing services. If we are unable to find a replacement financial institution to provide sponsorship or become a member, we may no longer be able to provide such services to the affected customers.</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Changes in Mastercard interchange fees could decrease our revenue.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our revenue is generated by network processing fees charged to merchants, known as interchange fees, associated with transactions processed using our Mastercard-branded cards. Interchange fee amounts associated with our Mastercard network cards are affected by a number of factors, including regulatory limits in the U.S. and Europe and fee changes imposed by Mastercard. In addition, interchange fees are the subject of intense legal, political and regulatory scrutiny and competitive pressures in the electronic payments industry, which could result in lower interchange fees generally in the future.</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Our Cross-Border solution depends on our relationships with banks and other financial institutions around the world, which may impose fees, restrictions and compliance burdens on us that make our operations more difficult or expensive.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our Cross-Border solution, we facilitate payment and foreign exchange solutions, primarily cross-border, cross-currency transactions, for small and medium size enterprises and other organizations. Increased regulation and compliance requirements are impacting these businesses by making it more costly for us to provide our solutions or by making it more cumbersome for businesses to do business with us. Any factors that increase the cost of cross-border trade for us or our customers or that restrict, delay, or make cross-border trade more difficult or impractical, such as trade policy (including restrictions arising out of the Russian and Ukrainian conflict or the Middle East conflict) or higher tariffs, could negatively impact our revenues and harm our business. We may also have difficulty establishing or maintaining banking relationships needed to conduct our services due to banks’ policies.</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Increasing scrutiny and changing expectations from investors, customers and our employees with respect to our environmental, social and governance (ESG) practices may impose additional costs on us or expose us to new or additional risks.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is increased focus, including from governmental organizations, investors, employees and clients, on ESG issues such as environmental stewardship, climate change, diversity and inclusion, racial justice and workplace conduct. Negative public perception, adverse publicity or negative comments in social media could damage our reputation if we do not, or are not perceived to, adequately address these issues. Any harm to our reputation could impact employee engagement and retention and the willingness of customers and our partners to do business with us. In addition, organizations that provide information to investors on corporate governance and related matters have developed ratings processes for evaluating companies on their approach to ESG matters, and unfavorable ratings of our company or our industries may lead to negative investor sentiment and the diversion of investment to other companies or industries.</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Maintaining and enhancing our brands is critical to our business relationships and operating results.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enhancing our brands is critical to our customer relationships, and our ability to obtain partners and retain employees. The successful promotion of our brands will depend upon our marketing and public relations efforts, our ability to continue to offer high-quality products and services and our ability to successfully differentiate our solutions from those of our competitors. In addition, future extension of our brands to add new products or services different from our current offerings may dilute our brands, particularly if we fail to maintain our quality standards in these new areas. The promotion of our brands will require us to make substantial expenditures, and we anticipate that the expenditures will increase as our markets become more competitive and we expand into new markets. Even if these activities increase our revenues, this revenue may not offset the expenses we incur. There can be no assurance that our brand promotion activities will be successful.</w:t>
      </w:r>
    </w:p>
    <w:p>
      <w:pPr>
        <w:pStyle w:val="TextBody"/>
        <w:bidi w:val="0"/>
        <w:spacing w:lineRule="auto" w:line="26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one or more of our counterparty financial institutions default on their financial or performance obligations to us or fail, we may incur significant losses. </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significant amounts of cash, cash equivalents, receivables outstanding, and other investments on deposit or in accounts with banks or other financial institutions in the U.S. and international jurisdictions. Among other services, certain banks and other financial institutions are lenders under our credit facilities, hold customer deposits for customers funds payable on demand, and hold cash collateral received from customers for derivative transactions as part of our Cross-Border solution. We regularly monitor our concentration of, and exposure to counterparty risk, and actively manage this exposure to mitigate the associated risk. Despite these efforts, we may be exposed to the risk of default on obligations by, or deteriorating operating results or financial condition or failure of, these counterparty financial institutions. If one of our counterparty financial institutions were to become insolvent, placed into receivership, or file for bankruptcy, our ability to recover losses incurred as a result of default or to access or recover our assets that are deposited, held in accounts with, or otherwise due from, such counterparty may be limited due to the insufficiency of the failed institutions’ estate to satisfy all claims in full or the applicable laws or regulations governing the insolvency, bankruptcy, or resolution proceedings. In the event of default on obligations by, or the failure of, one or more of these counterparties, we could incur significant losses, which could negatively impact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risks related to volatility in foreign currency exchange rates, and restrictions on our ability to utilize revenue generated in foreign currencies or funds held in foreign jurisdictions.</w:t>
      </w:r>
    </w:p>
    <w:p>
      <w:pPr>
        <w:pStyle w:val="TextBody"/>
        <w:bidi w:val="0"/>
        <w:spacing w:lineRule="auto" w:line="256" w:before="180" w:after="283"/>
        <w:jc w:val="left"/>
        <w:rPr/>
      </w:pPr>
      <w:r>
        <w:rPr>
          <w:rFonts w:ascii="Times New Roman;sans-serif" w:hAnsi="Times New Roman;sans-serif"/>
          <w:b w:val="false"/>
          <w:color w:val="000000"/>
          <w:sz w:val="20"/>
        </w:rPr>
        <w:t>As a result of our foreign operations, we are subject to risks related to changes in currency rates for revenue generated in currencies other than the U.S. dollar. For the year ended December 31, 2023, approxi</w:t>
      </w:r>
      <w:r>
        <w:rPr>
          <w:rFonts w:ascii="Times New Roman;sans-serif" w:hAnsi="Times New Roman;sans-serif"/>
          <w:b w:val="false"/>
          <w:color w:val="000000"/>
          <w:sz w:val="20"/>
          <w:shd w:fill="FFFFFF" w:val="clear"/>
        </w:rPr>
        <w:t>mate</w:t>
      </w:r>
      <w:r>
        <w:rPr>
          <w:rFonts w:ascii="Times New Roman;sans-serif" w:hAnsi="Times New Roman;sans-serif"/>
          <w:b w:val="false"/>
          <w:color w:val="000000"/>
          <w:sz w:val="20"/>
        </w:rPr>
        <w:t>ly 43% o</w:t>
      </w:r>
      <w:r>
        <w:rPr>
          <w:rFonts w:ascii="Times New Roman;sans-serif" w:hAnsi="Times New Roman;sans-serif"/>
          <w:b w:val="false"/>
          <w:color w:val="000000"/>
          <w:sz w:val="20"/>
          <w:shd w:fill="FFFFFF" w:val="clear"/>
        </w:rPr>
        <w:t>f our</w:t>
      </w:r>
      <w:r>
        <w:rPr>
          <w:color w:val="000000"/>
        </w:rPr>
        <w:t xml:space="preserve"> </w:t>
      </w:r>
      <w:r>
        <w:rPr>
          <w:rFonts w:ascii="Times New Roman;sans-serif" w:hAnsi="Times New Roman;sans-serif"/>
          <w:b w:val="false"/>
          <w:color w:val="000000"/>
          <w:sz w:val="20"/>
        </w:rPr>
        <w:t>revenue was denominated in currencies other than the U.S. dollar (primarily, British pound, Brazilian real, Canadian dollar, Russian ruble, Mexican peso, Czech koruna, euro, Australian dollar and New Zealand dollar). Revenue and profit generated by international operations may increase or decrease compared to prior periods as a result of changes in foreign currency exchange rates. Resulting exchange gains and losses are included in our net income. In addition, a majority of the revenue from our international payments provider business is from exchanges of currency at spot rates, which enable customers to make cross-currency payments. This solution also writes foreign currency forward and option contracts for our customers. The duration of these derivative contracts at inception is generally less than one year. The credit risk associated with our derivative contracts increases when foreign currency exchange rates move against our customers, possibly impacting their ability to honor their obligations to deliver currency to us or to maintain appropriate collateral with us.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from time to time, we have and expect to continue to enter into cross-currency swap agreements with financial institutions to hedge against the effect of variability in the U.S. dollar to foreign exchange rates. The swap agreements require an exchange of the notional amounts between us and the counterparties upon expiration or earlier termination of the agreements. If, at the expiration or earlier termination of the swap agreements, the U.S. dollar to applicable foreign exchange rate has declined from the rate in effect on the execution date, we are required to pay the counterparties an amount equal to the excess of the U.S. dollar value over the respective foreign currency principal amount. In the event of a significant decline in the applicable exchange rate, our payment obligations to the counterparties could have a material adverse effect on our cash flows.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are subject to exchange control regulations that restrict or prohibit the conversion of more than a specified amount of our foreign currencies into U.S. dollars, and, as we continue to expand, we may become subject to further exchange control regulations that limit our ability to freely utilize and transfer currency in and out of particular jurisdictions. These restrictions may make it more difficult to effectively utilize the cash generated by our operations and may adversely affect our financial condition.</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Our expansion through acquisitions may divert our management’s attention and result in unexpected operating or integration difficulties or increased costs and dilution to our stockholders, and we may never realize the anticipated benefits.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been an active acquirer in the U.S. and internationally, and, as part of our growth strategy, we expect to seek to acquire businesses, commercial account portfolios, technologies, services and products in the future. We have substantially expanded our overall portfolio of solutions, customer base, headcount and operations through acquisitions. The acquisition and integration of each business involves a number of risks and may result in unforeseen operating difficulties, delays and expenditures in assimilating or integrating the businesses, technologies, products, personnel or operations of the acquired business, all of which may divert resources and management attention otherwise available to grow our existing portfolio. In addition, acquisitions may expose us to geographic or business markets in which we have little or no prior experience, present difficulties in retaining the customers of the acquired business and present difficulties and expenses associated with new regulatory requirements, competition controls or investigations.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international acquisitions often involve additional or increased risks including difficulty managing geographically separated organizations, systems and facilities, difficulty integrating personnel with diverse business backgrounds, languages and organizational cultures, difficulty and expense introducing our corporate policies or controls and increased expense to comply with foreign regulatory requirements applicable to acquisitions.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of acquisitions could also result in the distraction of our management, the disruption of our ongoing operations or inconsistencies on our services, standards, controls, procedures and policies, any of which could affect our ability to achieve the anticipated benefits of an acquisition or otherwise adversely affect our operations and financial results.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complete future acquisitions, we may determine that it is necessary to use a substantial amount of our cash or engage in equity or debt financing. If we raise additional funds through further issuances of equity or convertible debt securities, our existing stockholders could suffer significant dilution, and any new equity securities we issue could have rights, preferences and privileges senior to those of holders of our common stock. In addition, we may not be able to obtain additional financing on terms favorable to us, if at all, which could limit our ability to engage in acquisitions. Moreover, we can make no assurances that the anticipated benefits of any acquisition, such as operating improvements or anticipated cost savings, would be realized. Further, an acquisition may negatively affect our operating results because it may require us to incur charges and substantial debt or other liabilities, may cause adverse tax consequences, substantial depreciation and amortization or deferred compensation charges, may require the amortization, write-down or impairment of amounts related to deferred compensation, goodwill and other intangible assets, may include substantial contingent consideration payments or other compensation that reduce our earnings during the quarter in which incurred, or may not generate sufficient financial return to offset acquisition costs.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from time to time, we may divest businesses, for, among other things, alignment with our strategic objectives. We may not be able to complete desired or proposed divestitures on terms favorable to us. Gains or losses on the sales of, or lost operating income from, those businesses may affect our profitability and margins. Moreover, we may incur asset impairment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related to divestitures that reduce our profitability. Our divestiture activities may present financial, managerial and operational risks. Those risks include diversion of management attention from existing businesses, difficulties separating personnel and financial and other systems, possible need for providing transition services to buyers, adverse effects on existing business relationships with suppliers and customers and indemnities and potential disputes with the buyers. Any of these factors could adversely affect our business, financial condition, and results of operations.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in foreign countries may be adversely affected by operational and political risks that are greater than in the U.S.</w:t>
      </w:r>
    </w:p>
    <w:p>
      <w:pPr>
        <w:pStyle w:val="TextBody"/>
        <w:bidi w:val="0"/>
        <w:spacing w:lineRule="auto" w:line="256" w:before="180" w:after="283"/>
        <w:jc w:val="left"/>
        <w:rPr/>
      </w:pPr>
      <w:r>
        <w:rPr>
          <w:rFonts w:ascii="Times New Roman;sans-serif" w:hAnsi="Times New Roman;sans-serif"/>
          <w:b w:val="false"/>
          <w:color w:val="000000"/>
          <w:sz w:val="20"/>
        </w:rPr>
        <w:t>We have foreign operations in, or provide services for customers in mor</w:t>
      </w:r>
      <w:r>
        <w:rPr>
          <w:rFonts w:ascii="Times New Roman;sans-serif" w:hAnsi="Times New Roman;sans-serif"/>
          <w:b w:val="false"/>
          <w:color w:val="000000"/>
          <w:sz w:val="20"/>
          <w:shd w:fill="FFFFFF" w:val="clear"/>
        </w:rPr>
        <w:t>e than 150 countries thro</w:t>
      </w:r>
      <w:r>
        <w:rPr>
          <w:rFonts w:ascii="Times New Roman;sans-serif" w:hAnsi="Times New Roman;sans-serif"/>
          <w:b w:val="false"/>
          <w:color w:val="000000"/>
          <w:sz w:val="20"/>
        </w:rPr>
        <w:t xml:space="preserve">ughout North America, South America, Europe, Africa, Oceania and Asia. We also expect to seek to expand our operations into various additional countries in Asia, Europe and Latin America as part of our growth strategy.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the countries where we operate, and other countries where we will seek to operate, such as Brazil and Mexico, have undergone significant political, economic and social change in recent years, and the risk of unforeseen changes in these countries may be greater than in the U.S. In addition, changes in laws or regulations, including with respect to payment service providers, taxation, information technology, data transmission and the internet, revenues from non-U.S. operations or in the interpretation of existing laws or regulations, whether caused by a change in government or otherwise, could materially adversely affect our business, operating results and financial condition.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military conflicts between Russia and Ukraine, as well as within the Middle East, are creating substantial uncertainty about the global economy in the future. Although the length, impact and outcome of the ongoing military conflicts between Russia and Ukraine and within the Middle East are highly unpredictable, these conflicts could lead to significant market and other disruptions. We have recently exited the Russia market via the disposition of our Russia business, which closed in the third quarter of 2023. Additionally, we do not have operations in Israel or Gaza. We cannot predict how and the extent to which these conflicts will affect our customers, operations or business partners or the demand for our products and our global business. </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actively monitoring the situations and assessing the impact on our business. The extent, severity, duration and outcome of the military conflicts, sanctions and resulting market disruptions could be significant and could potentially have substantial impact on the global economy and our business for an unknown period of time.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response to the Russian invasion of Ukraine, the U.S., the European Union, the U.K. and other governments have imposed sanctions and other restrictive measures. Such sanctions, and other measures, as well as countersanctions or other responses from Russia or other countries have adversely affected, and will adversely affect, the global economy and financial markets and could adversely affect our business, financial condition and results of operations or otherwise aggravate the other risk factors that we identify herein. We cannot predict the scope of future developments in sanctions, punitive actions or macroeconomic factors arising from these conflicts. These measures are complex and still evolving. Our efforts to comply with such measures may be costly and time consuming and will divert the attention of management. Any alleged or actual failure to comply with these measures may subject us to government scrutiny, civil or criminal proceedings, sanctions, and other liabilities, which may have a material and adverse effect on our business, financial condition, and results of operations. </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on the actions we take or are required to take, the ongoing conflicts could also result in loss of cash, assets or impairment charges. Additionally, we may also face negative publicity and reputational risk based on the actions we take or are required to take as a result of these conflicts, which could damage our brand image or corporate reputation. The extent of the impact of these tragic events on our business remains uncertain and will continue to depend on numerous evolving factors that we are not able to accurately predict, including the extent, severity, duration and outcome of these conflicts. We are actively monitoring the situations and assessing the impact on our business, and are continuing to refine our business continuity plan, which includes crisis response materials designed to mitigate the impact of disruptions to our business. Further, there can be no assurance that our plan will successfully mitigate all disruptions. To date we have not experienced any material interruptions in our infrastructure, technology systems or networks needed to support our operations. The extent, severity, duration and outcome of these military conflicts, sanctions and resulting market disruptions could be significant and could potentially have substantial impact on the global economy and our business for an unknown period of time.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conducting and expanding our international operations subjects us to other political, economic, technological, operational and regulatory risks and difficulties that we do not generally face in the U.S. These risks and difficulties could negatively affect our international operations and, consequently, our operating results. Further, operating in international markets requires significant management attention and financial resources. We cannot be certain that the investment and additional resources required to establish, acquire or integrate operations in other countries will produce desired levels of revenue or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Our payment solutions' results are subject to seasonality, which could result in fluctuations in our quarterly financial results.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Vehicle Payments solutions are typically subject to seasonal fluctuations in revenues and profit, which are impacted during the first and fourth quarter each year by the weather, holidays in the U.S., and lower business levels in Brazil due to summer break and the Carnival celebration. Our Gift solutions are typically subject to seasonal fluctuations in revenues as a result of consumer spending patterns. Historically, Gift revenues have been strongest in the third and fourth quarters and weakest in the first and second quarters, as the retail industry has its highest level of activity during and leading up to the Christmas holiday season.</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Other Financial Risks</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The restatement of our 2023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20 to the Consolidated Financial Statements included elsewhere in this Annual Report on Form 10-K, we determined to restate our unaudited condensed consolidated financial statements for the quarterly periods ended March 31, 2023, June 30, 2023 and September 30, 2023 after the Company determined that there were errors related to the accounting for certain balance sheet accounts. As a result of these errors and the resulting restatement of our unaudited condensed consolidated financial statements for the impacted periods, we have incurred, and may continue to incur, unanticipated costs for accounting and legal fees in connection with or related to the restatement, and have become subject to a number of additional risks and uncertainties, including the increased possibility of litigation and regulatory inquiries. Any of the foregoing may affect investor confidence in the accuracy of our financial disclosures and may raise reputational risks for our business, both of which could harm our business and financial results. </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We have identified material weaknesses in our internal control over financial reporting and, if we fail to remediate these material weaknesses, we may not be able to accurately or timely report our financial condition or results of operations, which may adversely affect our business.</w:t>
      </w:r>
    </w:p>
    <w:p>
      <w:pPr>
        <w:pStyle w:val="TextBody"/>
        <w:bidi w:val="0"/>
        <w:spacing w:lineRule="auto" w:line="256" w:before="180" w:after="283"/>
        <w:jc w:val="left"/>
        <w:rPr/>
      </w:pPr>
      <w:r>
        <w:rPr>
          <w:rFonts w:ascii="Times New Roman;sans-serif" w:hAnsi="Times New Roman;sans-serif"/>
          <w:b w:val="false"/>
          <w:color w:val="000000"/>
          <w:sz w:val="20"/>
        </w:rPr>
        <w:t>As described under Item 9A. "Controls and Procedures" below, we have concluded that material weaknesses in our internal control over financial reporting existed as of December 31, 2023 and, accordingly, internal control over financial reporting and our disclosure controls and procedures were not effective as of such date.</w:t>
      </w:r>
      <w:r>
        <w:rPr>
          <w:color w:val="000000"/>
        </w:rPr>
        <w:t xml:space="preserve"> </w:t>
      </w:r>
      <w:r>
        <w:rPr>
          <w:rFonts w:ascii="Times New Roman;sans-serif" w:hAnsi="Times New Roman;sans-serif"/>
          <w:b w:val="false"/>
          <w:color w:val="000000"/>
          <w:sz w:val="20"/>
        </w:rPr>
        <w:t>Specifically, as a result of management’s evaluation, management identified the material weaknesses related to 1) ineffective information technology general controls (ITGCs) in the area of user access management over certain information technology systems used in the execution of controls that support the Company’s financial reporting processes and 2) ineffective controls related to the application of U.S. GAAP guidance related to the balance sheet recognition of customer funds held for the benefit of others leading to the correction of previously issued unaudited condensed consolidated financial statements for the 2023 quarterly periods as further discussed above.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has developed its remediation plan and is in the process of implementing it. Until the remediation plan is fully implemented, tested and deemed effective, we cannot provide assurance that our actions will adequately remediate the material weaknesses or that additional material weaknesses in our internal controls will not be identified in the future. Effective internal control over financial reporting is necessary for us to provide reliable and timely financial reports and, together with adequate disclosure controls and procedures, are designed to reasonably detect and prevent fraud. The occurrence of, or failure to remediate, these material weaknesses and any future material weaknesses in our internal control over financial reporting may adversely affect the accuracy and reliability and timeliness of our financial statements and have other consequences that could materially and adversely affect our business.</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our intellectual property rights and confidential information, our competitive position could be harmed and we could be required to incur significant expenses in order to enforce our rights.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protect our proprietary technology, we rely on copyright, trade secret, patent and other intellectual property laws and confidentiality agreements with employees and third parties, all of which offer only limited protection. Despite our precautions, it may be possible for third parties to obtain and use without our consent confidential information or infringe on our intellectual property rights, and our ability to police that misappropriation or infringement is uncertain, particularly in countries outside of the U.S. In addition, our confidentiality agreements with employees, vendors, customers and other third parties may not effectively prevent disclosure or use of proprietary technology or confidential information and may not provide an adequate remedy in the event of such unauthorized use or disclosure.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Protecting against the unauthorized use of our intellectual property and confidential information is expensive, difficult and not always possible. Litigation may be necessary in the future to enforce or defend our intellectual property rights, to protect our confidential information, including trade secrets, or to determine the validity and scope of the proprietary rights of others. This litigation could be costly and divert management resources, either of which could harm our business, operating results and financial condition. Accordingly, despite our efforts, we may not be able to prevent third parties from infringing upon or misappropriating our intellectual property and proprietary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the steps we have taken will prevent the unauthorized use or the reverse engineering of our proprietary technology. Moreover, others may independently develop technologies that are competitive to ours or infringe our intellectual property. The enforcement of our intellectual property rights also depends on our legal actions against these infringers being successful, and we cannot be sure these actions will be successful, even when our rights have been infringed. Furthermore, effective patent, trademark, service mark, copyright and trade secret protection may not be available in every country in which we may offer our products and services.</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Claims by others that we or our customers infringe their intellectual property rights could harm our business.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have in the past, and could in the future claim that our technologies and processes underlying our products and services infringe their intellectual property. In addition, to the extent that we gain greater visibility, market exposure, and add new products and services, we may face a higher risk of being the target of intellectual property infringement claims asserted by third parties. We may, in the future, receive notices alleging that we have misappropriated or infringed a third party’s intellectual property rights. There may be third-party intellectual property rights, including patents and pending patent applications that cover significant aspects of our technologies, processes or business methods. Any claims of infringement or misappropriation by a third party, even those without merit, could cause us to incur substantial defense costs and could distract our management from our business, and there can be no assurance that we will be able to prevail against such claims. Some of our competitors may have the capability to dedicate substantially greater resources to enforcing their intellectual property rights and to defending claims that may be brought against them than we do. Furthermore, a party making such a claim, if successful, could secure a judgment that requires us to pay substantial damages, potentially including treble damages if we are found to have willfully infringed a patent. A judgment could also include an injunction or other court order that could prevent us from offering our products and services. In addition, we might be required to seek a license for the use of a third party’s intellectual property, which may not be available on commercially reasonable terms or at all. Alternatively, we might be required to develop non-infringing technology, which could require significant effort and expense and might ultimately not be successful.</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may also assert infringement claims against our customers relating to their use of our technologies or processes. Any of these claims might require us to defend potentially protracted and costly litigation on their behalf, regardless of the merits of these claims, because under certain conditions we may agree to indemnify our customers from third-party claims of intellectual property infringement. If any of these claims succeed, we might be forced to pay damages on behalf of our customers, which could adversely affect our business, operating results and financial condition.</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Finally, we use open source software in connection with our technology and services. Companies that incorporate open source software into their products, from time to time, face claims challenging the ownership of open source software. As a result, we could be subject to suits by parties claiming ownership of what we believe to be open source software. Open source software is also provided without warranty, and may therefore include bugs, security vulnerabilities or other defects for which we have no recourse or recovery. Some open source software licenses require users of such software to publicly disclose all or part of the source code to their software and/or make available any derivative works of the open source code on unfavorable terms or at no cost. While we monitor the use of open source software in our technology and services and try to ensure that none is used in a manner that would require us to disclose the source code to the related technology or service, such use could inadvertently occur and any requirement to disclose our proprietary source code could be harmful to our business, financial condition and results of operations.</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Our success is dependent, in part, upon our executive officers and other key personnel, and the loss of key personnel could materially adversely affect our business.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executive officers and other key personnel. Our senior management team has significant industry experience and would be difficult to replace. The market for qualified individuals is competitive, especially in certain fields, including information technology, and we may not be able to attract and retain qualified personnel or candidates to replace or succeed members of our senior management team or other key personnel. The loss of key personnel could materially adversely affect our business.</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regulatory matters and litigation</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Changes in laws, regulations and enforcement activities may adversely affect our products and services and the markets in which we operate.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electronic payments industry is subject to increasing regulation in the U.S. and internationally. The laws and regulations applicable to us, including those enacted prior to the advent of digital payments, continue to evolve through legislative and regulatory action and judicial interpretation. Domestic and foreign government regulations impose compliance obligations on us and restrictions on our operating activities, which can be difficult to administer because of their scope, mandates and varied requirements. We are subject to government regulations covering a number of different areas, including, among others: interest rate and fee restrictions; credit access and disclosure requirements; licensing and registration requirements, including money transmitter licenses; collection and pricing regulations; compliance obligations; security, privacy and data breach requirements; identity theft protection programs; countering terrorist financing; AML compliance programs and consumer protection. While a large portion of these regulations focuses on individual consumer protection, legislatures and regulators continue to consider whether to include business customers, especially smaller business customers, within the scope of these regulations. As a result, new or expanded regulation focusing on business customers or changes in interpretation or enforcement of regulations, as well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increased penalties and enforcement actions related to non-compliance, may have an adverse effect on our business and operating results, due to increased compliance costs and new restrictions affecting the terms under which we offer our products and services.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of our subsidiaries are subject to regulation under the BSA by FinCEN and must comply with applicable AML requirements, including implementation of an effective AML program. Our business in Canada is also subject to the PCMLTFA, which is a corollary to the BSA. Changes in this regulatory environment, including changing interpretations and the implementation of new or varying regulatory requirements by the government, may significantly affect or change the manner in which we currently conduct some aspects of our business.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service provider to certain of our bank sponsors, we are subject to direct supervision and examination by the CFPB, in connection with certain of our products and services. CFPB rules, examinations and enforcement actions may require us to adjust our activities and may increase our compliance costs. In addition, our bank partners are subject to regulation by federal and state banking authorities and, as a result, could pass through some of those compliance obligations to us or alter the extent or the terms of their dealings with us in ways that may have adverse consequences for our business.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these laws and regulations are evolving, unclear and inconsistent across various jurisdictions, and ensuring compliance with them is difficult and costly. With increasing frequency, federal and state regulators are holding businesses like ours to higher standards of training, monitoring and compliance, including monitoring for possible violations of laws by our customers and people who do business with our customers while using our products. If we fail or are unable to comply with existing or changed government regulations in a timely and appropriate manner, we may be subject to injunctions, other sanctions or the payment of fines and penalties, and our reputation may be harmed, which could have a material adverse effect on our business, financial condition and results of operations. Further, as we interact directly with consumers, in conjunction with our existing customers and partners or directly on our own behalf, our compliance obligations may expand.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about laws, regulations and enforcement activities that may adversely affect our products and services and the markets in which we operate, see “Business- Regulatory.”</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Derivatives regulations have added costs to our business and any additional requirements, such as future registration requirements and increased regulation of derivative contracts, may result in additional costs or impact the way we conduct our hedging activities, as well as impact how we conduct our business within our international payments provider operations.</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Over-the-counter (OTC) derivatives are a core product offered by the Cross-Border business. Non-centrally cleared OTC derivatives can have certain advantages over exchange-traded and centrally cleared derivatives. Some derivative types are only available to be traded as non-centrally cleared OTC. In other cases, exchange-traded equivalents are less liquid or less cost-effective in gaining or hedging certain market exposures. Further, OTC derivatives offer investors more flexibility in structure because, unlike the standardized cleared products, they can be tailored or customized to fit specific needs or investment goals. In order to best meet a client’s risk management objectives, our Cross-Border solution would like to preserve the ability to continue trading these types of OTC derivatives when possible. The most broadly used OTC derivative at Cross-Border Solutions are foreign currency forwards, the most common financial tool used in the marketplace to hedge currency.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Rules adopted under the Dodd-Frank Act by the CFTC in the U.S., provisions of the European Market Infrastructure Regulation and its technical standards in the UK and EU, as well as derivative reporting in Canada and Australia, have subjected certain of the foreign exchange derivative contracts we offer to our customers as part of our Cross-Border solutions to reporting, record keeping, and other requirements. Additionally, certain foreign exchange derivatives transactions we may enter into in the future may be subject to centralized clearing requirements or may be subject to margin requirements in the U.S., U.K., and European Union or other jurisdictions.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compliance with these requirements has resulted, and may continue to result, in additional costs to our business and may impact our international payments provider business operations. Furthermore, our failure to comply with these requirements could result in fines and other sanctions, as well as necessitate a temporary or permanent cessation to some or all of our derivative related activities. Any such fines, sanctions or limitations on our business could adversely affect our operations and financial results. Additionally, the regulatory regimes for derivatives in the U.S., U.K., and European Union, such as under the Dodd-Frank Act and the Markets in Financial Instruments Directive (MiFID II) are continuing to evolve and changes to such regimes, our designation under such regimes, our associated costs for entering into derivatives transactions or the implementation of new rules under such regimes, such as future registration requirements and increased regulation of derivative contracts, may result in additional costs to our business. Other jurisdictions outside the U.S., U.K., and the European Union are considering, have implemented, or are implementing regulations similar to those described above and these may result in greater costs to us as well.</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Banks and other non-bank financial institutions are subject to additional regulatory requirements associated with trading non-centrally cleared OTC derivatives with any counterparty that has $8 billion or more in total derivatives within its portfolio. This is as a result of the full implementation of the Uncleared Margin Rules (UMR), which completed the sixth and final phases in September 2022. The Cross-Border business is subject to the UMR. The UMR provides for an exemption of the first $50 million of initial margin due from a market participant, such as the Cross-Border business, and each of its banking counterparties. We will need to carefully monitor and manage initial and variation margin requirements. In cases where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market experiences significant disruption, our clients may take longer to post variation margin or collateral than what is required of our Cross-Border solution related to its own interbank counterparties, resulting in transitory periods of elevated liquidity risk.</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Derivative transactions and delayed settlements may expose us to unexpected risk and potential losses.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Cross-Border business, we are party to a large number of derivative transactions. Many of these derivative instruments are individually negotiated and non-standardized, which can make exiting, transferring or settling positions difficult. Derivative transactions may also involve the risk that documentation has not been properly executed, that executed agreements may not be enforceable against the counterparty, or that obligations under such agreements may not be able to be “netted” against other obligations with such counterparty. In addition, counterparties may claim that such transactions were not appropriate or authorized.</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contracts and other transactions entered into with third parties often don’t require performance until a future date, which can be months away, and are not always settled on a timely basis. While the transaction remains open there is always the chance of non-performance, especially is market movements make the contract less attractive, so we are subject to heightened credit and operational risk and in the event of a default. In addition, as new complex derivative products are created, disputes about the terms of the underlying contracts could arise, which could impair our ability to effectively manage our risk exposures from these products and subject us to increased costs. The provisions of the Dodd-Frank Act requiring central clearing of OTC derivatives, or a market shift toward standardized derivatives, could reduce the risk associated with such transactions, but under certain circumstances could also limit our ability to develop derivatives that best suit the needs of our clients and to hedge our own risks, and could adversely affect our profitability and increase our credit exposure to such platform.</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Laws, governmental regulations and contractual obligations designed to protect or limit access to personal information could adversely affect our ability to effectively provide our services.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Governmental bodies in the U.S. and abroad have adopted, or are considering the adoption of, laws and regulations granting consumer rights to, restricting the transfer of, and requiring safeguarding of, personal information. For example, in the U.S., all financial institutions must undertake certain steps to help protect the privacy and security of consumer financial information. In connection with providing services to our clients, we are required by regulations and arrangements with payment networks, our sponsor banks and certain clients to provide assurances regarding the confidentiality and security of non-public consumer information. These arrangements require periodic audits by independent companies regarding our compliance with industry standards such as PCI standards and also allow for similar audits regarding best practices established by regulatory guidelines. The compliance standards relate to our infrastructure, components, and operational procedures designed to safeguard the confidentiality and security of non-public consumer personal information received from our customers. Our ability to maintain compliance with these standards and satisfy these audits will affect our ability to attract and maintain business in the future. If we fail to comply with these regulations, we could be exposed to suits for breach of contract or to governmental proceedings. In addition, our client relationships and reputation could be harmed, and we could be inhibited in our ability to obtain new clients. If more restrictive privacy laws or rules are adopted by authorities in the future on the federal or state level or internationally, our compliance costs may increase, our opportunities for growth may be curtailed by our compliance capabilities or reputational harm and our potential liability for security breaches may increase, all of which could have a material adverse effect on our business, financial condition and results of operations.</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Legislation and regulation of greenhouse gases (“GHG”) and related divestment and other efforts could adversely affect our business.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aware of the increasing focus of local, state, regional, national and international regulatory bodies on GHG emissions and climate change issues. Legislation to regulate GHG emissions has periodically been introduced in the U.S. Congress, and there has been a wide-ranging policy debate, both in the U.S. and internationally, regarding the impact of these gases and possible means for their regulation. Several states and geographic regions in the U.S. have adopted legislation and regulations to reduce emissions of GHGs. Additional legislation or regulation by these states and regions, the EPA, and/or any international agreements to which the U.S. may become a party, that control or limit GHG emissions or otherwise seek to address climate change could adversely affect our partners’ and merchants’ operations, and therefore ours. Because our business depends on the level of activity in the oil industry, existing or future laws or regulations related to GHGs and climate change, including incentives to conserve energy or use alternative energy sources, could have a negative impact on our business if such laws or regulations reduce demand for fuel. Further, we may not be able to successfully execute our EV strategy, which could further adversely affect our business.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regulatory efforts described above, there have also been efforts in recent years aimed at the investment community, including investment advisors, sovereign wealth funds, public pension funds, universities and other groups, promoting the divestment of fossil fuel equities as well as to pressure lenders and other financial services companies to limit or curtail activities with companies engaged in the extraction of fossil fuel reserves. If these efforts are successful, our ability to access capital markets may be limited and our stock price may be negatively impacted.</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Members of the investment community have recently increased their focus on sustainability practices with regard to the oil and gas industry, including practices related to GHGs and climate change. An increasing percentage of the investment community considers sustainability factors in making investment decisions, and an increasing number of our partners and merchants consider sustainability factors in awarding work. If we are unable to successfully address sustainability enhancement,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lose partners or merchants, our stock price may be negatively impacted, our reputation may be negatively affected, and it may be more difficult for us to effectively compete.</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We contract with government entities and are subject to risks related to our governmental contracts.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course of our business we contract with domestic and foreign government entities, including state and local government customers, as well as federal government agencies. As a result, we are subject to various laws and regulations that apply to companies doing business with federal, state and local governments. The laws relating to government contracts differ from other commercial contracting laws and our government contracts may contain pricing terms and conditions that are not common among commercial contracts. In addition, we may be subject to investigation from time to time concerning our compliance with the laws and regulations relating to our government contracts. Our failure to comply with these laws and regulations may result in suspension of these contracts or administrative or other penalties.</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Litigation and regulatory actions could subject us to significant fines, penalties or requirements resulting in significantly increased expenses, damage to our reputation and/or material adverse effects on our business.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or may from time to time be, subject to claims in the ordinary course of our operations, including individual and class action lawsuits, arbitration proceedings, government and regulatory investigations, inquiries, actions or requests, and other proceedings alleging violations of laws, rules, and regulations with respect to competition, antitrust, intellectual property, privacy, data protection, information security, anti-money laundering, counter-terrorist financing, sanctions, anti-bribery, anti-corruption, consumer protection (including unfair, deceptive, or abusive acts or practices), fraud, accessibility, securities, tax, labor and employment, commercial disputes, product liability, use of our services for illegal purposes and other matters. The number and significance of these disputes and inquiries is expected to continue to increase as our products, services, and business expand in complexity, scale, scope, and geographic reach, including through acquisitions of businesses and technology. Responding to proceedings may be difficult and expensive, and we may not prevail. In some proceedings, the claimant seeks damages as well as other relief, which, if granted, would require expenditures on our part or changes in how we conduct business. There can be no certainty that we will not ultimately incur charges in excess of presently established or future financial accruals or insurance coverage, or that we will prevail with respect to such proceedings. Regardless of whether we prevail or not, such proceedings could have a material adverse effect on our business, reputation, financial condition and results of operations. Further, these types of matters could divert our management’s attention and other resources away from our business. In addition, from time to time, we have had, and expect to continue to receive, inquiries from regulatory bodies and administrative agencies relating to the operation of our business. Any potential claims or any such inquiries or potential claims have resulted in, and may continue to result in, various audits, reviews and investigations, which can be time consuming and expensive. These types of inquiries, audits, reviews, and investigations could result in the institution of administrative or civil proceedings, sanctions and the payment of fines and penalties, various forms of injunctive relief and redress, changes in personnel, and increased review and scrutiny by customers, regulatory authorities, the media and others, which could be significant and could have a material adverse effect on our business, reputation, financial condition and results of operations.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in the Legal Proceedings section below, we are required to comply with an Order issued by the U.S. District Court for the Northern District of Georgia on June 8, 2023 (the “FTC Order”). The FTC Order requires us, among other things, to comply with certain advertising, contracting, record maintenance, and reporting requirements for the U.S. Fleet business. Material failures to comply with the obligations under the FTC Order may subject us to enforcement proceedings, which could result in significant fines, penalties or liabilities that may impact our financial performance.</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Failure to comply with the FCPA, AML regulations, economic and trade sanctions regulations and similar laws and regulations applicable to our international activities, could subject us to penalties and other adverse consequences.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our business internationally, we may continue to expand into certain foreign countries, particularly those with developing economies, where companies often engage in business practices that are prohibited by U.S., U.K. and other foreign regulations, including the FCPA, the U.K. Bribery Act, Canada’s PCMLTFA, and Australia’s AML/CTF Act. These laws and regulations generally prohibit our employees, consultants and agents from bribing, being bribed or making other prohibited payments to government officials or other persons to obtain or retain business or gain some other business advantage. We have implemented policies to discourage such practices; however, there can be no assurances that all of our employees, consultants and agents, including those that may be based in or from countries where practices that violate these laws may be customary, will not take actions in violation of our policies for which we may be ultimately responsible.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subject to AML laws and regulations, including the BSA. Among other things, the BSA requires money services businesses (such as money transmitters and providers of prepaid access) to develop and implement risk-based AML programs, verify the identity of our customers, report large cash transactions and suspicious activity, and maintain transaction records.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certain economic and trade sanctions programs that are administered by OFAC, which prohibit or restrict transactions to or from or dealings with specified countries, their governments, and in certain circumstances, their nationals, and with individuals and entities that are specially designated nationals of those countries, narcotics traffickers, and terrorists or terrorist organizations. Other group entities may be subject to additional foreign or local sanctions requirements in other relevant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Similar AML and counter-terrorist financing and proceeds of crime laws apply to movements of currency and payments through electronic transactions and to dealings with persons specified in lists maintained by the country equivalent to OFAC lists in several other countries and require specific data retention obligations to be observed by intermediaries in the payment process. Our businesses in those jurisdictions are subject to those data retention obligations.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Violations of these laws and regulations may result in severe criminal or civil sanctions and, in the U.S., suspension or debarment from U.S. government contracting. Likewise, any investigation of any potential violations of these laws and regulations by U.S. or foreign authorities could also have an adverse impact on our reputation and operating results. In addition, we cannot predict the nature, scope or effect of future regulatory requirements to which our international operations might be subject or the manner in which existing laws and regulations might be administered or interpreted.</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debt</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Our debt obligations, or our incurrence of additional debt obligations, could limit our flexibility in managing our business and could materially and adversely affect our financial performance.</w:t>
      </w:r>
    </w:p>
    <w:p>
      <w:pPr>
        <w:pStyle w:val="TextBody"/>
        <w:bidi w:val="0"/>
        <w:spacing w:lineRule="auto" w:line="256" w:before="180" w:after="283"/>
        <w:jc w:val="left"/>
        <w:rPr/>
      </w:pPr>
      <w:r>
        <w:rPr>
          <w:rFonts w:ascii="Times New Roman;sans-serif" w:hAnsi="Times New Roman;sans-serif"/>
          <w:b w:val="false"/>
          <w:color w:val="000000"/>
          <w:sz w:val="20"/>
        </w:rPr>
        <w:t>At December 31, 2023, we had approximatel</w:t>
      </w:r>
      <w:r>
        <w:rPr>
          <w:rFonts w:ascii="Times New Roman;sans-serif" w:hAnsi="Times New Roman;sans-serif"/>
          <w:b w:val="false"/>
          <w:color w:val="000000"/>
          <w:sz w:val="20"/>
          <w:shd w:fill="FFFFFF" w:val="clear"/>
        </w:rPr>
        <w:t>y $6.7 billion of</w:t>
      </w:r>
      <w:r>
        <w:rPr>
          <w:color w:val="000000"/>
        </w:rPr>
        <w:t xml:space="preserve"> </w:t>
      </w:r>
      <w:r>
        <w:rPr>
          <w:rFonts w:ascii="Times New Roman;sans-serif" w:hAnsi="Times New Roman;sans-serif"/>
          <w:b w:val="false"/>
          <w:color w:val="000000"/>
          <w:sz w:val="20"/>
        </w:rPr>
        <w:t>debt outstanding under our Credit Facility and Securitization Facility. In addition, we are permitted under our credit agreement to incur additional indebtedness, subject to specified limitations. Our indebtedness currently outstanding, or as may be outstanding if we incur additional indebtedness, could have important consequences, including the following:</w:t>
      </w:r>
    </w:p>
    <w:p>
      <w:pPr>
        <w:pStyle w:val="TextBody"/>
        <w:bidi w:val="0"/>
        <w:spacing w:lineRule="auto" w:line="256" w:before="180" w:after="283"/>
        <w:ind w:left="0" w:right="0" w:hanging="360"/>
        <w:jc w:val="left"/>
        <w:rPr/>
      </w:pPr>
      <w:r>
        <w:rPr>
          <w:color w:val="000000"/>
        </w:rPr>
        <w:t>•</w:t>
      </w:r>
      <w:r>
        <w:rPr>
          <w:rFonts w:ascii="Times New Roman;sans-serif" w:hAnsi="Times New Roman;sans-serif"/>
          <w:b w:val="false"/>
          <w:color w:val="000000"/>
          <w:sz w:val="20"/>
        </w:rPr>
        <w:t>we may have difficulty satisfying our obligations under our debt facilities and, if we fail to satisfy these obligations, an event of default could result;</w:t>
      </w:r>
    </w:p>
    <w:p>
      <w:pPr>
        <w:pStyle w:val="TextBody"/>
        <w:bidi w:val="0"/>
        <w:spacing w:lineRule="auto" w:line="256" w:before="180" w:after="283"/>
        <w:ind w:left="0" w:right="0" w:hanging="360"/>
        <w:jc w:val="left"/>
        <w:rPr/>
      </w:pPr>
      <w:r>
        <w:rPr>
          <w:color w:val="000000"/>
        </w:rPr>
        <w:t>•</w:t>
      </w:r>
      <w:r>
        <w:rPr>
          <w:rFonts w:ascii="Times New Roman;sans-serif" w:hAnsi="Times New Roman;sans-serif"/>
          <w:b w:val="false"/>
          <w:color w:val="000000"/>
          <w:sz w:val="20"/>
        </w:rPr>
        <w:t>we may be required to dedicate a substantial portion of our cash flow from operations to required payments on our indebtedness, thereby reducing the availability of cash flow for acquisitions, working capital, capital expenditures and other general corporate activities. See “Management’s Discussion and Analysis of Financial Condition and Results of Operations-Material Cash Requirements and Uses of Cash;”</w:t>
      </w:r>
    </w:p>
    <w:p>
      <w:pPr>
        <w:pStyle w:val="TextBody"/>
        <w:bidi w:val="0"/>
        <w:spacing w:lineRule="auto" w:line="256" w:before="180" w:after="283"/>
        <w:ind w:left="0" w:right="0" w:hanging="360"/>
        <w:jc w:val="left"/>
        <w:rPr/>
      </w:pPr>
      <w:r>
        <w:rPr>
          <w:color w:val="000000"/>
        </w:rPr>
        <w:t>•</w:t>
      </w:r>
      <w:r>
        <w:rPr>
          <w:rFonts w:ascii="Times New Roman;sans-serif" w:hAnsi="Times New Roman;sans-serif"/>
          <w:b w:val="false"/>
          <w:color w:val="000000"/>
          <w:sz w:val="20"/>
        </w:rPr>
        <w:t>covenants relating to our debt may limit our ability to enter into certain contracts, pay dividends or to obtain additional financing for acquisitions, working capital, capital expenditures and other general corporate activities, including to react to changes in our business or the industry in which we operate;</w:t>
      </w:r>
    </w:p>
    <w:p>
      <w:pPr>
        <w:pStyle w:val="TextBody"/>
        <w:bidi w:val="0"/>
        <w:spacing w:lineRule="auto" w:line="256" w:before="180" w:after="283"/>
        <w:ind w:left="0" w:right="0" w:hanging="360"/>
        <w:jc w:val="left"/>
        <w:rPr/>
      </w:pPr>
      <w:r>
        <w:rPr>
          <w:color w:val="000000"/>
        </w:rPr>
        <w:t>•</w:t>
      </w:r>
      <w:r>
        <w:rPr>
          <w:rFonts w:ascii="Times New Roman;sans-serif" w:hAnsi="Times New Roman;sans-serif"/>
          <w:b w:val="false"/>
          <w:color w:val="000000"/>
          <w:sz w:val="20"/>
        </w:rPr>
        <w:t>events outside our control, including volatility in the credit markets or a significant rise in fuel prices, may make it difficult to renew our Securitization Facility on terms acceptable to us and limit our ability to timely fund our working capital needs;</w:t>
      </w:r>
    </w:p>
    <w:p>
      <w:pPr>
        <w:pStyle w:val="TextBody"/>
        <w:bidi w:val="0"/>
        <w:spacing w:lineRule="auto" w:line="256" w:before="180" w:after="283"/>
        <w:ind w:left="0" w:right="0" w:hanging="360"/>
        <w:jc w:val="left"/>
        <w:rPr/>
      </w:pPr>
      <w:r>
        <w:rPr>
          <w:color w:val="000000"/>
        </w:rPr>
        <w:t>•</w:t>
      </w:r>
      <w:r>
        <w:rPr>
          <w:rFonts w:ascii="Times New Roman;sans-serif" w:hAnsi="Times New Roman;sans-serif"/>
          <w:b w:val="false"/>
          <w:color w:val="000000"/>
          <w:sz w:val="20"/>
        </w:rPr>
        <w:t>the amount of receivables that qualify under our Securitization Facility could decrease, which could materially and adversely impact our liquidity;</w:t>
      </w:r>
    </w:p>
    <w:p>
      <w:pPr>
        <w:pStyle w:val="TextBody"/>
        <w:bidi w:val="0"/>
        <w:spacing w:lineRule="auto" w:line="256" w:before="180" w:after="283"/>
        <w:ind w:left="0" w:right="0" w:hanging="360"/>
        <w:jc w:val="left"/>
        <w:rPr/>
      </w:pPr>
      <w:r>
        <w:rPr>
          <w:color w:val="000000"/>
        </w:rPr>
        <w:t>•</w:t>
      </w:r>
      <w:r>
        <w:rPr>
          <w:rFonts w:ascii="Times New Roman;sans-serif" w:hAnsi="Times New Roman;sans-serif"/>
          <w:b w:val="false"/>
          <w:color w:val="000000"/>
          <w:sz w:val="20"/>
        </w:rPr>
        <w:t>we may be more vulnerable than our less leveraged competitors to the impact of economic downturns and adverse developments in the industry in which we operate; and</w:t>
      </w:r>
    </w:p>
    <w:p>
      <w:pPr>
        <w:pStyle w:val="TextBody"/>
        <w:bidi w:val="0"/>
        <w:spacing w:lineRule="auto" w:line="256" w:before="180" w:after="283"/>
        <w:ind w:left="0" w:right="0" w:hanging="360"/>
        <w:jc w:val="left"/>
        <w:rPr/>
      </w:pPr>
      <w:r>
        <w:rPr>
          <w:color w:val="000000"/>
        </w:rPr>
        <w:t>•</w:t>
      </w:r>
      <w:r>
        <w:rPr>
          <w:rFonts w:ascii="Times New Roman;sans-serif" w:hAnsi="Times New Roman;sans-serif"/>
          <w:b w:val="false"/>
          <w:color w:val="000000"/>
          <w:sz w:val="20"/>
        </w:rPr>
        <w:t>we are exposed to the risk of increased interest rates because our borrowings are generally subject to variable or floating rates of interest.</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and our subsidiaries may incur substantial additional indebtedness in the future, including through our Securitization Facility. Although our credit agreements contain restrictions on the incurrence of additional indebtedness, these restrictions are subject to a number of significant qualifications and exceptions, and under certain circumstances, the amount of additional indebtedness that could be incurred in compliance with these restrictions could be substantial. If new debt is added to our existing debt levels, the related risks that we will face would increase.</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Our balance sheet includes significant amounts of goodwill and intangible assets. The impairment of a significant portion of these assets would negatively affect our financial results.</w:t>
      </w:r>
    </w:p>
    <w:p>
      <w:pPr>
        <w:pStyle w:val="TextBody"/>
        <w:bidi w:val="0"/>
        <w:spacing w:lineRule="auto" w:line="256" w:before="180" w:after="283"/>
        <w:jc w:val="left"/>
        <w:rPr/>
      </w:pPr>
      <w:r>
        <w:rPr>
          <w:rFonts w:ascii="Times New Roman;sans-serif" w:hAnsi="Times New Roman;sans-serif"/>
          <w:b w:val="false"/>
          <w:color w:val="000000"/>
          <w:sz w:val="20"/>
        </w:rPr>
        <w:t>Our balance sheet includes goodwill and intangible assets that represent a</w:t>
      </w:r>
      <w:r>
        <w:rPr>
          <w:rFonts w:ascii="Times New Roman;sans-serif" w:hAnsi="Times New Roman;sans-serif"/>
          <w:b w:val="false"/>
          <w:color w:val="000000"/>
          <w:sz w:val="20"/>
          <w:shd w:fill="FFFFFF" w:val="clear"/>
        </w:rPr>
        <w:t xml:space="preserve">pproximately </w:t>
      </w:r>
      <w:r>
        <w:rPr>
          <w:rFonts w:ascii="Times New Roman;sans-serif" w:hAnsi="Times New Roman;sans-serif"/>
          <w:b w:val="false"/>
          <w:color w:val="000000"/>
          <w:sz w:val="20"/>
        </w:rPr>
        <w:t>50%</w:t>
      </w:r>
      <w:r>
        <w:rPr>
          <w:color w:val="000000"/>
          <w:shd w:fill="FFFFFF" w:val="clear"/>
        </w:rPr>
        <w:t xml:space="preserve"> </w:t>
      </w:r>
      <w:r>
        <w:rPr>
          <w:rFonts w:ascii="Times New Roman;sans-serif" w:hAnsi="Times New Roman;sans-serif"/>
          <w:b w:val="false"/>
          <w:color w:val="000000"/>
          <w:sz w:val="20"/>
          <w:shd w:fill="FFFFFF" w:val="clear"/>
        </w:rPr>
        <w:t>of o</w:t>
      </w:r>
      <w:r>
        <w:rPr>
          <w:rFonts w:ascii="Times New Roman;sans-serif" w:hAnsi="Times New Roman;sans-serif"/>
          <w:b w:val="false"/>
          <w:color w:val="000000"/>
          <w:sz w:val="20"/>
        </w:rPr>
        <w:t>ur total assets at December 31, 2023. These assets consist primarily of goodwill and identified intangible assets associated with our acquisitions, which may increase in the future in connection with new acquisitions. Under current accounting standards, we are required to amortize certain intangible assets over the useful life of the asset, while goodwill and indefinite-lived intangible assets are not amortized. On at least an annual basis, we assess whether there have been impairments in the carrying value of goodwill and indefinite-lived intangible assets. If the carrying value of the asset is determined to be impaired, it is written down to fair value by a charge to operating earnings, which could materially negatively affect our operating results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no unresolved written comments regarding our periodic or current reports from the staff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cyber-attacks and information theft risks in our operations, which we seek to manage through cyber and information security programs, training, and insurance coverage. To strengthen our security and cyber defenses, we maintain a defensive approach to cyber and information security designed to defend our systems against misuse, intrusions, and cyberattacks and to protect the data we collect. The Company's processes to assess, identify and manage material risks from cybersecurity threats are strategically integrated into the Company's overall risk management framework, as evidenced by annual risk assessments and required trainings across business lines and applications. The Company’s information security program maintains procedures and controls for the systems, applications, and data of the Company and of its third-party providers. The Company has an established cybersecurity training program which is administered through online learning modules and is required for all employees at least annually. Such trainings cover topics such as password protection, phishing, the protection of confidential information and asset security, among others, and educate employees on mechanisms in place to report cyber-related incidents or suspicions of cybersecurity threats. Further, the Company maintains a cybersecurity incident response plan, which is managed by the Company's chief information security officer and is reviewed and tested annually. The incident response process is overseen by a security operations and cybersecurity incident response team comprised of members across the organization, including global management and IT operations and leverages an organizational-wide self-service platform that allows the Company to track, manage and resolve information security risks across the organization.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information security program is designed to generally align with recommended practices in security standards issued by ISO, AICPA (SSAE18), National Institute of Standards and Technology Cybersecurity Framework (NIST CSF), Payment Card Industry Data Security Standard (PCI DSS) and other industry sources. Specifically, we strive to maintain ISO certifications (ISO 27001 Brazil and U.K.), SOC 1 and 2 Type 2 reports and PCI DSS reports on compliance to adhere to industry standard practices.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newly acquired businesses maintain separate cybersecurity programs and processes that may differ in scope and complexity from the Company’s overall cybersecurity programs and processes.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overall risk mitigation strategy, the Company also maintains cyber insurance coverage; however, such insurance may not be sufficient in type or amount to cover us against claims related to security breaches, cyberattacks and other related breaches.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identified any cybersecurity threats that have materially affected or are reasonably likely to materially affect our business strategy, results of our operations, or financial condition. However, we have been the target of cyber-attacks and expect them to continue as cybersecurity threats have been rapidly evolving in sophistication and becoming more prevalent in the industry. We cannot eliminate all risks from cybersecurity threats or provide assurances that we have not experienced an undetected cybersecurity incident in the past or that we will not experience such an incident in the future. For more information on the risks from cybersecurity threats that we face, refer to Part I, “Item 1A. Risk Factors.” </w:t>
      </w:r>
    </w:p>
    <w:p>
      <w:pPr>
        <w:pStyle w:val="TextBody"/>
        <w:bidi w:val="0"/>
        <w:spacing w:lineRule="auto" w:line="276"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Third-Parties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regularly assess whether our cybersecurity strategies and processes remain appropriate to prevent, investigate and address cyber-related issues, the Company engages with information security and forensics firms with specialized industry knowledge. Our collaboration with these third parties includes the administration of third-party security questionnaires, risk assessments and testing, and consultation on security enhancements to attempt to mitigate threats. We also collaborate with third parties, regulators, and law enforcement, when appropriate, to resolve security incidents and assist in efforts to prevent unauthorized access to our processing systems.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oversee and identify risks from cybersecurity threats associated our use of third-party service providers, we maintain a risk management program designed to help protect against the misuse of information technology. In addition to risk assessments and questionnaires obtained upon selection of a new service provider, we also perform annual third-party risk assessments to ensure these service providers continue to meet contractual obligations for cybersecurity, regulatory and industry requirements.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oversees the Company’s information security and risk management program. To support effective governance in managing risks related to cybersecurity, the Board has established an information technology and security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Board of Directors Oversight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technology and security committee is responsible for providing oversight and leadership for our information technology security and cybersecurity, planning processes, policies and objectives. The information technology and security committee is composed of board members with both industry knowledge as well as expertise in technology and security, finance and risk management. The primary purpose of the committee is to review, assess and make recommendations regarding the long-term strategy for global information security and the evolution of our technology in a competitive environment.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accomplish this purpose, the information technology and security committee has five primary responsibilities: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understanding the security controls and assessments conducted on our major payment platforms and comparing them to industry best practices;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evaluating strategies to protect our intellectual property;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assessing opportunities to update our processing platform strategies to ensure the long term use of our resources;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reviewing progress on significant IT security and cybersecurity projects and evaluating effectiveness of projects;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overseeing our disaster recovery and business continuity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Management's Role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Board and the information technology and security committee directed the formation of a cross-functional cybersecurity council at the Company, and receive regular cybersecurity reports from the global CIO, the corporate CIO and the chief information security officer (CISO), among others. These reports include updates on the Company’s cybersecurity strategy and execution of its processes, including updates on procedures to prepare for, prevent, detect, respond to and recover from (as applicable) cyber incidents. Such updates also include updates on the Company's continued compliance with regulatory requirements. The Company’s information security and risk management program is periodically evaluated by third-party specialists, and the results of those reviews are reported to the Board.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CISO, who reports directly to the Company’s Chief Information Officer (“CIO”), has served in various roles in information technology and information security for over 20 years, with experience in technology risk management, cybersecurity, compliance, network engineering, information systems, and business resiliency. He is a Certified Information Systems Security Professional and Certified Information Systems Auditor.</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CISO manages the Company's information security and oversees our data security personnel and our incident response and business continuity management programs to assess and manage the cybersecurity element of our risk management program, including policies, cybersecurity training, security operations and engineering, cyber threat detection and incident response. Our CISO promptly informs and updates the Board about any information security incidents that may pose a significant risk to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54"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corporate headquarters are located in Atlanta, Georgia where we lease approximately 46,500 square feet of office space. In addition to our corporate headquarters, we have major operations located in Brentwood, Tennessee; Covington, Louisiana; Louisville, Kentucky; Lexington, Kentucky; and Peachtree Corners, Georgia. Our largest offices internationally are located in São Paulo, Brazil; London, United Kingdom; Prague, Czech Republic; Mexico City, Mexico and Toronto, Canada. We lease all of the real property used in our business, except for a portion of our headquarters in Mexico City, which we own.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center"/>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56"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pStyle w:val="TextBody"/>
        <w:bidi w:val="0"/>
        <w:spacing w:lineRule="auto" w:line="25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 Lawsuits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10, 2017, a shareholder derivative complaint was filed against the Company and certain of the Company’s directors and officers in the United States District Court for the Northern District of Georgia ("Federal Derivative Action") seeking recovery from the Company. The District Court dismissed the Federal Derivative Action on October 21, 2020, and the United States Court of Appeals for the Eleventh Circuit affirmed the dismissal on July 27, 2022, ending the lawsuit. A similar derivative lawsuit that had been filed on January 9, 2019 in the Superior Court of Gwinnett County, Georgia (“State Derivative Action”) was likewise dismissed on October 31, 2022. </w:t>
      </w:r>
    </w:p>
    <w:p>
      <w:pPr>
        <w:pStyle w:val="TextBody"/>
        <w:bidi w:val="0"/>
        <w:spacing w:lineRule="auto" w:line="256" w:before="180" w:after="283"/>
        <w:jc w:val="left"/>
        <w:rPr/>
      </w:pPr>
      <w:r>
        <w:rPr>
          <w:rFonts w:ascii="Times New Roman;sans-serif" w:hAnsi="Times New Roman;sans-serif"/>
          <w:b w:val="false"/>
          <w:color w:val="000000"/>
          <w:sz w:val="20"/>
        </w:rPr>
        <w:t xml:space="preserve">On January 20, 2023, the previous State Derivative Action plaintiffs filed a new derivative lawsuit in the Superior Court of Gwinnett County, Georgia. The new lawsuit, </w:t>
      </w:r>
      <w:r>
        <w:rPr>
          <w:rFonts w:ascii="Times New Roman;sans-serif" w:hAnsi="Times New Roman;sans-serif"/>
          <w:b w:val="false"/>
          <w:i/>
          <w:color w:val="000000"/>
          <w:sz w:val="20"/>
        </w:rPr>
        <w:t>City of Aventura Police Officers’ Retirement Fund, derivatively on behalf of FleetCor Technologies, Inc. v. Ronald F. Clarke and Eric R. Dey</w:t>
      </w:r>
      <w:r>
        <w:rPr>
          <w:rFonts w:ascii="Times New Roman;sans-serif" w:hAnsi="Times New Roman;sans-serif"/>
          <w:b w:val="false"/>
          <w:color w:val="000000"/>
          <w:sz w:val="20"/>
        </w:rPr>
        <w:t xml:space="preserve">, alleges that the defendants breached their fiduciary duties by causing or permitting the Company to engage in unfair or deceptive marketing and billing practices, making false and misleading public statements concerning the Company’s fee charges and financial and business prospects, and making improper sales of stock. The complaint seeks approximately $118 million in monetary damages on behalf of the Company, including contribution by defendants as joint tortfeasors with the Company in unfair and deceptive practices, and disgorgement of incentive pay and stock compensation. On January 24, 2023, the previous Federal Derivative Action plaintiffs filed a similar new derivative lawsuit, </w:t>
      </w:r>
      <w:r>
        <w:rPr>
          <w:rFonts w:ascii="Times New Roman;sans-serif" w:hAnsi="Times New Roman;sans-serif"/>
          <w:b w:val="false"/>
          <w:i/>
          <w:color w:val="000000"/>
          <w:sz w:val="20"/>
        </w:rPr>
        <w:t>Jerrell Whitten, derivatively on behalf of FleetCor Technologies, Inc. v. Ronald F. Clarke and Eric R. Dey</w:t>
      </w:r>
      <w:r>
        <w:rPr>
          <w:rFonts w:ascii="Times New Roman;sans-serif" w:hAnsi="Times New Roman;sans-serif"/>
          <w:b w:val="false"/>
          <w:color w:val="000000"/>
          <w:sz w:val="20"/>
        </w:rPr>
        <w:t xml:space="preserve">, against Mr. Clarke and Mr. Dey in Gwinnett County, Georgia. The defendants dispute the allegations in the derivative complaints and intend to vigorously defend against the claims. </w:t>
      </w:r>
    </w:p>
    <w:p>
      <w:pPr>
        <w:pStyle w:val="TextBody"/>
        <w:bidi w:val="0"/>
        <w:spacing w:lineRule="auto" w:line="25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FTC Investigation</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2017, the Federal Trade Commission ("FTC") issued a Notice of Civil Investigative Demand to the Company for the production of documentation and a request for responses to written interrogatories. After discussions with the Company, the FTC proposed in October 2019 to resolve potential claims relating to the Company’s advertising and marketing practices, principally in its U.S. direct fuel card business within its North American Fuel Card business. The parties reached impasse primarily related to what the Company believes are unreasonable demands for redress made by the FTC. On December 20, 2019, the FTC filed a lawsuit in the Northern District of Georgia against the Company and Ron Clarke. See FTC v. FLEETCOR and Ronald F. Clarke, No. 19-cv-05727 (N.D. Ga.). The complaint alleges the Company and Ron Clarke violated the FTC Act’s prohibitions on unfair and deceptive acts and practices. The complaint seeks among other things injunctive relief, consumer redress, and costs of suit. The Company continues to believe that the FTC’s claims are without merit and these matters are not and will not be material to the Company’s financial performance. On April 17, 2021, the FTC filed a motion for summary judgment. On April 22, 2021, the United States Supreme Court held unanimously in AMG Capital Management v. FTC that the FTC does not have authority under current law to seek monetary redress by means of Section 13(b) of the FTC Act, which is the means by which the FTC has sought such redress in this case. FLEETCOR cross-moved for summary judgment regarding the FTC’s ability to seek monetary or injunctive relief on May 17, 2021. On August 13, 2021, the FTC filed a motion to stay or to voluntarily dismiss without prejudice the case pending in the Northern District of Georgia in favor of a parallel administrative action under Section 5 of the FTC Act that it filed on August 11, 2021 in the FTC’s administrative process. Apart from the jurisdiction and statutory change, the FTC’s administrative complaint makes the same factual allegations as the FTC’s original complaint filed in December 2019. The Company opposed the FTC’s motion for a stay or to voluntarily dismiss, and the court denied the FTC’s motion on February 7, 2022. In the meantime, the FTC’s administrative action is stayed. On August 9, 2022, the District Court for the Northern District of Georgia granted the FTC's motion for summary judgment as to liability for the Company and Ron Clarke, but granted the Company's motion for summary judgment as to the FTC's claim for monetary relief as to both the Company and Ron Clarke. The Company intends to appeal this decision after final judgment is issued. On October 20-21, 2022, the court held a hearing on the scope of injunctive relief. At the conclusion of the hearing, the Court did not enter either the FTC’s proposed order or the Company’s proposed order, and instead suggested that the parties enter mediation. Following mediation, both parties filed proposed orders with the Court.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2023, the Court issued an Order for Permanent Injunction and Other Relief. The Company filed its notice of appeal to the United States Court of Appeals for the Eleventh Circuit on August 3, 2023. On August 17, 2023, the FTC Commission ordered that the stay of the parallel Section 5 administration action will remain in place during the pendency of the Eleventh Circuit appeal. The Company has incurred and continues to incur legal and other fees related to this FTC complaint. Any settlement of this matter, or defense against the lawsuit, could involve costs to the Company, including legal fees, redress, penalties, and remediation expenses.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Estimating an amount or range of possible losses resulting from litigation proceedings is inherently difficult and requires an extensive degree of judgment, particularly where, as here, the matters involve indeterminate claims for monetary damages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MATTERS, AND ISSUER PURCHASES OF EQUITY SECURITIES</w:t>
      </w:r>
    </w:p>
    <w:p>
      <w:pPr>
        <w:pStyle w:val="TextBody"/>
        <w:bidi w:val="0"/>
        <w:spacing w:lineRule="auto" w:line="256" w:before="240" w:after="283"/>
        <w:jc w:val="left"/>
        <w:rPr/>
      </w:pPr>
      <w:r>
        <w:rPr>
          <w:rFonts w:ascii="Times New Roman;sans-serif" w:hAnsi="Times New Roman;sans-serif"/>
          <w:b w:val="false"/>
          <w:color w:val="000000"/>
          <w:sz w:val="20"/>
        </w:rPr>
        <w:t>Our common stock is traded on the New York Stock Exchange (NYSE) under the ticker FLT. As of December 31, 2023, there were 454 h</w:t>
      </w:r>
      <w:r>
        <w:rPr>
          <w:rFonts w:ascii="Times New Roman;sans-serif" w:hAnsi="Times New Roman;sans-serif"/>
          <w:b w:val="false"/>
          <w:color w:val="000000"/>
          <w:sz w:val="20"/>
          <w:shd w:fill="FFFFFF" w:val="clear"/>
        </w:rPr>
        <w:t>olders o</w:t>
      </w:r>
      <w:r>
        <w:rPr>
          <w:rFonts w:ascii="Times New Roman;sans-serif" w:hAnsi="Times New Roman;sans-serif"/>
          <w:b w:val="false"/>
          <w:color w:val="000000"/>
          <w:sz w:val="20"/>
        </w:rPr>
        <w:t xml:space="preserve">f record of our common stock. </w:t>
      </w:r>
    </w:p>
    <w:p>
      <w:pPr>
        <w:pStyle w:val="TextBody"/>
        <w:bidi w:val="0"/>
        <w:spacing w:lineRule="auto" w:line="256" w:before="24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DIVIDENDS AND STOCK REPURCHASES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expect to retain all future earnings, if any, for use in the operation, expansion of our business and stock repurchases. We have never declared or paid any dividends on our common stock and do not anticipate paying cash dividends to holders of our common stock in the foreseeable future. In addition, our credit agreements restrict our ability to pay dividends. Any determination to pay dividends in the future will be at the discretion of our board of directors and will depend upon, among other factors, our results of operations, financial condition, capital requirements and covenants in our existing financing arrangements, and any future financing arrangements.</w:t>
      </w:r>
    </w:p>
    <w:p>
      <w:pPr>
        <w:pStyle w:val="TextBody"/>
        <w:bidi w:val="0"/>
        <w:spacing w:lineRule="auto" w:line="256" w:before="180" w:after="283"/>
        <w:jc w:val="left"/>
        <w:rPr/>
      </w:pPr>
      <w:r>
        <w:rPr>
          <w:rFonts w:ascii="Times New Roman;sans-serif" w:hAnsi="Times New Roman;sans-serif"/>
          <w:b w:val="false"/>
          <w:color w:val="000000"/>
          <w:sz w:val="20"/>
          <w:shd w:fill="FFFFFF" w:val="clear"/>
        </w:rPr>
        <w:t>The Company's Board of Directors (the "Board") has approved a stock repurchase prog</w:t>
      </w:r>
      <w:r>
        <w:rPr>
          <w:rFonts w:ascii="Times New Roman;sans-serif" w:hAnsi="Times New Roman;sans-serif"/>
          <w:b w:val="false"/>
          <w:color w:val="000000"/>
          <w:sz w:val="20"/>
        </w:rPr>
        <w:t>ram (as updated from time to time, the "Program") authorizing the Company to repurchase its common stock from time to time until February 4, 2025. On January 25, 2024, the Board authorized an increase to the aggregate size of the Program by $1.0 billion to $8.1 billion. Since the beginning of the Program through December 31, 2023, the Company repurchased 28,878,862 shares for an aggregate purcha</w:t>
      </w:r>
      <w:r>
        <w:rPr>
          <w:rFonts w:ascii="Times New Roman;sans-serif" w:hAnsi="Times New Roman;sans-serif"/>
          <w:b w:val="false"/>
          <w:color w:val="000000"/>
          <w:sz w:val="20"/>
          <w:shd w:fill="FFFFFF" w:val="clear"/>
        </w:rPr>
        <w:t xml:space="preserve">se price of $6.5 billion, leaving the Company up to $1.6 billion of remaining authorization available under the Program for future repurchases of shares of its common stock. The Company repurchased </w:t>
      </w:r>
      <w:r>
        <w:rPr>
          <w:rFonts w:ascii="Times New Roman;sans-serif" w:hAnsi="Times New Roman;sans-serif"/>
          <w:b w:val="false"/>
          <w:color w:val="000000"/>
          <w:sz w:val="20"/>
        </w:rPr>
        <w:t>2,597,954</w:t>
      </w:r>
      <w:r>
        <w:rPr>
          <w:color w:val="000000"/>
          <w:shd w:fill="FFFFFF" w:val="clear"/>
        </w:rPr>
        <w:t xml:space="preserve"> </w:t>
      </w:r>
      <w:r>
        <w:rPr>
          <w:rFonts w:ascii="Times New Roman;sans-serif" w:hAnsi="Times New Roman;sans-serif"/>
          <w:b w:val="false"/>
          <w:color w:val="000000"/>
          <w:sz w:val="20"/>
          <w:shd w:fill="FFFFFF" w:val="clear"/>
        </w:rPr>
        <w:t xml:space="preserve">common shares totaling $687 million in 2023; 6,212,410 common shares totaling $1.4 billion in 2022 and 5,451,556 common shares totaling $1.4 billion in 2021. </w:t>
      </w:r>
    </w:p>
    <w:p>
      <w:pPr>
        <w:pStyle w:val="TextBody"/>
        <w:bidi w:val="0"/>
        <w:spacing w:lineRule="auto" w:line="256" w:before="18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18, 2023, as part of the Program, the Company entered an accelerated share repurchase ("ASR") agreement ("2023 ASR Agreement") with a third-party financial institution to repurchase $450 million of its common stock. Pursuant to the 2023 ASR Agreement, the Company delivered $450 million in cash and received 1,372,841 shares based on a stock price of $262.23 on August 18, 2023. The transactions contemplated by the 2023 ASR Agreement was completed on September 26, 2023, at which time the Company received 293,588 additional shares based on a final weighted average per share purchase price during the repurchase period of $270.04.</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stock repurchases may be made at times and in such amounts as deemed appropriate. The timing and amount of stock repurchases, if any, will depend on a variety of factors including the stock price, market conditions, corporate and regulatory requirements, and any additional constraints related to material inside information the Company may possess. Any repurchases have been and are expected to be funded by a combination of available cash flow from the business, working capital and debt.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with respect to purchase of common stock of the Company made during the three months ended December 31, 2023 by the Company as defined in Rule 10b-18(a)(3) under the Exchange Act: </w:t>
      </w:r>
    </w:p>
    <w:tbl>
      <w:tblPr>
        <w:tblW w:w="10205" w:type="dxa"/>
        <w:jc w:val="left"/>
        <w:tblInd w:w="0" w:type="dxa"/>
        <w:tblLayout w:type="fixed"/>
        <w:tblCellMar>
          <w:top w:w="28" w:type="dxa"/>
          <w:left w:w="28" w:type="dxa"/>
          <w:bottom w:w="28" w:type="dxa"/>
          <w:right w:w="28" w:type="dxa"/>
        </w:tblCellMar>
      </w:tblPr>
      <w:tblGrid>
        <w:gridCol w:w="675"/>
        <w:gridCol w:w="459"/>
        <w:gridCol w:w="467"/>
        <w:gridCol w:w="109"/>
        <w:gridCol w:w="109"/>
        <w:gridCol w:w="109"/>
        <w:gridCol w:w="601"/>
        <w:gridCol w:w="432"/>
        <w:gridCol w:w="433"/>
        <w:gridCol w:w="109"/>
        <w:gridCol w:w="109"/>
        <w:gridCol w:w="109"/>
        <w:gridCol w:w="264"/>
        <w:gridCol w:w="904"/>
        <w:gridCol w:w="136"/>
        <w:gridCol w:w="109"/>
        <w:gridCol w:w="109"/>
        <w:gridCol w:w="109"/>
        <w:gridCol w:w="803"/>
        <w:gridCol w:w="634"/>
        <w:gridCol w:w="636"/>
        <w:gridCol w:w="109"/>
        <w:gridCol w:w="109"/>
        <w:gridCol w:w="109"/>
        <w:gridCol w:w="433"/>
        <w:gridCol w:w="1697"/>
        <w:gridCol w:w="323"/>
      </w:tblGrid>
      <w:tr>
        <w:trPr/>
        <w:tc>
          <w:tcPr>
            <w:tcW w:w="67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 Number of Shares Purchased</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the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Value that May Yet be Purchased Under the Publicly Announced Plan (in thousands)</w:t>
            </w:r>
          </w:p>
        </w:tc>
      </w:tr>
      <w:tr>
        <w:trPr/>
        <w:tc>
          <w:tcPr>
            <w:tcW w:w="1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2023 through October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2023 through November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2023 through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563,703 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563,703 </w:t>
            </w:r>
          </w:p>
        </w:tc>
        <w:tc>
          <w:tcPr>
            <w:tcW w:w="6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558,853 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3"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7"/>
        <w:gridCol w:w="2867"/>
        <w:gridCol w:w="4071"/>
      </w:tblGrid>
      <w:tr>
        <w:trPr/>
        <w:tc>
          <w:tcPr>
            <w:tcW w:w="3267"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During the quarter ended December 31, 2023, pursuant to our Stock Incentive Plan, we withheld 339 shares, at an average price per share of $235.20, in order to satisfy employees' tax withholding obligations in connection with the vesting of awards of restricted stock.</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8f5174e18a84453e86a7ae640d3d9ca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80" w:after="283"/>
        <w:jc w:val="center"/>
        <w:rPr>
          <w:rFonts w:ascii="Times New Roman;sans-serif" w:hAnsi="Times New Roman;sans-serif"/>
          <w:b w:val="false"/>
          <w:color w:val="000000"/>
          <w:sz w:val="20"/>
          <w:u w:val="single"/>
          <w:shd w:fill="FFFFFF" w:val="clear"/>
        </w:rPr>
      </w:pPr>
      <w:r>
        <w:rPr>
          <w:rFonts w:ascii="Times New Roman;sans-serif" w:hAnsi="Times New Roman;sans-serif"/>
          <w:b w:val="false"/>
          <w:color w:val="000000"/>
          <w:sz w:val="20"/>
          <w:u w:val="single"/>
          <w:shd w:fill="FFFFFF" w:val="clear"/>
        </w:rPr>
        <w:t>PERFORMANCE GRAPH</w:t>
      </w:r>
    </w:p>
    <w:p>
      <w:pPr>
        <w:pStyle w:val="TextBody"/>
        <w:bidi w:val="0"/>
        <w:spacing w:lineRule="auto" w:line="256" w:before="180" w:after="283"/>
        <w:jc w:val="left"/>
        <w:rPr/>
      </w:pPr>
      <w:r>
        <w:rPr>
          <w:rFonts w:ascii="Times New Roman;sans-serif" w:hAnsi="Times New Roman;sans-serif"/>
          <w:b w:val="false"/>
          <w:color w:val="000000"/>
          <w:sz w:val="20"/>
        </w:rPr>
        <w:t>The following graph assumes $100 invested on December 31, 2018, at the closing price ($185.72) of our common stock on that day, and compares (a) the percentage change of our cumulative total stockholder return on the common stock (as measured by dividing (i) the difference between our share price at the end and the beginning of the period presented by (ii) the share price at the beginning of the periods presented) with (b) (i) the Russell 2000 Index, (ii) the S&amp;P 500</w:t>
      </w: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20"/>
        </w:rPr>
        <w:t xml:space="preserve">Data Processing &amp; Outsourced Services and (iii) S&amp;P 500. </w:t>
      </w:r>
    </w:p>
    <w:p>
      <w:pPr>
        <w:pStyle w:val="TextBody"/>
        <w:bidi w:val="0"/>
        <w:spacing w:before="0" w:after="0"/>
        <w:jc w:val="center"/>
        <w:rPr/>
      </w:pPr>
      <w:r>
        <w:rPr/>
      </w:r>
    </w:p>
    <w:p>
      <w:pPr>
        <w:pStyle w:val="TextBody"/>
        <w:bidi w:val="0"/>
        <w:spacing w:before="0" w:after="0"/>
        <w:jc w:val="center"/>
        <w:rPr/>
      </w:pPr>
      <w:r>
        <w:rPr/>
        <w:drawing>
          <wp:inline distT="0" distB="0" distL="0" distR="0">
            <wp:extent cx="6496050" cy="4724400"/>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2"/>
                    <a:stretch>
                      <a:fillRect/>
                    </a:stretch>
                  </pic:blipFill>
                  <pic:spPr bwMode="auto">
                    <a:xfrm>
                      <a:off x="0" y="0"/>
                      <a:ext cx="6496050" cy="47244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RECENT SALES OF UNREGISTERED SECURITIES AND USE OF PROCEEDS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283"/>
        <w:jc w:val="center"/>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240" w:after="283"/>
        <w:jc w:val="center"/>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w:t>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and analysis of our financial condition and results of operations should be read in conjunction with the consolidated financial statements and related notes appearing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include, but are not limited to, those identified below and those described in Item 1A “Risk Factors” appearing elsewhere in this report. All foreign currency amounts that have been converted into U.S. dollars in this discussion are based on the exchange rate as reported by Oanda for the applicable periods.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our financial condition and results of operations generally discusses 2023 and 2022 items, with year-over-year comparisons between these two years. A detailed discussion of 2022 items and year-over-year comparisons between 2022 and 2021 that are not included in this Annual Report on Form 10-K can be found in “Management’s Discussion and Analysis of Financial Condition and Results of Operations” in Part II, Item 7 of our Annual Report on Form 10-K for the year ended December 31, 2022.</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FLEETCOR is a global payments company that helps businesses and consumers better manage their expenses. FLEETCOR's suite of modern payment solutions help customers better manage vehicle-related expenses (e.g. fueling, tolls and parking), lodging expenses (e.g. hotel bookings) and corporate payments (e.g. domestic and international vendors). This results in our customers saving time and ultimately spending less. Since its incorporation in 2000, FLEETCOR’s smarter payment and spend management solutions have been delivered in a variety of ways depending on the needs of the customer. From physical payment cards to software that includes customizable controls and robust payment capabilities, we provide businesses and consumers with a better way to pay.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FLEETCOR has been a member of the S&amp;P 500 since 2018 and trades on the New York Stock Exchange under the ticker FLT. We expect to rebrand FLEETCOR to Corpay, Inc. in March 2024, including changing our New York Stock Exchange ticker from FLT to CPAY.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Businesses spend an estimated $135 trillion each year in transactions with other businesses. In many instances, businesses lack the proper tools to monitor what is being purchased, and employ manual, paper-based, disparate processes and methods to both approve and make payments for their business-to-business purchases. This often results in wasted time and money due to unnecessary or unauthorized spending, fraud, receipt collection, data input and consolidation, report generation, reimbursement processing, account reconciliations, employee disciplinary actions, and more.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FLEETCOR’s vision is that every payment is digital, every purchase is controlled, and every related decision is informed. Digital payments are faster and more secure than paper-based methods such as checks, and provide timely and detailed data that can be utilized to effectively reduce unauthorized purchases and fraud, automate data entry and reporting, and eliminate reimbursement processes. Combining this payment data with analytical tools delivers powerful insights, which managers can use to better run their businesses. Our wide range of modern, digitized solutions generally provides control, reporting, and automation benefits superior to many of the payment methods businesses often use such as cash, paper checks, general purpose credit cards, as well as employee pay and reclaim processes. </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Impact of Geo-Political Events on Our Business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current military conflicts between Russia and Ukraine, as well as within the Middle East, continue to create substantial uncertainty about the global economy in the future. Although the length, impact and outcome of the ongoing military conflicts between Russia and Ukraine and within the Middle East are highly unpredictable, these conflicts could lead to significant market and other disruptions. We recently exited the Russia market via the disposition of our Russia business, which closed in the third quarter of 2023 (see "Russia Disposition" section below), and we do not have material operations in Israel or Gaza. We cannot predict how and the extent to which these conflicts will affect our customers, operations or business partners or the demand for our products and our global business.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actively monitoring the situations and assessing the impact on our business. The extent, severity, duration and outcome of the military conflicts, sanctions and resulting market disruptions could be significant and could potentially have substantial impact on the global economy and our business for an unknown period of time. </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Russia Disposition</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2023, we signed definitive documents to sell our Russia business to a third party. At June 30, 2023, we concluded that the sale was not considered probable due to continued uncertainty regarding regulatory approvals and ongoing discussions regarding the nature and timing of deal completion. As such, the assets and liabilities associated with our Russian business were not classified as held for sale prior to the completion of the transaction. The Russia business was historically reported within our Vehicle Payments segment and did not meet the criteria to be presented as discontinued operations. We completed the sale of our Russia business on August 15,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sale included the entirety of our operations in Russia and resulted in a complete exit from the Russia market. We received total proceeds, net of cash disposed and net of a $5.6 million foreign exchange loss upon conversion of the ruble-denominated proceeds to U.S. dollars, of $197.0 million, which have been recorded within investing activities in the accompanying Consolidated Statements of Cash Flows. In connection with the sale, we recorded a net gain on disposal of $13.7 million during the year ended December 31, 2023, which represents the proceeds received less the derecognition of the related net assets, the reclassification of accumulated foreign currency translation losses, and the foreign exchange loss upon conversion of the ruble-denominated proceeds to U.S. dollars. The net gain is included within other (income) expense, net in the accompanying Consolidated Statements of Income.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Exclusive of the impact of disposition, our business in Russia accounted for approximately $62.0 million and $84.7 million of our consolidated income before income taxes for years ended December 31, 2023 and 2022, respectively. Our assets in Russia were approximately 3.2% of our consolidated assets at December 31, 2022. </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Results</w:t>
      </w:r>
    </w:p>
    <w:p>
      <w:pPr>
        <w:pStyle w:val="TextBody"/>
        <w:bidi w:val="0"/>
        <w:spacing w:lineRule="auto" w:line="256" w:before="180" w:after="283"/>
        <w:jc w:val="left"/>
        <w:rPr/>
      </w:pPr>
      <w:r>
        <w:rPr>
          <w:rFonts w:ascii="Times New Roman;sans-serif" w:hAnsi="Times New Roman;sans-serif"/>
          <w:b/>
          <w:i/>
          <w:color w:val="000000"/>
          <w:sz w:val="20"/>
        </w:rPr>
        <w:t>Revenues, net, Net Income and Net Income Per Diluted Share.</w:t>
      </w:r>
      <w:r>
        <w:rPr>
          <w:color w:val="000000"/>
        </w:rPr>
        <w:t xml:space="preserve"> </w:t>
      </w:r>
      <w:r>
        <w:rPr>
          <w:rFonts w:ascii="Times New Roman;sans-serif" w:hAnsi="Times New Roman;sans-serif"/>
          <w:b w:val="false"/>
          <w:color w:val="000000"/>
          <w:sz w:val="20"/>
        </w:rPr>
        <w:t xml:space="preserve">Set forth below are revenues, net, net income and net income per diluted share for the years ended December 31, 2023 and 2022 (in millions, except per share amounts). </w:t>
      </w:r>
    </w:p>
    <w:tbl>
      <w:tblPr>
        <w:tblW w:w="5343" w:type="dxa"/>
        <w:jc w:val="center"/>
        <w:tblInd w:w="0" w:type="dxa"/>
        <w:tblLayout w:type="fixed"/>
        <w:tblCellMar>
          <w:top w:w="28" w:type="dxa"/>
          <w:left w:w="28" w:type="dxa"/>
          <w:bottom w:w="28" w:type="dxa"/>
          <w:right w:w="28" w:type="dxa"/>
        </w:tblCellMar>
      </w:tblPr>
      <w:tblGrid>
        <w:gridCol w:w="885"/>
        <w:gridCol w:w="779"/>
        <w:gridCol w:w="781"/>
        <w:gridCol w:w="109"/>
        <w:gridCol w:w="109"/>
        <w:gridCol w:w="109"/>
        <w:gridCol w:w="211"/>
        <w:gridCol w:w="616"/>
        <w:gridCol w:w="109"/>
        <w:gridCol w:w="109"/>
        <w:gridCol w:w="109"/>
        <w:gridCol w:w="109"/>
        <w:gridCol w:w="211"/>
        <w:gridCol w:w="616"/>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diluted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360" w:after="180"/>
        <w:jc w:val="left"/>
        <w:rPr/>
      </w:pPr>
      <w:r>
        <w:rPr>
          <w:rFonts w:ascii="Times New Roman;sans-serif" w:hAnsi="Times New Roman;sans-serif"/>
          <w:b/>
          <w:i/>
          <w:color w:val="000000"/>
          <w:sz w:val="20"/>
        </w:rPr>
        <w:t>Adjusted Net Income, Adjusted Net Income Per Diluted Share, EBITDA and EBITDA margin.</w:t>
      </w:r>
      <w:r>
        <w:rPr>
          <w:color w:val="000000"/>
        </w:rPr>
        <w:t xml:space="preserve"> </w:t>
      </w:r>
      <w:r>
        <w:rPr>
          <w:rFonts w:ascii="Times New Roman;sans-serif" w:hAnsi="Times New Roman;sans-serif"/>
          <w:b w:val="false"/>
          <w:color w:val="000000"/>
          <w:sz w:val="20"/>
        </w:rPr>
        <w:t>Set forth below are adjusted net income, adjusted net income per diluted share, EBITDA and EBITDA margin for the years ended December 31, 2023 and 2022 (in millions, except per share amounts).</w:t>
      </w:r>
    </w:p>
    <w:p>
      <w:pPr>
        <w:pStyle w:val="TextBody"/>
        <w:bidi w:val="0"/>
        <w:spacing w:lineRule="auto" w:line="256" w:before="360" w:after="180"/>
        <w:jc w:val="center"/>
        <w:rPr>
          <w:color w:val="000000"/>
        </w:rPr>
      </w:pPr>
      <w:r>
        <w:rPr>
          <w:color w:val="000000"/>
        </w:rPr>
        <w:t> </w:t>
      </w:r>
    </w:p>
    <w:tbl>
      <w:tblPr>
        <w:tblW w:w="6416" w:type="dxa"/>
        <w:jc w:val="center"/>
        <w:tblInd w:w="0" w:type="dxa"/>
        <w:tblLayout w:type="fixed"/>
        <w:tblCellMar>
          <w:top w:w="28" w:type="dxa"/>
          <w:left w:w="28" w:type="dxa"/>
          <w:bottom w:w="28" w:type="dxa"/>
          <w:right w:w="28" w:type="dxa"/>
        </w:tblCellMar>
      </w:tblPr>
      <w:tblGrid>
        <w:gridCol w:w="1157"/>
        <w:gridCol w:w="1015"/>
        <w:gridCol w:w="1022"/>
        <w:gridCol w:w="109"/>
        <w:gridCol w:w="109"/>
        <w:gridCol w:w="109"/>
        <w:gridCol w:w="211"/>
        <w:gridCol w:w="616"/>
        <w:gridCol w:w="271"/>
        <w:gridCol w:w="109"/>
        <w:gridCol w:w="109"/>
        <w:gridCol w:w="109"/>
        <w:gridCol w:w="211"/>
        <w:gridCol w:w="616"/>
        <w:gridCol w:w="271"/>
        <w:gridCol w:w="109"/>
        <w:gridCol w:w="109"/>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per diluted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adjusted net income per diluted share, EBITDA and EBITDA margin are supplemental non-GAAP financial measures of operating performance. See the heading entitled “Management’s Use of Non-GAAP Financial Measures” for more information and a reconciliation of the non-GAAP financial measure to the most directly comparable financial measure calculated in accordance with U.S. generally accepted accounting principles, or GAAP. We use adjusted net income, adjusted net income per diluted share, EBITDA and EBITDA margin to eliminate the effect of items that we do not consider indicative of our core operating performance on a consistent basis. These non-GAAP measures are presented solely to permit investors to more fully understand how our management assesses underlying performance and are not, and should not be viewed as, a substitute for GAAP measures, and should be viewed in conjunction with our GAAP financial measures.</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Sources of Revenue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FLEETCOR offers a variety of payment solutions that help to simplify, automate, secure, digitize and effectively control the way businesses and consumers manage and pay their expenses. We provide our payment solutions to our business, merchant, consumer and payment network customers in more than 150 countries around the world today, although we operate primarily in three geographies, with approximately 83% of our business in the U.S., Brazil, and the U.K. Our customers may include commercial businesses (obtained through direct and indirect channels) and partners for whom we manage payment programs, as well as individual consumers. </w:t>
      </w:r>
    </w:p>
    <w:p>
      <w:pPr>
        <w:pStyle w:val="TextBody"/>
        <w:bidi w:val="0"/>
        <w:spacing w:lineRule="auto" w:line="256" w:before="120" w:after="283"/>
        <w:jc w:val="left"/>
        <w:rPr/>
      </w:pPr>
      <w:r>
        <w:rPr>
          <w:rFonts w:ascii="Times New Roman;sans-serif" w:hAnsi="Times New Roman;sans-serif"/>
          <w:b w:val="false"/>
          <w:color w:val="000000"/>
          <w:sz w:val="20"/>
        </w:rPr>
        <w:t>We report information about our operating segments in accordance with the authoritative guidance related to segments. In the fourth quarter of 2023, in order to align with recent changes in our strategy and resulting organizational structure and management reporting, we updated our segment s</w:t>
      </w:r>
      <w:r>
        <w:rPr>
          <w:rFonts w:ascii="Times New Roman;sans-serif" w:hAnsi="Times New Roman;sans-serif"/>
          <w:b w:val="false"/>
          <w:color w:val="000000"/>
          <w:sz w:val="20"/>
          <w:shd w:fill="FFFFFF" w:val="clear"/>
        </w:rPr>
        <w:t>tructure. The presentation of segment information has been recast for the prior years to align with this segment presentation for 2023. W</w:t>
      </w:r>
      <w:r>
        <w:rPr>
          <w:rFonts w:ascii="Times New Roman;sans-serif" w:hAnsi="Times New Roman;sans-serif"/>
          <w:b w:val="false"/>
          <w:color w:val="000000"/>
          <w:sz w:val="20"/>
        </w:rPr>
        <w:t xml:space="preserve">e manage and report our operating results through the following three reportable segments: Vehicle Payments, Corporate Payments and Lodging Payments. The remaining results are included within Other, which includes our Gift and Payroll Card businesses. These segments align with how the Chief Operating Decision Maker (CODM) allocates resources, assesses performance and reviews financial information. </w:t>
      </w:r>
    </w:p>
    <w:p>
      <w:pPr>
        <w:pStyle w:val="TextBody"/>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is generally reported net of the cost for underlying products and services purchased. In this report, we refer to this net revenue as “revenue" or "revenues, net". See “Results of Operations” for additional segment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pPr>
      <w:r>
        <w:rPr>
          <w:rFonts w:ascii="Times New Roman;sans-serif" w:hAnsi="Times New Roman;sans-serif"/>
          <w:b/>
          <w:i/>
          <w:color w:val="000000"/>
          <w:sz w:val="20"/>
        </w:rPr>
        <w:t xml:space="preserve">Revenues, net, by Segment. </w:t>
      </w:r>
      <w:r>
        <w:rPr>
          <w:rFonts w:ascii="Times New Roman;sans-serif" w:hAnsi="Times New Roman;sans-serif"/>
          <w:b w:val="false"/>
          <w:color w:val="000000"/>
          <w:sz w:val="20"/>
        </w:rPr>
        <w:t>Revenues, net by segment for the years ended December 31, 2023 and 2022, our segments generated the following revenues, net (in millions):</w:t>
      </w:r>
    </w:p>
    <w:p>
      <w:pPr>
        <w:pStyle w:val="TextBody"/>
        <w:bidi w:val="0"/>
        <w:spacing w:lineRule="auto" w:line="256" w:before="180" w:after="283"/>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702"/>
        <w:gridCol w:w="360"/>
        <w:gridCol w:w="363"/>
        <w:gridCol w:w="109"/>
        <w:gridCol w:w="109"/>
        <w:gridCol w:w="109"/>
        <w:gridCol w:w="211"/>
        <w:gridCol w:w="766"/>
        <w:gridCol w:w="109"/>
        <w:gridCol w:w="109"/>
        <w:gridCol w:w="109"/>
        <w:gridCol w:w="109"/>
        <w:gridCol w:w="261"/>
        <w:gridCol w:w="261"/>
        <w:gridCol w:w="649"/>
        <w:gridCol w:w="109"/>
        <w:gridCol w:w="109"/>
        <w:gridCol w:w="109"/>
        <w:gridCol w:w="211"/>
        <w:gridCol w:w="766"/>
        <w:gridCol w:w="109"/>
        <w:gridCol w:w="109"/>
        <w:gridCol w:w="109"/>
        <w:gridCol w:w="109"/>
        <w:gridCol w:w="261"/>
        <w:gridCol w:w="261"/>
        <w:gridCol w:w="649"/>
        <w:gridCol w:w="109"/>
        <w:gridCol w:w="109"/>
        <w:gridCol w:w="109"/>
        <w:gridCol w:w="211"/>
        <w:gridCol w:w="766"/>
        <w:gridCol w:w="109"/>
        <w:gridCol w:w="109"/>
        <w:gridCol w:w="109"/>
        <w:gridCol w:w="109"/>
        <w:gridCol w:w="248"/>
        <w:gridCol w:w="248"/>
        <w:gridCol w:w="722"/>
      </w:tblGrid>
      <w:tr>
        <w:trPr/>
        <w:tc>
          <w:tcPr>
            <w:tcW w:w="70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br/>
              <w:t>Revenues, net</w:t>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*Columns may not calculate due to rounding. Other includes our Gift and Payroll card operating segments.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in our Vehicle Payments segment through a variety of program fees, including transaction fees, card fees, network fees and charges, as well as from interchange. These fees may be charged as fixed amounts, costs plus a mark-up, based on a percentage of the transaction purchase amounts, or a combination thereof. Our programs also include other fees and charges associated with late payments and based on customer credit risk.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our Corporate Payments segment, our payables business primarily earns revenue from the difference between the amount charged to the customer and the amount paid to the third party for a given transaction, as interchange or spread revenue. Our programs may also charge fixed fees for access to the network and ancillary services provided. In our cross-border payments business, the majority of revenue is from exchanges of currency at spot rates, which enables customers to make cross-currency payments. Our cross-border payments business also derives revenue from our risk management business, which aggregates foreign currency exposures arising from customer contracts and economically hedges the resulting net currency risks by entering into offsetting contracts with established financial institution counterparties. Our performance obligation in our foreign exchange payment services is providing a foreign currency payment to a customer’s designated recipient and therefore, we recognize revenue on foreign exchange payment services when the underlying payment is made. Revenues from foreign exchange payment services are primarily comprised of the difference between the exchange rate we set for the customer and the rate available in the wholesale foreign exchange market.</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our Lodging Payments segment, we primarily earn revenue from the difference between the amount charged to the customer and the amount paid to the hotel for a given transaction or based on commissions paid by hotels. We may also charge fees for access to the network and ancillary services provided.</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remaining revenues represent our Gift and Payroll card businesses, referred to as Other. In these businesses, we primarily earn revenue from the processing of transactions. We may also charge fees for ancillary services provided.</w:t>
      </w:r>
    </w:p>
    <w:p>
      <w:pPr>
        <w:pStyle w:val="TextBody"/>
        <w:bidi w:val="0"/>
        <w:spacing w:lineRule="auto" w:line="256" w:before="180" w:after="283"/>
        <w:jc w:val="left"/>
        <w:rPr/>
      </w:pPr>
      <w:r>
        <w:rPr>
          <w:rFonts w:ascii="Times New Roman;sans-serif" w:hAnsi="Times New Roman;sans-serif"/>
          <w:b/>
          <w:i/>
          <w:color w:val="000000"/>
          <w:sz w:val="20"/>
        </w:rPr>
        <w:t xml:space="preserve">Revenues, net, by Geography </w:t>
      </w:r>
      <w:r>
        <w:rPr>
          <w:rFonts w:ascii="Times New Roman;sans-serif" w:hAnsi="Times New Roman;sans-serif"/>
          <w:b w:val="false"/>
          <w:color w:val="000000"/>
          <w:sz w:val="20"/>
        </w:rPr>
        <w:t>Revenues, net by geography for the years ended December 31, 2023 and 2022, were as follows (in millions):</w:t>
      </w:r>
    </w:p>
    <w:tbl>
      <w:tblPr>
        <w:tblW w:w="8399" w:type="dxa"/>
        <w:jc w:val="center"/>
        <w:tblInd w:w="0" w:type="dxa"/>
        <w:tblLayout w:type="fixed"/>
        <w:tblCellMar>
          <w:top w:w="28" w:type="dxa"/>
          <w:left w:w="28" w:type="dxa"/>
          <w:bottom w:w="28" w:type="dxa"/>
          <w:right w:w="28" w:type="dxa"/>
        </w:tblCellMar>
      </w:tblPr>
      <w:tblGrid>
        <w:gridCol w:w="841"/>
        <w:gridCol w:w="741"/>
        <w:gridCol w:w="743"/>
        <w:gridCol w:w="109"/>
        <w:gridCol w:w="109"/>
        <w:gridCol w:w="109"/>
        <w:gridCol w:w="211"/>
        <w:gridCol w:w="766"/>
        <w:gridCol w:w="109"/>
        <w:gridCol w:w="109"/>
        <w:gridCol w:w="109"/>
        <w:gridCol w:w="109"/>
        <w:gridCol w:w="247"/>
        <w:gridCol w:w="247"/>
        <w:gridCol w:w="617"/>
        <w:gridCol w:w="109"/>
        <w:gridCol w:w="109"/>
        <w:gridCol w:w="109"/>
        <w:gridCol w:w="211"/>
        <w:gridCol w:w="766"/>
        <w:gridCol w:w="109"/>
        <w:gridCol w:w="109"/>
        <w:gridCol w:w="109"/>
        <w:gridCol w:w="109"/>
        <w:gridCol w:w="247"/>
        <w:gridCol w:w="247"/>
        <w:gridCol w:w="617"/>
        <w:gridCol w:w="109"/>
        <w:gridCol w:w="109"/>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72" w:type="dxa"/>
            <w:gridSpan w:val="3"/>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 by Geography*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br/>
              <w:t>revenues,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Revenues,</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br/>
              <w:t>revenues,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*Columns may not calculate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180"/>
        <w:jc w:val="left"/>
        <w:rPr/>
      </w:pPr>
      <w:r>
        <w:rPr>
          <w:rFonts w:ascii="Times New Roman;sans-serif" w:hAnsi="Times New Roman;sans-serif"/>
          <w:b/>
          <w:i/>
          <w:color w:val="000000"/>
          <w:sz w:val="20"/>
        </w:rPr>
        <w:t xml:space="preserve">Revenues, net, by Key Performance Metric and Organic Growth. </w:t>
      </w:r>
      <w:r>
        <w:rPr>
          <w:rFonts w:ascii="Times New Roman;sans-serif" w:hAnsi="Times New Roman;sans-serif"/>
          <w:b w:val="false"/>
          <w:color w:val="000000"/>
          <w:sz w:val="20"/>
        </w:rPr>
        <w:t>Revenues, net by key performance metric and organic growth by segment for the years ended December 31, 2023 and 2022, were as follows (in millions except revenues, net per key performance indicator)*:</w:t>
      </w:r>
    </w:p>
    <w:tbl>
      <w:tblPr>
        <w:tblW w:w="10665" w:type="dxa"/>
        <w:jc w:val="left"/>
        <w:tblInd w:w="0" w:type="dxa"/>
        <w:tblLayout w:type="fixed"/>
        <w:tblCellMar>
          <w:top w:w="28" w:type="dxa"/>
          <w:left w:w="28" w:type="dxa"/>
          <w:bottom w:w="28" w:type="dxa"/>
          <w:right w:w="28" w:type="dxa"/>
        </w:tblCellMar>
      </w:tblPr>
      <w:tblGrid>
        <w:gridCol w:w="847"/>
        <w:gridCol w:w="394"/>
        <w:gridCol w:w="365"/>
        <w:gridCol w:w="109"/>
        <w:gridCol w:w="109"/>
        <w:gridCol w:w="109"/>
        <w:gridCol w:w="258"/>
        <w:gridCol w:w="258"/>
        <w:gridCol w:w="265"/>
        <w:gridCol w:w="109"/>
        <w:gridCol w:w="109"/>
        <w:gridCol w:w="109"/>
        <w:gridCol w:w="258"/>
        <w:gridCol w:w="258"/>
        <w:gridCol w:w="265"/>
        <w:gridCol w:w="109"/>
        <w:gridCol w:w="109"/>
        <w:gridCol w:w="109"/>
        <w:gridCol w:w="235"/>
        <w:gridCol w:w="235"/>
        <w:gridCol w:w="236"/>
        <w:gridCol w:w="109"/>
        <w:gridCol w:w="109"/>
        <w:gridCol w:w="109"/>
        <w:gridCol w:w="310"/>
        <w:gridCol w:w="310"/>
        <w:gridCol w:w="311"/>
        <w:gridCol w:w="109"/>
        <w:gridCol w:w="109"/>
        <w:gridCol w:w="109"/>
        <w:gridCol w:w="258"/>
        <w:gridCol w:w="258"/>
        <w:gridCol w:w="265"/>
        <w:gridCol w:w="109"/>
        <w:gridCol w:w="109"/>
        <w:gridCol w:w="109"/>
        <w:gridCol w:w="258"/>
        <w:gridCol w:w="258"/>
        <w:gridCol w:w="265"/>
        <w:gridCol w:w="109"/>
        <w:gridCol w:w="109"/>
        <w:gridCol w:w="109"/>
        <w:gridCol w:w="235"/>
        <w:gridCol w:w="235"/>
        <w:gridCol w:w="236"/>
        <w:gridCol w:w="109"/>
        <w:gridCol w:w="109"/>
        <w:gridCol w:w="109"/>
        <w:gridCol w:w="285"/>
        <w:gridCol w:w="285"/>
        <w:gridCol w:w="406"/>
      </w:tblGrid>
      <w:tr>
        <w:trPr/>
        <w:tc>
          <w:tcPr>
            <w:tcW w:w="84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Pro Forma and Macro Adjusted</w:t>
            </w:r>
            <w:r>
              <w:rPr>
                <w:rFonts w:ascii="Times New Roman;sans-serif" w:hAnsi="Times New Roman;sans-serif"/>
                <w:b/>
                <w:color w:val="000000"/>
                <w:sz w:val="12"/>
              </w:rPr>
              <w:t>2</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u w:val="single"/>
              </w:rPr>
            </w:pPr>
            <w:r>
              <w:rPr>
                <w:rFonts w:ascii="Times New Roman;sans-serif" w:hAnsi="Times New Roman;sans-serif"/>
                <w:b/>
                <w:color w:val="000000"/>
                <w:sz w:val="18"/>
                <w:u w:val="single"/>
              </w:rPr>
              <w:t>VEHICLE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594.7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Revenues, net per 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Tag transactions</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Parking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Fleet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Other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Spend volume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$145,571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$116,827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$28,743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$145,571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$126,076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bookmarkStart w:id="1" w:name="i4abd74db6f9d48cbb5fe975ee4b4eee4_13-14-"/>
            <w:bookmarkEnd w:id="1"/>
            <w:r>
              <w:rPr>
                <w:rFonts w:ascii="Times New Roman;sans-serif" w:hAnsi="Times New Roman;sans-serif"/>
                <w:b w:val="false"/>
                <w:color w:val="000000"/>
                <w:sz w:val="18"/>
              </w:rPr>
              <w:t>$19,494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Revenues, net per spend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u w:val="single"/>
              </w:rPr>
            </w:pPr>
            <w:r>
              <w:rPr>
                <w:rFonts w:ascii="Times New Roman;sans-serif" w:hAnsi="Times New Roman;sans-serif"/>
                <w:b/>
                <w:color w:val="000000"/>
                <w:sz w:val="18"/>
                <w:u w:val="single"/>
              </w:rPr>
              <w:t>LODGING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Room nights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Revenues, net per room night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u w:val="single"/>
              </w:rPr>
              <w:t>OTHER</w:t>
            </w:r>
            <w:r>
              <w:rPr>
                <w:rFonts w:ascii="Times New Roman;sans-serif" w:hAnsi="Times New Roman;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r>
      <w:tr>
        <w:trPr/>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1,309.2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1,309.2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1,192.6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r>
      <w:tr>
        <w:trPr/>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Revenues, net per 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r>
      <w:tr>
        <w:trPr/>
        <w:tc>
          <w:tcPr>
            <w:tcW w:w="160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FLEETCOR CONSOLIDATED REVENUES,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606"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FFFFFF"/>
                <w:sz w:val="18"/>
              </w:rPr>
              <w:t>'</w:t>
            </w:r>
            <w:r>
              <w:rPr>
                <w:rFonts w:ascii="Times New Roman;sans-serif" w:hAnsi="Times New Roman;sans-serif"/>
                <w:b w:val="false"/>
                <w:color w:val="000000"/>
                <w:sz w:val="18"/>
              </w:rPr>
              <w:t>- Revenues, net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$3,757.7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$3,427.1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$330.6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$3,796.1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$3,460.0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$336.1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r>
    </w:tbl>
    <w:tbl>
      <w:tblPr>
        <w:tblW w:w="10205" w:type="dxa"/>
        <w:jc w:val="left"/>
        <w:tblInd w:w="0" w:type="dxa"/>
        <w:tblLayout w:type="fixed"/>
        <w:tblCellMar>
          <w:top w:w="28" w:type="dxa"/>
          <w:left w:w="28" w:type="dxa"/>
          <w:bottom w:w="28" w:type="dxa"/>
          <w:right w:w="28" w:type="dxa"/>
        </w:tblCellMar>
      </w:tblPr>
      <w:tblGrid>
        <w:gridCol w:w="3453"/>
        <w:gridCol w:w="2787"/>
        <w:gridCol w:w="3965"/>
      </w:tblGrid>
      <w:tr>
        <w:trPr/>
        <w:tc>
          <w:tcPr>
            <w:tcW w:w="3453"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Other includes Gift and Payroll Card operating segments.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40" w:after="283"/>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xml:space="preserve">See heading entitled "Managements' Use of Non-GAAP Financial Measures" for a reconciliation of pro forma and macro adjusted revenue by product and metric non-GAAP measures to the comparable financial measure calculated in accordance with GAAP. The calculated change represents organic growth rate. </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 xml:space="preserve">Represents total tag subscription transactions in the year. Average monthly tag subscriptions for 2023 </w:t>
            </w:r>
            <w:r>
              <w:rPr>
                <w:rFonts w:ascii="Times New Roman;sans-serif" w:hAnsi="Times New Roman;sans-serif"/>
                <w:b w:val="false"/>
                <w:color w:val="000000"/>
                <w:sz w:val="20"/>
                <w:shd w:fill="FFFFFF" w:val="clear"/>
              </w:rPr>
              <w:t xml:space="preserve">is 6.6 million.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Columns may not calculate due to rounding.</w:t>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relevant key performance indicator (KPI), which may include transactions, spend volume, room nights, or other metrics, is derived from the various revenue types as discussed above and can vary based on geography, the relevant merchant relationship, the payment product utilized and the types of products or services purchased, the mix of which would be influenced by our acquisitions, organic growth in our business, and the overall macroeconomic environment, including fluctuations in foreign currency exchange rates, fuel prices and fuel price spreads. Relevant KPI is derived by broad product type and may differ from how we describe the business. Revenue per KPI per customer may change as the level of services we provide to a customer increases or decreases, as macroeconomic factors change and as adjustments are made to merchant and customer rates. See “Results of Operations” for further discussion of transaction volumes and revenue per transaction.</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Organic revenue growth is a supplemental non-GAAP financial measure of operating performance. Organic revenue growth is calculated as revenue growth in the current period adjusted for the impact of changes in the macroeconomic environment (to include fuel price, fuel price spreads and changes in foreign exchange rates) over revenue in the comparable prior period adjusted to include or remove the impact of acquisitions and/or divestitures and non-recurring items that have occurred subsequent to that period. See the heading entitled “Management’s Use of Non-GAAP Financial Measures” for more information and a reconciliation of the non-GAAP financial measure to the most directly comparable financial measure calculated in accordance with GAAP. We believe that organic revenue growth on a macro-neutral, one-time item,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4605" cy="14605"/>
                <wp:effectExtent l="0" t="0" r="0" b="0"/>
                <wp:wrapNone/>
                <wp:docPr id="42" name="Frame4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consistent acquisition/divestiture/non-recurring item basis is useful to investors for understanding the performance of FLEETCOR. </w:t>
      </w:r>
    </w:p>
    <w:p>
      <w:pPr>
        <w:pStyle w:val="TextBody"/>
        <w:bidi w:val="0"/>
        <w:spacing w:lineRule="auto" w:line="256" w:before="240" w:after="283"/>
        <w:jc w:val="left"/>
        <w:rPr>
          <w:rFonts w:ascii="Times New Roman;sans-serif" w:hAnsi="Times New Roman;sans-serif"/>
          <w:b/>
          <w:i/>
          <w:color w:val="000000"/>
          <w:sz w:val="20"/>
        </w:rPr>
      </w:pPr>
      <w:r>
        <w:rPr>
          <w:rFonts w:ascii="Times New Roman;sans-serif" w:hAnsi="Times New Roman;sans-serif"/>
          <w:b/>
          <w:i/>
          <w:color w:val="000000"/>
          <w:sz w:val="20"/>
        </w:rPr>
        <w:t>Sources of Expenses</w:t>
      </w:r>
    </w:p>
    <w:p>
      <w:pPr>
        <w:pStyle w:val="TextBody"/>
        <w:bidi w:val="0"/>
        <w:spacing w:lineRule="auto" w:line="256" w:before="180" w:after="120"/>
        <w:jc w:val="left"/>
        <w:rPr/>
      </w:pPr>
      <w:r>
        <w:rPr>
          <w:rFonts w:ascii="Times New Roman;sans-serif" w:hAnsi="Times New Roman;sans-serif"/>
          <w:b w:val="false"/>
          <w:color w:val="000000"/>
          <w:sz w:val="20"/>
        </w:rPr>
        <w:t>We incur expenses in the following categories:</w:t>
      </w:r>
      <w:r>
        <w:rPr>
          <w:color w:val="000000"/>
        </w:rPr>
        <w:t> </w:t>
      </w:r>
    </w:p>
    <w:p>
      <w:pPr>
        <w:pStyle w:val="TextBody"/>
        <w:bidi w:val="0"/>
        <w:spacing w:lineRule="auto" w:line="256" w:before="120" w:after="180"/>
        <w:ind w:left="0" w:right="0" w:hanging="360"/>
        <w:jc w:val="left"/>
        <w:rPr/>
      </w:pPr>
      <w:r>
        <w:rPr>
          <w:color w:val="000000"/>
        </w:rPr>
        <w:t>•</w:t>
      </w:r>
      <w:r>
        <w:rPr>
          <w:rFonts w:ascii="Times New Roman;sans-serif" w:hAnsi="Times New Roman;sans-serif"/>
          <w:b w:val="false"/>
          <w:i/>
          <w:color w:val="000000"/>
          <w:sz w:val="20"/>
        </w:rPr>
        <w:t>Processing</w:t>
      </w:r>
      <w:r>
        <w:rPr>
          <w:color w:val="000000"/>
        </w:rPr>
        <w:t>—</w:t>
      </w:r>
      <w:r>
        <w:rPr>
          <w:rFonts w:ascii="Times New Roman;sans-serif" w:hAnsi="Times New Roman;sans-serif"/>
          <w:b w:val="false"/>
          <w:color w:val="000000"/>
          <w:sz w:val="20"/>
        </w:rPr>
        <w:t>Our processing expenses consist of expenses related to processing transactions, servicing our customers and merchants, credit losses and cost of goods sold related to our hardware and card sales in certain businesses.</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i/>
          <w:color w:val="000000"/>
          <w:sz w:val="20"/>
        </w:rPr>
        <w:t>Selling</w:t>
      </w:r>
      <w:r>
        <w:rPr>
          <w:color w:val="000000"/>
        </w:rPr>
        <w:t>—</w:t>
      </w:r>
      <w:r>
        <w:rPr>
          <w:rFonts w:ascii="Times New Roman;sans-serif" w:hAnsi="Times New Roman;sans-serif"/>
          <w:b w:val="false"/>
          <w:color w:val="000000"/>
          <w:sz w:val="20"/>
        </w:rPr>
        <w:t>Our selling expenses consist primarily of wages, benefits, sales commissions (other than merchant commissions) and related expenses for our sales, marketing and account management personnel and activities.</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i/>
          <w:color w:val="000000"/>
          <w:sz w:val="20"/>
        </w:rPr>
        <w:t>General and administrative</w:t>
      </w:r>
      <w:r>
        <w:rPr>
          <w:color w:val="000000"/>
        </w:rPr>
        <w:t>—</w:t>
      </w:r>
      <w:r>
        <w:rPr>
          <w:rFonts w:ascii="Times New Roman;sans-serif" w:hAnsi="Times New Roman;sans-serif"/>
          <w:b w:val="false"/>
          <w:color w:val="000000"/>
          <w:sz w:val="20"/>
        </w:rPr>
        <w:t>Our general and administrative expenses include compensation and related expenses (including stock-based compensation and bonuses) for our employees, finance and accounting, information technology, human resources, legal and other administrative personnel. Also included are facilities expenses, third-party professional services fees, travel and entertainment expenses, and other corporate-level expenses.</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i/>
          <w:color w:val="000000"/>
          <w:sz w:val="20"/>
        </w:rPr>
        <w:t>Depreciation and amortization</w:t>
      </w:r>
      <w:r>
        <w:rPr>
          <w:color w:val="000000"/>
        </w:rPr>
        <w:t>—</w:t>
      </w:r>
      <w:r>
        <w:rPr>
          <w:rFonts w:ascii="Times New Roman;sans-serif" w:hAnsi="Times New Roman;sans-serif"/>
          <w:b w:val="false"/>
          <w:color w:val="000000"/>
          <w:sz w:val="20"/>
        </w:rPr>
        <w:t>Our depreciation expenses include depreciation of property and equipment, consisting of computer hardware and software (including proprietary software development amortization expense), card-reading equipment, furniture, fixtures, vehicles and buildings and leasehold improvements related to office space. Our amortization expenses include amortization of intangible assets related to customer and vendor relationships, trade names and trademarks, software and non-compete agreements. We are amortizing intangible assets related to business acquisitions and certain private label contracts associated with the purchase of accounts receivable.</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i/>
          <w:color w:val="000000"/>
          <w:sz w:val="20"/>
        </w:rPr>
        <w:t>Other operating, net</w:t>
      </w:r>
      <w:r>
        <w:rPr>
          <w:color w:val="000000"/>
        </w:rPr>
        <w:t>—</w:t>
      </w:r>
      <w:r>
        <w:rPr>
          <w:rFonts w:ascii="Times New Roman;sans-serif" w:hAnsi="Times New Roman;sans-serif"/>
          <w:b w:val="false"/>
          <w:color w:val="000000"/>
          <w:sz w:val="20"/>
        </w:rPr>
        <w:t xml:space="preserve">Our other operating, net includes other operating expenses and income items that do not relate to our core operations or that occur infrequently. </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i/>
          <w:color w:val="000000"/>
          <w:sz w:val="20"/>
        </w:rPr>
        <w:t>Other (income) expense, net</w:t>
      </w:r>
      <w:r>
        <w:rPr>
          <w:color w:val="000000"/>
        </w:rPr>
        <w:t>—</w:t>
      </w:r>
      <w:r>
        <w:rPr>
          <w:rFonts w:ascii="Times New Roman;sans-serif" w:hAnsi="Times New Roman;sans-serif"/>
          <w:b w:val="false"/>
          <w:color w:val="000000"/>
          <w:sz w:val="20"/>
        </w:rPr>
        <w:t xml:space="preserve">Our other (income) expense, net includes gains or losses from the following: sales of assets or businesses, foreign currency transactions, extinguishment of debt, and investments. This category also includes other miscellaneous non-operating costs and revenue. Certain of these items may be presented separately on the Consolidated Statements of Income. </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i/>
          <w:color w:val="000000"/>
          <w:sz w:val="20"/>
        </w:rPr>
        <w:t>Interest expense, net</w:t>
      </w:r>
      <w:r>
        <w:rPr>
          <w:color w:val="000000"/>
        </w:rPr>
        <w:t>—</w:t>
      </w:r>
      <w:r>
        <w:rPr>
          <w:rFonts w:ascii="Times New Roman;sans-serif" w:hAnsi="Times New Roman;sans-serif"/>
          <w:b w:val="false"/>
          <w:color w:val="000000"/>
          <w:sz w:val="20"/>
        </w:rPr>
        <w:t>Our interest expense, net includes interest expense on our outstanding debt, interest income on cash balances and interest on our interest rate and cross-currency swaps.</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i/>
          <w:color w:val="000000"/>
          <w:sz w:val="20"/>
        </w:rPr>
        <w:t>Provision for income taxes</w:t>
      </w:r>
      <w:r>
        <w:rPr>
          <w:color w:val="000000"/>
        </w:rPr>
        <w:t>—</w:t>
      </w:r>
      <w:r>
        <w:rPr>
          <w:rFonts w:ascii="Times New Roman;sans-serif" w:hAnsi="Times New Roman;sans-serif"/>
          <w:b w:val="false"/>
          <w:color w:val="000000"/>
          <w:sz w:val="20"/>
        </w:rPr>
        <w:t>Our provision for income taxes consists of corporate income taxes related primarily to profits resulting from the sale of our products and services on a global basis.</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Factors and Trends Impacting our Business</w:t>
      </w:r>
    </w:p>
    <w:p>
      <w:pPr>
        <w:pStyle w:val="TextBody"/>
        <w:bidi w:val="0"/>
        <w:spacing w:lineRule="auto" w:line="256" w:before="180" w:after="180"/>
        <w:jc w:val="left"/>
        <w:rPr/>
      </w:pPr>
      <w:r>
        <w:rPr>
          <w:rFonts w:ascii="Times New Roman;sans-serif" w:hAnsi="Times New Roman;sans-serif"/>
          <w:b w:val="false"/>
          <w:color w:val="000000"/>
          <w:sz w:val="20"/>
        </w:rPr>
        <w:t>We believe that the following factors and trends are important in understanding our financial performance:</w:t>
      </w:r>
      <w:r>
        <w:rPr>
          <w:color w:val="000000"/>
        </w:rPr>
        <w:t> </w:t>
      </w:r>
    </w:p>
    <w:p>
      <w:pPr>
        <w:pStyle w:val="TextBody"/>
        <w:bidi w:val="0"/>
        <w:spacing w:lineRule="auto" w:line="256" w:before="120" w:after="120"/>
        <w:ind w:left="0" w:right="0" w:hanging="360"/>
        <w:jc w:val="left"/>
        <w:rPr/>
      </w:pPr>
      <w:r>
        <w:rPr>
          <w:color w:val="000000"/>
        </w:rPr>
        <w:t>•</w:t>
      </w:r>
      <w:r>
        <w:rPr>
          <w:rFonts w:ascii="Times New Roman;sans-serif" w:hAnsi="Times New Roman;sans-serif"/>
          <w:b w:val="false"/>
          <w:i/>
          <w:color w:val="000000"/>
          <w:sz w:val="20"/>
        </w:rPr>
        <w:t>Global economic conditions</w:t>
      </w:r>
      <w:r>
        <w:rPr>
          <w:color w:val="000000"/>
        </w:rPr>
        <w:t>—</w:t>
      </w:r>
      <w:r>
        <w:rPr>
          <w:rFonts w:ascii="Times New Roman;sans-serif" w:hAnsi="Times New Roman;sans-serif"/>
          <w:b w:val="false"/>
          <w:color w:val="000000"/>
          <w:sz w:val="20"/>
        </w:rPr>
        <w:t>Our results of operations are materially affected by conditions in the economy generally, in North America, Brazil, and internationally, including the current conflict between Russia and Ukraine and other geopolitical events in the Middle East, as discussed elsewhere in this Annual Report on Form 10-K, and the ultimate impact of the COVID-19 pandemic. Factors affected by the economy include our transaction volumes, the credit risk of our customers and changes in tax laws across the globe. These factors affected our businesses in each of our segments.</w:t>
      </w:r>
    </w:p>
    <w:p>
      <w:pPr>
        <w:pStyle w:val="TextBody"/>
        <w:bidi w:val="0"/>
        <w:spacing w:lineRule="auto" w:line="256" w:before="120" w:after="120"/>
        <w:ind w:left="0" w:right="0" w:hanging="360"/>
        <w:jc w:val="left"/>
        <w:rPr/>
      </w:pPr>
      <w:r>
        <w:rPr>
          <w:color w:val="000000"/>
        </w:rPr>
        <w:t>•</w:t>
      </w:r>
      <w:r>
        <w:rPr>
          <w:rFonts w:ascii="Times New Roman;sans-serif" w:hAnsi="Times New Roman;sans-serif"/>
          <w:b w:val="false"/>
          <w:i/>
          <w:color w:val="000000"/>
          <w:sz w:val="20"/>
        </w:rPr>
        <w:t>Foreign currency changes</w:t>
      </w:r>
      <w:r>
        <w:rPr>
          <w:color w:val="000000"/>
        </w:rPr>
        <w:t>—</w:t>
      </w:r>
      <w:r>
        <w:rPr>
          <w:rFonts w:ascii="Times New Roman;sans-serif" w:hAnsi="Times New Roman;sans-serif"/>
          <w:b w:val="false"/>
          <w:color w:val="000000"/>
          <w:sz w:val="20"/>
        </w:rPr>
        <w:t>Our results of operations are significantly impacted by changes in foreign currency exchange rates; namely, by movements of the Australian dollar, Brazilian real, British pound, Canadian dollar, Czech koruna, euro, Mexican peso, New Zealand dollar and Russian ruble (for periods prior to the disposition or our Russia business), relative to the U.S. dollar. Approxi</w:t>
      </w:r>
      <w:r>
        <w:rPr>
          <w:rFonts w:ascii="Times New Roman;sans-serif" w:hAnsi="Times New Roman;sans-serif"/>
          <w:b w:val="false"/>
          <w:color w:val="000000"/>
          <w:sz w:val="20"/>
          <w:shd w:fill="FFFFFF" w:val="clear"/>
        </w:rPr>
        <w:t>mately 57%,</w:t>
      </w:r>
      <w:r>
        <w:rPr>
          <w:color w:val="000000"/>
        </w:rPr>
        <w:t xml:space="preserve"> </w:t>
      </w:r>
      <w:r>
        <w:rPr>
          <w:rFonts w:ascii="Times New Roman;sans-serif" w:hAnsi="Times New Roman;sans-serif"/>
          <w:b w:val="false"/>
          <w:color w:val="000000"/>
          <w:sz w:val="20"/>
        </w:rPr>
        <w:t>and 61% of our revenue in 2023 and 2022, respectively, was derived in U.S. dollars and was not affected by foreign currency exchange rates. See “Results of Operations” for information related to foreign currency impact on our total revenue, net.</w:t>
      </w:r>
    </w:p>
    <w:p>
      <w:pPr>
        <w:pStyle w:val="TextBody"/>
        <w:bidi w:val="0"/>
        <w:spacing w:lineRule="auto" w:line="256"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cross-border foreign risk management business aggregates foreign currency exposures arising from customer contracts and economically hedges the resulting net currency risks by entering into offsetting contracts with established financial institution counterparties. These contracts are subject to counterparty credit risk.</w:t>
      </w:r>
    </w:p>
    <w:p>
      <w:pPr>
        <w:pStyle w:val="TextBody"/>
        <w:bidi w:val="0"/>
        <w:spacing w:lineRule="auto" w:line="256" w:before="120" w:after="120"/>
        <w:jc w:val="left"/>
        <w:rPr/>
      </w:pPr>
      <w:r>
        <w:rPr>
          <w:rFonts w:ascii="Times New Roman;sans-serif" w:hAnsi="Times New Roman;sans-serif"/>
          <w:b w:val="false"/>
          <w:color w:val="000000"/>
          <w:sz w:val="20"/>
          <w:shd w:fill="FFFFFF" w:val="clear"/>
        </w:rPr>
        <w:t xml:space="preserve">In February 2023, to further manage the impact of economic changes in the value of certain foreign-denominated net assets, we entered into a cross currency interest rate swap on $500 million of notional value of investments in various euro-functional subsidiaries. This swap was terminated in February 2024, and we subsequently </w:t>
      </w:r>
      <w:r>
        <w:rPr>
          <w:rFonts w:ascii="Times New Roman;sans-serif" w:hAnsi="Times New Roman;sans-serif"/>
          <w:b w:val="false"/>
          <w:color w:val="000000"/>
          <w:sz w:val="20"/>
        </w:rPr>
        <w:t xml:space="preserve">entered into four new cross-currency interest rate swaps totaling $500 million of notional value that are designated as net investment hedges of our investments in euro-denominated operations. </w:t>
      </w:r>
    </w:p>
    <w:p>
      <w:pPr>
        <w:pStyle w:val="TextBody"/>
        <w:bidi w:val="0"/>
        <w:spacing w:lineRule="auto" w:line="256" w:before="120" w:after="120"/>
        <w:ind w:left="0" w:right="0" w:hanging="360"/>
        <w:jc w:val="left"/>
        <w:rPr/>
      </w:pPr>
      <w:r>
        <w:rPr>
          <w:color w:val="000000"/>
        </w:rPr>
        <w:t>•</w:t>
      </w:r>
      <w:r>
        <w:rPr>
          <w:rFonts w:ascii="Times New Roman;sans-serif" w:hAnsi="Times New Roman;sans-serif"/>
          <w:b w:val="false"/>
          <w:i/>
          <w:color w:val="000000"/>
          <w:sz w:val="20"/>
        </w:rPr>
        <w:t>Fuel prices</w:t>
      </w:r>
      <w:r>
        <w:rPr>
          <w:color w:val="000000"/>
        </w:rPr>
        <w:t>—</w:t>
      </w:r>
      <w:r>
        <w:rPr>
          <w:rFonts w:ascii="Times New Roman;sans-serif" w:hAnsi="Times New Roman;sans-serif"/>
          <w:b w:val="false"/>
          <w:color w:val="000000"/>
          <w:sz w:val="20"/>
        </w:rPr>
        <w:t xml:space="preserve">Our fleet customers use our products and services primarily in connection with the purchase of fuel. Accordingly, our revenue is affected by fuel prices, which are subject to significant volatility. A change in retail fuel prices could cause a decrease or increase in our revenue from several sources, including fees paid to us based on a percentage of each customer’s total purchase. Changes in the absolute price of fuel may also impact unpaid account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605" cy="14605"/>
                <wp:effectExtent l="0" t="0" r="0" b="0"/>
                <wp:wrapNone/>
                <wp:docPr id="43" name="Frame4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balances and the late fees and charges based on these amounts. We estimate approximately 10% and 13% of revenues, net were directly impacted by changes in fuel price in 2023 and 2022, respectively. See "Results of Operations" for information related to the fuel price impact on our total revenues, net. </w:t>
      </w:r>
    </w:p>
    <w:p>
      <w:pPr>
        <w:pStyle w:val="TextBody"/>
        <w:bidi w:val="0"/>
        <w:spacing w:lineRule="auto" w:line="256" w:before="120" w:after="120"/>
        <w:ind w:left="0" w:right="0" w:hanging="360"/>
        <w:jc w:val="left"/>
        <w:rPr/>
      </w:pPr>
      <w:r>
        <w:rPr>
          <w:color w:val="000000"/>
        </w:rPr>
        <w:t>•</w:t>
      </w:r>
      <w:r>
        <w:rPr>
          <w:rFonts w:ascii="Times New Roman;sans-serif" w:hAnsi="Times New Roman;sans-serif"/>
          <w:b w:val="false"/>
          <w:i/>
          <w:color w:val="000000"/>
          <w:sz w:val="20"/>
        </w:rPr>
        <w:t>Fuel price spread volatility</w:t>
      </w:r>
      <w:r>
        <w:rPr>
          <w:color w:val="000000"/>
        </w:rPr>
        <w:t>—</w:t>
      </w:r>
      <w:r>
        <w:rPr>
          <w:rFonts w:ascii="Times New Roman;sans-serif" w:hAnsi="Times New Roman;sans-serif"/>
          <w:b w:val="false"/>
          <w:color w:val="000000"/>
          <w:sz w:val="20"/>
        </w:rPr>
        <w:t xml:space="preserve">A portion of our revenue involves transactions where we derive revenue from fuel price spreads, which is the difference between the price charged to a fleet customer for a transaction and the price paid to the merchant for the same transaction. In these transactions, the price paid to the merchant is based on the wholesale cost of fuel. The merchant’s wholesale cost of fuel is dependent on several factors including, among others, the factors described above affecting fuel prices. The fuel price that we charge to our customer is dependent on several factors including, among others, the fuel price paid to the merchant, posted retail fuel prices and competitive fuel prices. We experience fuel price spread contraction when the merchant’s wholesale cost of fuel increases at a faster rate than the fuel price we charge to our customers, or the fuel price we charge to our customers decreases at a faster rate than the merchant’s wholesale cost of fuel. The inverse of these situations produces fuel price spread expansion. We estimate approximately 5% and 6% of revenues, net were directly impacted by fuel price spreads in 2023 and 2022, respectively. See "Results of Operations" for information related to the fuel price impact on our total revenues, net. </w:t>
      </w:r>
    </w:p>
    <w:p>
      <w:pPr>
        <w:pStyle w:val="TextBody"/>
        <w:bidi w:val="0"/>
        <w:spacing w:lineRule="auto" w:line="256" w:before="120" w:after="120"/>
        <w:ind w:left="0" w:right="0" w:hanging="360"/>
        <w:jc w:val="left"/>
        <w:rPr/>
      </w:pPr>
      <w:r>
        <w:rPr>
          <w:color w:val="000000"/>
        </w:rPr>
        <w:t>•</w:t>
      </w:r>
      <w:r>
        <w:rPr>
          <w:rFonts w:ascii="Times New Roman;sans-serif" w:hAnsi="Times New Roman;sans-serif"/>
          <w:b w:val="false"/>
          <w:i/>
          <w:color w:val="000000"/>
          <w:sz w:val="20"/>
        </w:rPr>
        <w:t>Acquisitions</w:t>
      </w:r>
      <w:r>
        <w:rPr>
          <w:color w:val="000000"/>
        </w:rPr>
        <w:t>—</w:t>
      </w:r>
      <w:r>
        <w:rPr>
          <w:rFonts w:ascii="Times New Roman;sans-serif" w:hAnsi="Times New Roman;sans-serif"/>
          <w:b w:val="false"/>
          <w:color w:val="000000"/>
          <w:sz w:val="20"/>
        </w:rPr>
        <w:t>Since 2002, we have completed over 95 acquisitions of companies and commercial account portfolios. Acquisitions have been an important part of our growth strategy, and it is our intention to continue to seek opportunities to increase our customer base and diversify our service offering through further strategic acquisitions. The impact of acquisitions has, and may continue to have, a significant impact on our results of operations and may make it difficult to compare our results between periods.</w:t>
      </w:r>
    </w:p>
    <w:p>
      <w:pPr>
        <w:pStyle w:val="TextBody"/>
        <w:bidi w:val="0"/>
        <w:spacing w:lineRule="auto" w:line="256" w:before="120" w:after="120"/>
        <w:ind w:left="0" w:right="0" w:hanging="360"/>
        <w:jc w:val="left"/>
        <w:rPr/>
      </w:pPr>
      <w:r>
        <w:rPr>
          <w:color w:val="000000"/>
          <w:shd w:fill="FFFFFF" w:val="clear"/>
        </w:rPr>
        <w:t>•</w:t>
      </w:r>
      <w:r>
        <w:rPr>
          <w:rFonts w:ascii="Times New Roman;sans-serif" w:hAnsi="Times New Roman;sans-serif"/>
          <w:b w:val="false"/>
          <w:i/>
          <w:color w:val="000000"/>
          <w:sz w:val="20"/>
        </w:rPr>
        <w:t>Interest rates</w:t>
      </w:r>
      <w:r>
        <w:rPr>
          <w:color w:val="000000"/>
        </w:rPr>
        <w:t>—</w:t>
      </w:r>
      <w:r>
        <w:rPr>
          <w:rFonts w:ascii="Times New Roman;sans-serif" w:hAnsi="Times New Roman;sans-serif"/>
          <w:b w:val="false"/>
          <w:color w:val="000000"/>
          <w:sz w:val="20"/>
        </w:rPr>
        <w:t xml:space="preserve">From January 1, 2022 to July 23, 2023, the U.S. Federal Open Market Committee increased the target federal funds rate eleven times for a total rate increase of 5.25%. Additional increases are possible in future periods. We are exposed to market risk changes in interest rates on our debt, particularly in rising interest rate environments, which is partially offset by incremental interest income earned on cash and restricted cash. As of December 31, 2023, we have a number of receive-variable SOFR, pay-fixed interest rate swap derivative contracts with a cumulative notional U.S. dollar value of $4.0 billion. The objective of these contracts is to reduce the variability of cash flows in the previously unhedged interest payments associated with variable rate debt, the sole source of which is due to changes in SOFR benchmark interest rate. </w:t>
      </w:r>
    </w:p>
    <w:p>
      <w:pPr>
        <w:pStyle w:val="TextBody"/>
        <w:bidi w:val="0"/>
        <w:spacing w:lineRule="auto" w:line="256"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"Liquidity" section below for additional information regarding our derivatives. </w:t>
      </w:r>
    </w:p>
    <w:p>
      <w:pPr>
        <w:pStyle w:val="TextBody"/>
        <w:bidi w:val="0"/>
        <w:spacing w:lineRule="auto" w:line="256" w:before="120" w:after="120"/>
        <w:ind w:left="0" w:right="0" w:hanging="360"/>
        <w:jc w:val="left"/>
        <w:rPr/>
      </w:pPr>
      <w:r>
        <w:rPr>
          <w:color w:val="000000"/>
          <w:shd w:fill="FFFFFF" w:val="clear"/>
        </w:rPr>
        <w:t>•</w:t>
      </w:r>
      <w:r>
        <w:rPr>
          <w:rFonts w:ascii="Times New Roman;sans-serif" w:hAnsi="Times New Roman;sans-serif"/>
          <w:b w:val="false"/>
          <w:i/>
          <w:color w:val="000000"/>
          <w:sz w:val="20"/>
        </w:rPr>
        <w:t>Expenses</w:t>
      </w:r>
      <w:r>
        <w:rPr>
          <w:color w:val="000000"/>
        </w:rPr>
        <w:t>—</w:t>
      </w:r>
      <w:r>
        <w:rPr>
          <w:rFonts w:ascii="Times New Roman;sans-serif" w:hAnsi="Times New Roman;sans-serif"/>
          <w:b w:val="false"/>
          <w:color w:val="000000"/>
          <w:sz w:val="20"/>
        </w:rPr>
        <w:t>Over the long term, we expect that our expense will decrease as a percentage of revenue as our revenue increases, except for expenses related to transaction volume processed. To support our expected revenue growth, we plan to continue to incur additional sales and marketing expense by investing in our direct marketing, third-party agents, internet marketing, telemarketing and sales force.</w:t>
      </w:r>
    </w:p>
    <w:p>
      <w:pPr>
        <w:pStyle w:val="TextBody"/>
        <w:bidi w:val="0"/>
        <w:spacing w:lineRule="auto" w:line="256" w:before="120" w:after="120"/>
        <w:ind w:left="0" w:right="0" w:hanging="360"/>
        <w:jc w:val="left"/>
        <w:rPr/>
      </w:pPr>
      <w:r>
        <w:rPr>
          <w:color w:val="000000"/>
        </w:rPr>
        <w:t>•</w:t>
      </w:r>
      <w:r>
        <w:rPr>
          <w:rFonts w:ascii="Times New Roman;sans-serif" w:hAnsi="Times New Roman;sans-serif"/>
          <w:b w:val="false"/>
          <w:i/>
          <w:color w:val="000000"/>
          <w:sz w:val="20"/>
        </w:rPr>
        <w:t>Taxes</w:t>
      </w:r>
      <w:r>
        <w:rPr>
          <w:color w:val="000000"/>
        </w:rPr>
        <w:t>—</w:t>
      </w:r>
      <w:r>
        <w:rPr>
          <w:rFonts w:ascii="Times New Roman;sans-serif" w:hAnsi="Times New Roman;sans-serif"/>
          <w:b w:val="false"/>
          <w:color w:val="000000"/>
          <w:sz w:val="20"/>
        </w:rPr>
        <w:t>We pay taxes in various taxing jurisdictions, including the U.S., most U.S. states and many non-U.S. jurisdictions. The tax rates in non-U.S. taxing jurisdictions are different than the U.S. tax rate. Consequently, as our earnings fluctuate between taxing jurisdictions, our effective tax rate fluctuates.</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Acquisitions, Investments and Divestitures</w:t>
      </w:r>
    </w:p>
    <w:p>
      <w:pPr>
        <w:pStyle w:val="TextBody"/>
        <w:bidi w:val="0"/>
        <w:spacing w:lineRule="auto" w:line="256" w:before="180" w:after="283"/>
        <w:jc w:val="left"/>
        <w:rPr/>
      </w:pPr>
      <w:r>
        <w:rPr>
          <w:rFonts w:ascii="Times New Roman;sans-serif" w:hAnsi="Times New Roman;sans-serif"/>
          <w:b w:val="false"/>
          <w:i/>
          <w:color w:val="000000"/>
          <w:sz w:val="20"/>
        </w:rPr>
        <w:t>20</w:t>
      </w:r>
      <w:r>
        <w:rPr>
          <w:rFonts w:ascii="Times New Roman;sans-serif" w:hAnsi="Times New Roman;sans-serif"/>
          <w:b w:val="false"/>
          <w:i/>
          <w:color w:val="000000"/>
          <w:sz w:val="20"/>
          <w:shd w:fill="FFFFFF" w:val="clear"/>
        </w:rPr>
        <w:t>23</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color w:val="000000"/>
          <w:sz w:val="20"/>
          <w:shd w:fill="FFFFFF" w:val="clear"/>
        </w:rPr>
        <w:t>In January 2023, we acquired Global Reach, a U.K.-based cross border payments provider, for approximately $102.9 million</w:t>
      </w:r>
      <w:r>
        <w:rPr>
          <w:rFonts w:ascii="Times New Roman;sans-serif" w:hAnsi="Times New Roman;sans-serif"/>
          <w:b w:val="false"/>
          <w:color w:val="000000"/>
          <w:sz w:val="20"/>
        </w:rPr>
        <w:t xml:space="preserve">, net of cash. Results from Global Reach Group are reported in our Corporate Payments segment. </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color w:val="000000"/>
          <w:sz w:val="20"/>
        </w:rPr>
        <w:t>In February 2023, we acquired the remainder of Mina Digital Limited, a cloud-based electric vehicle ("EV") charging softwa</w:t>
      </w:r>
      <w:r>
        <w:rPr>
          <w:rFonts w:ascii="Times New Roman;sans-serif" w:hAnsi="Times New Roman;sans-serif"/>
          <w:b w:val="false"/>
          <w:color w:val="000000"/>
          <w:sz w:val="20"/>
          <w:shd w:fill="FFFFFF" w:val="clear"/>
        </w:rPr>
        <w:t xml:space="preserve">re platform, and we also acquired Business Gateway AG, a European-based vehicle maintenance provider, for a total of approximately $23.8 million, net of cash. </w:t>
      </w:r>
      <w:r>
        <w:rPr>
          <w:rFonts w:ascii="Times New Roman;sans-serif" w:hAnsi="Times New Roman;sans-serif"/>
          <w:b w:val="false"/>
          <w:color w:val="000000"/>
          <w:sz w:val="20"/>
        </w:rPr>
        <w:t>Results from Mina Digital Limited and Business Gateway AG are reported in our Vehicle Payments segment.</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color w:val="000000"/>
          <w:sz w:val="20"/>
        </w:rPr>
        <w:t>In September 2023, we acquired PayByPhone Technologies, Inc. a global parking payment application, for approximately $301.6 million, net of cash. Results from PayByPhone are reported in our Vehicle Payments segment.</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color w:val="000000"/>
          <w:sz w:val="20"/>
        </w:rPr>
        <w:t>In the third quarter of 2023, we disposed of our Russian business for $197.0 million, net of cash disposed and net of a $5.6 million foreign exchange loss upon the conversion of the ruble-denominated proceeds to U.S. dollars. Results from our Russian business were previously included in our Vehicle Payments segment.</w:t>
      </w:r>
    </w:p>
    <w:p>
      <w:pPr>
        <w:pStyle w:val="TextBody"/>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these 2023 acquisitions provide incremental geographic expansion of our products, with PayByPhone specifically intended to progress our broader strategy to transform our vehicle payments business. </w:t>
      </w:r>
    </w:p>
    <w:p>
      <w:pPr>
        <w:pStyle w:val="TextBody"/>
        <w:bidi w:val="0"/>
        <w:spacing w:lineRule="auto" w:line="25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2022</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color w:val="000000"/>
          <w:sz w:val="20"/>
        </w:rPr>
        <w:t xml:space="preserve">In November 2022, we completed the acquisition of Roomex, a European workforce lodging provider serving the U.K. and German markets for approximately $56.8 million, net of cash. Results from Roomex are included in our Lodging Payments segment. </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color w:val="000000"/>
          <w:sz w:val="20"/>
        </w:rPr>
        <w:t xml:space="preserve">In September 2022, we made an investment of $6.1 million in a U.K.-based EV search and pay mapping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color w:val="000000"/>
          <w:sz w:val="20"/>
        </w:rPr>
        <w:t xml:space="preserve">In September 2022, we completed the acquisition of Plugsurfing, a European EV software and network provider, for $75.8 million, net of cash. Results from Plugsurfing are reported in our Vehicle Payments segment. </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color w:val="000000"/>
          <w:sz w:val="20"/>
        </w:rPr>
        <w:t xml:space="preserve">In August 2022, we completed the acquisition of Accrualify, an accounts payable (AP) automation software company, for $41.2 million, net of cash. Results from Accrualify are reported in our Corporate Payments segment. </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color w:val="000000"/>
          <w:sz w:val="20"/>
        </w:rPr>
        <w:t xml:space="preserve">In March 2022, we completed the acquisition of Levarti, a U.S.-based airline software platform company, for $23.7 million, net of cash. Results from Levarti are included in our Lodging Payments segment. </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color w:val="000000"/>
          <w:sz w:val="20"/>
        </w:rPr>
        <w:t xml:space="preserve">In February 2022, we made an investment of $7.8 million in Mina Digital Limited, an EV charging payments business and $5.0 million in an EV data analytics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Year ended December 31, 2023 compared to the year ended December 31, 2022 </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financial information from the consolidated statements of income for the years ended December 31, 2023 and 2022 (in millions, except percentages)*.</w:t>
      </w:r>
    </w:p>
    <w:tbl>
      <w:tblPr>
        <w:tblW w:w="10205" w:type="dxa"/>
        <w:jc w:val="left"/>
        <w:tblInd w:w="0" w:type="dxa"/>
        <w:tblLayout w:type="fixed"/>
        <w:tblCellMar>
          <w:top w:w="28" w:type="dxa"/>
          <w:left w:w="28" w:type="dxa"/>
          <w:bottom w:w="28" w:type="dxa"/>
          <w:right w:w="28" w:type="dxa"/>
        </w:tblCellMar>
      </w:tblPr>
      <w:tblGrid>
        <w:gridCol w:w="811"/>
        <w:gridCol w:w="373"/>
        <w:gridCol w:w="375"/>
        <w:gridCol w:w="109"/>
        <w:gridCol w:w="109"/>
        <w:gridCol w:w="109"/>
        <w:gridCol w:w="229"/>
        <w:gridCol w:w="835"/>
        <w:gridCol w:w="120"/>
        <w:gridCol w:w="109"/>
        <w:gridCol w:w="109"/>
        <w:gridCol w:w="109"/>
        <w:gridCol w:w="307"/>
        <w:gridCol w:w="309"/>
        <w:gridCol w:w="517"/>
        <w:gridCol w:w="109"/>
        <w:gridCol w:w="109"/>
        <w:gridCol w:w="109"/>
        <w:gridCol w:w="212"/>
        <w:gridCol w:w="776"/>
        <w:gridCol w:w="111"/>
        <w:gridCol w:w="109"/>
        <w:gridCol w:w="109"/>
        <w:gridCol w:w="109"/>
        <w:gridCol w:w="307"/>
        <w:gridCol w:w="309"/>
        <w:gridCol w:w="517"/>
        <w:gridCol w:w="109"/>
        <w:gridCol w:w="109"/>
        <w:gridCol w:w="109"/>
        <w:gridCol w:w="211"/>
        <w:gridCol w:w="616"/>
        <w:gridCol w:w="109"/>
        <w:gridCol w:w="109"/>
        <w:gridCol w:w="109"/>
        <w:gridCol w:w="109"/>
        <w:gridCol w:w="307"/>
        <w:gridCol w:w="309"/>
        <w:gridCol w:w="583"/>
      </w:tblGrid>
      <w:tr>
        <w:trPr/>
        <w:tc>
          <w:tcPr>
            <w:tcW w:w="8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8" w:type="dxa"/>
            <w:gridSpan w:val="21"/>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by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sum of the columns and rows may not calculate due to rounding.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Consolidated revenues, net</w:t>
      </w:r>
    </w:p>
    <w:p>
      <w:pPr>
        <w:pStyle w:val="TextBody"/>
        <w:bidi w:val="0"/>
        <w:spacing w:lineRule="auto" w:line="256" w:before="180" w:after="283"/>
        <w:jc w:val="left"/>
        <w:rPr/>
      </w:pPr>
      <w:r>
        <w:rPr>
          <w:rFonts w:ascii="Times New Roman;sans-serif" w:hAnsi="Times New Roman;sans-serif"/>
          <w:b w:val="false"/>
          <w:color w:val="000000"/>
          <w:sz w:val="20"/>
        </w:rPr>
        <w:t xml:space="preserve">Our consolidated revenues were </w:t>
      </w:r>
      <w:r>
        <w:rPr>
          <w:rFonts w:ascii="Times New Roman;sans-serif" w:hAnsi="Times New Roman;sans-serif"/>
          <w:b w:val="false"/>
          <w:color w:val="000000"/>
          <w:sz w:val="20"/>
          <w:shd w:fill="FFFFFF" w:val="clear"/>
        </w:rPr>
        <w:t>$3,757.7 million</w:t>
      </w:r>
      <w:r>
        <w:rPr>
          <w:color w:val="000000"/>
        </w:rPr>
        <w:t xml:space="preserve"> </w:t>
      </w:r>
      <w:r>
        <w:rPr>
          <w:rFonts w:ascii="Times New Roman;sans-serif" w:hAnsi="Times New Roman;sans-serif"/>
          <w:b w:val="false"/>
          <w:color w:val="000000"/>
          <w:sz w:val="20"/>
        </w:rPr>
        <w:t>in 2023, an increase of 9.6% compared to the prior year. The increase in consolidated revenues was due primarily to organic growt</w:t>
      </w:r>
      <w:r>
        <w:rPr>
          <w:rFonts w:ascii="Times New Roman;sans-serif" w:hAnsi="Times New Roman;sans-serif"/>
          <w:b w:val="false"/>
          <w:color w:val="000000"/>
          <w:sz w:val="20"/>
          <w:shd w:fill="FFFFFF" w:val="clear"/>
        </w:rPr>
        <w:t>h of 10%, driven by increases in transaction volumes and new sales growth and net revenue growth of 2% from acquisitions completed in 2022 and 2023</w:t>
      </w:r>
      <w:r>
        <w:rPr>
          <w:rFonts w:ascii="Times New Roman;sans-serif" w:hAnsi="Times New Roman;sans-serif"/>
          <w:b w:val="false"/>
          <w:color w:val="000000"/>
          <w:sz w:val="20"/>
        </w:rPr>
        <w:t>, partially offset by the</w:t>
      </w:r>
      <w:r>
        <w:rPr>
          <w:color w:val="000000"/>
          <w:shd w:fill="FFFFFF" w:val="clear"/>
        </w:rPr>
        <w:t xml:space="preserve"> </w:t>
      </w:r>
      <w:r>
        <w:rPr>
          <w:rFonts w:ascii="Times New Roman;sans-serif" w:hAnsi="Times New Roman;sans-serif"/>
          <w:b w:val="false"/>
          <w:color w:val="000000"/>
          <w:sz w:val="20"/>
          <w:shd w:fill="FFFFFF" w:val="clear"/>
        </w:rPr>
        <w:t xml:space="preserve">macroeconomic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pPr>
      <w:r>
        <w:rPr>
          <w:rFonts w:ascii="Times New Roman;sans-serif" w:hAnsi="Times New Roman;sans-serif"/>
          <w:b w:val="false"/>
          <w:color w:val="000000"/>
          <w:sz w:val="20"/>
          <w:shd w:fill="FFFFFF" w:val="clear"/>
        </w:rPr>
        <w:t>environment that negatively impacted revenue growth by 1%. Revenues were also negatively impacted in 2023 by the disposition of our Russia business</w:t>
      </w:r>
      <w:r>
        <w:rPr>
          <w:color w:val="000000"/>
        </w:rPr>
        <w:t xml:space="preserve"> </w:t>
      </w:r>
      <w:r>
        <w:rPr>
          <w:rFonts w:ascii="Times New Roman;sans-serif" w:hAnsi="Times New Roman;sans-serif"/>
          <w:b w:val="false"/>
          <w:color w:val="000000"/>
          <w:sz w:val="20"/>
        </w:rPr>
        <w:t>in August 2023 of approximately $50 million, or 1%.</w:t>
      </w:r>
    </w:p>
    <w:p>
      <w:pPr>
        <w:pStyle w:val="TextBody"/>
        <w:bidi w:val="0"/>
        <w:spacing w:lineRule="auto" w:line="256" w:before="180" w:after="283"/>
        <w:jc w:val="left"/>
        <w:rPr/>
      </w:pPr>
      <w:r>
        <w:rPr>
          <w:rFonts w:ascii="Times New Roman;sans-serif" w:hAnsi="Times New Roman;sans-serif"/>
          <w:b w:val="false"/>
          <w:color w:val="000000"/>
          <w:sz w:val="20"/>
        </w:rPr>
        <w:t>Although we cannot precisely measure the impac</w:t>
      </w:r>
      <w:r>
        <w:rPr>
          <w:rFonts w:ascii="Times New Roman;sans-serif" w:hAnsi="Times New Roman;sans-serif"/>
          <w:b w:val="false"/>
          <w:color w:val="000000"/>
          <w:sz w:val="20"/>
          <w:shd w:fill="FFFFFF" w:val="clear"/>
        </w:rPr>
        <w:t xml:space="preserve">t of the macroeconomic environment, in total we believe it had a negative impact on our consolidated revenues for 2023 over 2022, driven primarily by the unfavorable impact of lower fuel prices of approximately </w:t>
      </w:r>
      <w:r>
        <w:rPr>
          <w:rFonts w:ascii="Times New Roman;sans-serif" w:hAnsi="Times New Roman;sans-serif"/>
          <w:b w:val="false"/>
          <w:color w:val="000000"/>
          <w:sz w:val="20"/>
        </w:rPr>
        <w:t>$39 million</w:t>
      </w:r>
      <w:r>
        <w:rPr>
          <w:color w:val="000000"/>
          <w:shd w:fill="FFFFFF" w:val="clear"/>
        </w:rPr>
        <w:t xml:space="preserve"> </w:t>
      </w:r>
      <w:r>
        <w:rPr>
          <w:rFonts w:ascii="Times New Roman;sans-serif" w:hAnsi="Times New Roman;sans-serif"/>
          <w:b w:val="false"/>
          <w:color w:val="000000"/>
          <w:sz w:val="20"/>
          <w:shd w:fill="FFFFFF" w:val="clear"/>
        </w:rPr>
        <w:t xml:space="preserve">and unfavorable fuel price spreads of approximately </w:t>
      </w:r>
      <w:r>
        <w:rPr>
          <w:rFonts w:ascii="Times New Roman;sans-serif" w:hAnsi="Times New Roman;sans-serif"/>
          <w:b w:val="false"/>
          <w:color w:val="000000"/>
          <w:sz w:val="20"/>
        </w:rPr>
        <w:t xml:space="preserve">$15 million. </w:t>
      </w:r>
      <w:r>
        <w:rPr>
          <w:rFonts w:ascii="Times New Roman;sans-serif" w:hAnsi="Times New Roman;sans-serif"/>
          <w:b w:val="false"/>
          <w:color w:val="000000"/>
          <w:sz w:val="20"/>
          <w:shd w:fill="FFFFFF" w:val="clear"/>
        </w:rPr>
        <w:t xml:space="preserve">These decreases were partially offset by favorable foreign exchange rates of approximately </w:t>
      </w:r>
      <w:r>
        <w:rPr>
          <w:rFonts w:ascii="Times New Roman;sans-serif" w:hAnsi="Times New Roman;sans-serif"/>
          <w:b w:val="false"/>
          <w:color w:val="000000"/>
          <w:sz w:val="20"/>
        </w:rPr>
        <w:t>$16 million</w:t>
      </w:r>
      <w:r>
        <w:rPr>
          <w:rFonts w:ascii="Times New Roman;sans-serif" w:hAnsi="Times New Roman;sans-serif"/>
          <w:b w:val="false"/>
          <w:color w:val="000000"/>
          <w:sz w:val="20"/>
          <w:shd w:fill="FFFFFF" w:val="clear"/>
        </w:rPr>
        <w:t>, mostly in our Brazil</w:t>
      </w:r>
      <w:r>
        <w:rPr>
          <w:color w:val="000000"/>
        </w:rPr>
        <w:t xml:space="preserve"> </w:t>
      </w:r>
      <w:r>
        <w:rPr>
          <w:rFonts w:ascii="Times New Roman;sans-serif" w:hAnsi="Times New Roman;sans-serif"/>
          <w:b w:val="false"/>
          <w:color w:val="000000"/>
          <w:sz w:val="20"/>
        </w:rPr>
        <w:t xml:space="preserve">business. </w:t>
      </w:r>
    </w:p>
    <w:p>
      <w:pPr>
        <w:pStyle w:val="TextBody"/>
        <w:bidi w:val="0"/>
        <w:spacing w:lineRule="auto" w:line="256"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Consolidated operating expenses </w:t>
      </w:r>
    </w:p>
    <w:p>
      <w:pPr>
        <w:pStyle w:val="TextBody"/>
        <w:bidi w:val="0"/>
        <w:spacing w:lineRule="auto" w:line="256" w:before="180" w:after="283"/>
        <w:jc w:val="left"/>
        <w:rPr/>
      </w:pPr>
      <w:r>
        <w:rPr>
          <w:rFonts w:ascii="Times New Roman;sans-serif" w:hAnsi="Times New Roman;sans-serif"/>
          <w:b/>
          <w:i/>
          <w:color w:val="000000"/>
          <w:sz w:val="20"/>
        </w:rPr>
        <w:t>Processing.</w:t>
      </w:r>
      <w:r>
        <w:rPr>
          <w:color w:val="000000"/>
        </w:rPr>
        <w:t> </w:t>
      </w:r>
      <w:r>
        <w:rPr>
          <w:rFonts w:ascii="Times New Roman;sans-serif" w:hAnsi="Times New Roman;sans-serif"/>
          <w:b w:val="false"/>
          <w:color w:val="000000"/>
          <w:sz w:val="20"/>
        </w:rPr>
        <w:t xml:space="preserve">Processing expenses were $819.9 million in 2023, an increase of 7.2% compared to the prior year. Increases in processing expenses </w:t>
      </w:r>
      <w:r>
        <w:rPr>
          <w:rFonts w:ascii="Times New Roman;sans-serif" w:hAnsi="Times New Roman;sans-serif"/>
          <w:b w:val="false"/>
          <w:color w:val="000000"/>
          <w:sz w:val="20"/>
          <w:shd w:fill="FFFFFF" w:val="clear"/>
        </w:rPr>
        <w:t xml:space="preserve">were primarily due to </w:t>
      </w:r>
      <w:r>
        <w:rPr>
          <w:rFonts w:ascii="Times New Roman;sans-serif" w:hAnsi="Times New Roman;sans-serif"/>
          <w:b w:val="false"/>
          <w:color w:val="000000"/>
          <w:sz w:val="20"/>
        </w:rPr>
        <w:t>a</w:t>
      </w:r>
      <w:r>
        <w:rPr>
          <w:rFonts w:ascii="Times New Roman;sans-serif" w:hAnsi="Times New Roman;sans-serif"/>
          <w:b w:val="false"/>
          <w:color w:val="000000"/>
          <w:sz w:val="20"/>
          <w:shd w:fill="FFFFFF" w:val="clear"/>
        </w:rPr>
        <w:t xml:space="preserve">pproximately </w:t>
      </w:r>
      <w:r>
        <w:rPr>
          <w:rFonts w:ascii="Times New Roman;sans-serif" w:hAnsi="Times New Roman;sans-serif"/>
          <w:b w:val="false"/>
          <w:color w:val="000000"/>
          <w:sz w:val="20"/>
        </w:rPr>
        <w:t>$40 million</w:t>
      </w:r>
      <w:r>
        <w:rPr>
          <w:color w:val="000000"/>
          <w:shd w:fill="FFFFFF" w:val="clear"/>
        </w:rPr>
        <w:t xml:space="preserve"> </w:t>
      </w:r>
      <w:r>
        <w:rPr>
          <w:rFonts w:ascii="Times New Roman;sans-serif" w:hAnsi="Times New Roman;sans-serif"/>
          <w:b w:val="false"/>
          <w:color w:val="000000"/>
          <w:sz w:val="20"/>
          <w:shd w:fill="FFFFFF" w:val="clear"/>
        </w:rPr>
        <w:t>of expenses r</w:t>
      </w:r>
      <w:r>
        <w:rPr>
          <w:rFonts w:ascii="Times New Roman;sans-serif" w:hAnsi="Times New Roman;sans-serif"/>
          <w:b w:val="false"/>
          <w:color w:val="000000"/>
          <w:sz w:val="20"/>
        </w:rPr>
        <w:t>elated to acquisitions completed in 2022 and 2023,</w:t>
      </w:r>
      <w:r>
        <w:rPr>
          <w:color w:val="000000"/>
          <w:shd w:fill="FFFFFF" w:val="clear"/>
        </w:rPr>
        <w:t xml:space="preserve"> </w:t>
      </w:r>
      <w:r>
        <w:rPr>
          <w:rFonts w:ascii="Times New Roman;sans-serif" w:hAnsi="Times New Roman;sans-serif"/>
          <w:b w:val="false"/>
          <w:color w:val="000000"/>
          <w:sz w:val="20"/>
        </w:rPr>
        <w:t xml:space="preserve">higher variable expenses driven by increased transaction volumes and investments to drive future growth. The increases were partially offset by lower bad debt of $10 million due to our shift away from micro-SMB (small-medium business) clients in the U.S. and the impact of </w:t>
      </w:r>
      <w:r>
        <w:rPr>
          <w:rFonts w:ascii="Times New Roman;sans-serif" w:hAnsi="Times New Roman;sans-serif"/>
          <w:b w:val="false"/>
          <w:color w:val="000000"/>
          <w:sz w:val="20"/>
          <w:shd w:fill="FFFFFF" w:val="clear"/>
        </w:rPr>
        <w:t>the disposition of our Russia business</w:t>
      </w:r>
      <w:r>
        <w:rPr>
          <w:color w:val="000000"/>
        </w:rPr>
        <w:t xml:space="preserve"> </w:t>
      </w:r>
      <w:r>
        <w:rPr>
          <w:rFonts w:ascii="Times New Roman;sans-serif" w:hAnsi="Times New Roman;sans-serif"/>
          <w:b w:val="false"/>
          <w:color w:val="000000"/>
          <w:sz w:val="20"/>
        </w:rPr>
        <w:t>of approximately $3 million.</w:t>
      </w:r>
    </w:p>
    <w:p>
      <w:pPr>
        <w:pStyle w:val="TextBody"/>
        <w:bidi w:val="0"/>
        <w:spacing w:lineRule="auto" w:line="256" w:before="180" w:after="283"/>
        <w:jc w:val="left"/>
        <w:rPr/>
      </w:pPr>
      <w:r>
        <w:rPr>
          <w:rFonts w:ascii="Times New Roman;sans-serif" w:hAnsi="Times New Roman;sans-serif"/>
          <w:b/>
          <w:i/>
          <w:color w:val="000000"/>
          <w:sz w:val="20"/>
        </w:rPr>
        <w:t>Selling.</w:t>
      </w:r>
      <w:r>
        <w:rPr>
          <w:color w:val="000000"/>
        </w:rPr>
        <w:t xml:space="preserve"> </w:t>
      </w:r>
      <w:r>
        <w:rPr>
          <w:rFonts w:ascii="Times New Roman;sans-serif" w:hAnsi="Times New Roman;sans-serif"/>
          <w:b w:val="false"/>
          <w:color w:val="000000"/>
          <w:sz w:val="20"/>
        </w:rPr>
        <w:t>Selli</w:t>
      </w:r>
      <w:r>
        <w:rPr>
          <w:rFonts w:ascii="Times New Roman;sans-serif" w:hAnsi="Times New Roman;sans-serif"/>
          <w:b w:val="false"/>
          <w:color w:val="000000"/>
          <w:sz w:val="20"/>
          <w:shd w:fill="FFFFFF" w:val="clear"/>
        </w:rPr>
        <w:t>ng expenses were $340.2 million in 2023, an increase</w:t>
      </w:r>
      <w:r>
        <w:rPr>
          <w:color w:val="000000"/>
        </w:rPr>
        <w:t xml:space="preserve"> </w:t>
      </w:r>
      <w:r>
        <w:rPr>
          <w:rFonts w:ascii="Times New Roman;sans-serif" w:hAnsi="Times New Roman;sans-serif"/>
          <w:b w:val="false"/>
          <w:color w:val="000000"/>
          <w:sz w:val="20"/>
        </w:rPr>
        <w:t>of 10.1% compared to the prior year. Increases in selling expen</w:t>
      </w:r>
      <w:r>
        <w:rPr>
          <w:rFonts w:ascii="Times New Roman;sans-serif" w:hAnsi="Times New Roman;sans-serif"/>
          <w:b w:val="false"/>
          <w:color w:val="000000"/>
          <w:sz w:val="20"/>
          <w:shd w:fill="FFFFFF" w:val="clear"/>
        </w:rPr>
        <w:t>ses were primarily associated with approximately $24 million of expenses related to acquisitions completed in 2022 and 2023 and commissions from higher sales volume, partially offset by</w:t>
      </w:r>
      <w:r>
        <w:rPr>
          <w:color w:val="000000"/>
        </w:rPr>
        <w:t xml:space="preserve"> </w:t>
      </w:r>
      <w:r>
        <w:rPr>
          <w:rFonts w:ascii="Times New Roman;sans-serif" w:hAnsi="Times New Roman;sans-serif"/>
          <w:b w:val="false"/>
          <w:color w:val="000000"/>
          <w:sz w:val="20"/>
        </w:rPr>
        <w:t xml:space="preserve">the impact of </w:t>
      </w:r>
      <w:r>
        <w:rPr>
          <w:rFonts w:ascii="Times New Roman;sans-serif" w:hAnsi="Times New Roman;sans-serif"/>
          <w:b w:val="false"/>
          <w:color w:val="000000"/>
          <w:sz w:val="20"/>
          <w:shd w:fill="FFFFFF" w:val="clear"/>
        </w:rPr>
        <w:t>the disposition of our Russia business</w:t>
      </w:r>
      <w:r>
        <w:rPr>
          <w:color w:val="000000"/>
        </w:rPr>
        <w:t xml:space="preserve"> </w:t>
      </w:r>
      <w:r>
        <w:rPr>
          <w:rFonts w:ascii="Times New Roman;sans-serif" w:hAnsi="Times New Roman;sans-serif"/>
          <w:b w:val="false"/>
          <w:color w:val="000000"/>
          <w:sz w:val="20"/>
        </w:rPr>
        <w:t xml:space="preserve">of approximately </w:t>
      </w:r>
      <w:r>
        <w:rPr>
          <w:rFonts w:ascii="Times New Roman;sans-serif" w:hAnsi="Times New Roman;sans-serif"/>
          <w:b w:val="false"/>
          <w:color w:val="000000"/>
          <w:sz w:val="20"/>
          <w:shd w:fill="FFFFFF" w:val="clear"/>
        </w:rPr>
        <w:t xml:space="preserve">$4 million. </w:t>
      </w:r>
    </w:p>
    <w:p>
      <w:pPr>
        <w:pStyle w:val="TextBody"/>
        <w:bidi w:val="0"/>
        <w:spacing w:lineRule="auto" w:line="256" w:before="180" w:after="283"/>
        <w:jc w:val="left"/>
        <w:rPr/>
      </w:pPr>
      <w:r>
        <w:rPr>
          <w:rFonts w:ascii="Times New Roman;sans-serif" w:hAnsi="Times New Roman;sans-serif"/>
          <w:b/>
          <w:i/>
          <w:color w:val="000000"/>
          <w:sz w:val="20"/>
          <w:shd w:fill="FFFFFF" w:val="clear"/>
        </w:rPr>
        <w:t>General and administrative.</w:t>
      </w:r>
      <w:r>
        <w:rPr>
          <w:color w:val="000000"/>
          <w:shd w:fill="FFFFFF" w:val="clear"/>
        </w:rPr>
        <w:t> </w:t>
      </w:r>
      <w:r>
        <w:rPr>
          <w:rFonts w:ascii="Times New Roman;sans-serif" w:hAnsi="Times New Roman;sans-serif"/>
          <w:b w:val="false"/>
          <w:color w:val="000000"/>
          <w:sz w:val="20"/>
          <w:shd w:fill="FFFFFF" w:val="clear"/>
        </w:rPr>
        <w:t xml:space="preserve">General and administrative expenses were $603.4 million in 2023, an increase of 3.3% compared to the prior year. Increases in general and administrative expenses were primarily due to the impact of acquisitions completed in 2022 and 2023 of approximately $32 million and other increases associated with the growth of our business over the prior year. </w:t>
      </w:r>
      <w:r>
        <w:rPr>
          <w:rFonts w:ascii="Times New Roman;sans-serif" w:hAnsi="Times New Roman;sans-serif"/>
          <w:b w:val="false"/>
          <w:color w:val="000000"/>
          <w:sz w:val="20"/>
        </w:rPr>
        <w:t xml:space="preserve">These increases were partially offset by approximately $9 million of lower overhead expense, approximately </w:t>
      </w:r>
      <w:r>
        <w:rPr>
          <w:rFonts w:ascii="Times New Roman;sans-serif" w:hAnsi="Times New Roman;sans-serif"/>
          <w:b w:val="false"/>
          <w:color w:val="000000"/>
          <w:sz w:val="20"/>
          <w:shd w:fill="FFFFFF" w:val="clear"/>
        </w:rPr>
        <w:t>$5 million</w:t>
      </w:r>
      <w:r>
        <w:rPr>
          <w:color w:val="000000"/>
        </w:rPr>
        <w:t xml:space="preserve"> </w:t>
      </w:r>
      <w:r>
        <w:rPr>
          <w:rFonts w:ascii="Times New Roman;sans-serif" w:hAnsi="Times New Roman;sans-serif"/>
          <w:b w:val="false"/>
          <w:color w:val="000000"/>
          <w:sz w:val="20"/>
        </w:rPr>
        <w:t xml:space="preserve">of lower stock based compensation expense and the impact of </w:t>
      </w:r>
      <w:r>
        <w:rPr>
          <w:rFonts w:ascii="Times New Roman;sans-serif" w:hAnsi="Times New Roman;sans-serif"/>
          <w:b w:val="false"/>
          <w:color w:val="000000"/>
          <w:sz w:val="20"/>
          <w:shd w:fill="FFFFFF" w:val="clear"/>
        </w:rPr>
        <w:t>the disposition of our Russia business</w:t>
      </w:r>
      <w:r>
        <w:rPr>
          <w:color w:val="000000"/>
        </w:rPr>
        <w:t xml:space="preserve"> </w:t>
      </w:r>
      <w:r>
        <w:rPr>
          <w:rFonts w:ascii="Times New Roman;sans-serif" w:hAnsi="Times New Roman;sans-serif"/>
          <w:b w:val="false"/>
          <w:color w:val="000000"/>
          <w:sz w:val="20"/>
        </w:rPr>
        <w:t xml:space="preserve">of approximately </w:t>
      </w:r>
      <w:r>
        <w:rPr>
          <w:rFonts w:ascii="Times New Roman;sans-serif" w:hAnsi="Times New Roman;sans-serif"/>
          <w:b w:val="false"/>
          <w:color w:val="000000"/>
          <w:sz w:val="20"/>
          <w:shd w:fill="FFFFFF" w:val="clear"/>
        </w:rPr>
        <w:t>$5 million</w:t>
      </w:r>
      <w:r>
        <w:rPr>
          <w:rFonts w:ascii="Times New Roman;sans-serif" w:hAnsi="Times New Roman;sans-serif"/>
          <w:b w:val="false"/>
          <w:color w:val="000000"/>
          <w:sz w:val="20"/>
        </w:rPr>
        <w:t xml:space="preserve">. </w:t>
      </w:r>
    </w:p>
    <w:p>
      <w:pPr>
        <w:pStyle w:val="TextBody"/>
        <w:bidi w:val="0"/>
        <w:spacing w:lineRule="auto" w:line="256" w:before="180" w:after="283"/>
        <w:jc w:val="left"/>
        <w:rPr/>
      </w:pPr>
      <w:r>
        <w:rPr>
          <w:rFonts w:ascii="Times New Roman;sans-serif" w:hAnsi="Times New Roman;sans-serif"/>
          <w:b/>
          <w:i/>
          <w:color w:val="000000"/>
          <w:sz w:val="20"/>
        </w:rPr>
        <w:t>Depreciation and amortization.</w:t>
      </w:r>
      <w:r>
        <w:rPr>
          <w:color w:val="000000"/>
        </w:rPr>
        <w:t> </w:t>
      </w:r>
      <w:r>
        <w:rPr>
          <w:rFonts w:ascii="Times New Roman;sans-serif" w:hAnsi="Times New Roman;sans-serif"/>
          <w:b w:val="false"/>
          <w:color w:val="000000"/>
          <w:sz w:val="20"/>
        </w:rPr>
        <w:t>Depreciation and amortization expenses were $336.6 million</w:t>
      </w:r>
      <w:r>
        <w:rPr>
          <w:color w:val="000000"/>
          <w:shd w:fill="FFFFFF" w:val="clear"/>
        </w:rPr>
        <w:t xml:space="preserve"> </w:t>
      </w:r>
      <w:r>
        <w:rPr>
          <w:rFonts w:ascii="Times New Roman;sans-serif" w:hAnsi="Times New Roman;sans-serif"/>
          <w:b w:val="false"/>
          <w:color w:val="000000"/>
          <w:sz w:val="20"/>
          <w:shd w:fill="FFFFFF" w:val="clear"/>
        </w:rPr>
        <w:t xml:space="preserve">in 2023, an increase of 4.4%. Increases in depreciation and amortization were primarily due to incremental capital investments over the past three years, as well as approximately </w:t>
      </w:r>
      <w:r>
        <w:rPr>
          <w:rFonts w:ascii="Times New Roman;sans-serif" w:hAnsi="Times New Roman;sans-serif"/>
          <w:b w:val="false"/>
          <w:color w:val="000000"/>
          <w:sz w:val="20"/>
        </w:rPr>
        <w:t xml:space="preserve">$17 million due to </w:t>
      </w:r>
      <w:r>
        <w:rPr>
          <w:rFonts w:ascii="Times New Roman;sans-serif" w:hAnsi="Times New Roman;sans-serif"/>
          <w:b w:val="false"/>
          <w:color w:val="000000"/>
          <w:sz w:val="20"/>
          <w:shd w:fill="FFFFFF" w:val="clear"/>
        </w:rPr>
        <w:t xml:space="preserve">acquisitions completed in 2022 and 2023, partially offset by the impact of the disposition of our Russia business of approximately </w:t>
      </w:r>
      <w:r>
        <w:rPr>
          <w:rFonts w:ascii="Times New Roman;sans-serif" w:hAnsi="Times New Roman;sans-serif"/>
          <w:b w:val="false"/>
          <w:color w:val="000000"/>
          <w:sz w:val="20"/>
        </w:rPr>
        <w:t>$2 million.</w:t>
      </w:r>
    </w:p>
    <w:p>
      <w:pPr>
        <w:pStyle w:val="TextBody"/>
        <w:bidi w:val="0"/>
        <w:spacing w:lineRule="auto" w:line="256" w:before="18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Consolidated operating income</w:t>
      </w:r>
    </w:p>
    <w:p>
      <w:pPr>
        <w:pStyle w:val="TextBody"/>
        <w:bidi w:val="0"/>
        <w:spacing w:lineRule="auto" w:line="256" w:before="180" w:after="283"/>
        <w:jc w:val="left"/>
        <w:rPr/>
      </w:pPr>
      <w:r>
        <w:rPr>
          <w:rFonts w:ascii="Times New Roman;sans-serif" w:hAnsi="Times New Roman;sans-serif"/>
          <w:b w:val="false"/>
          <w:color w:val="000000"/>
          <w:sz w:val="20"/>
          <w:shd w:fill="FFFFFF" w:val="clear"/>
        </w:rPr>
        <w:t xml:space="preserve">Operating income was </w:t>
      </w:r>
      <w:r>
        <w:rPr>
          <w:rFonts w:ascii="Times New Roman;sans-serif" w:hAnsi="Times New Roman;sans-serif"/>
          <w:b w:val="false"/>
          <w:color w:val="000000"/>
          <w:sz w:val="20"/>
        </w:rPr>
        <w:t>$1,656.9 million</w:t>
      </w:r>
      <w:r>
        <w:rPr>
          <w:color w:val="000000"/>
          <w:shd w:fill="FFFFFF" w:val="clear"/>
        </w:rPr>
        <w:t xml:space="preserve"> </w:t>
      </w:r>
      <w:r>
        <w:rPr>
          <w:rFonts w:ascii="Times New Roman;sans-serif" w:hAnsi="Times New Roman;sans-serif"/>
          <w:b w:val="false"/>
          <w:color w:val="000000"/>
          <w:sz w:val="20"/>
          <w:shd w:fill="FFFFFF" w:val="clear"/>
        </w:rPr>
        <w:t xml:space="preserve">in 2023, an increase of 14.5% compared to the prior year. The increase in operating income was primarily due to the reasons discussed above, resulting in operating income margin expansion of approximately 190 basis points over the prior year. The increase was also impacted by the flow through impact on operating income of </w:t>
      </w:r>
      <w:r>
        <w:rPr>
          <w:rFonts w:ascii="Times New Roman;sans-serif" w:hAnsi="Times New Roman;sans-serif"/>
          <w:b w:val="false"/>
          <w:color w:val="000000"/>
          <w:sz w:val="20"/>
        </w:rPr>
        <w:t>favorable changes in foreign exchange rates of approximately $5 million. These favorable effects were offset by the impact on operating income of the disposition of our Russia business in the third quarter of 2023, which resulted in lower operating income of approximately $36 million in 2023 compared to the prior year.</w:t>
      </w:r>
    </w:p>
    <w:p>
      <w:pPr>
        <w:pStyle w:val="TextBody"/>
        <w:bidi w:val="0"/>
        <w:spacing w:lineRule="auto" w:line="256" w:before="180" w:after="283"/>
        <w:jc w:val="left"/>
        <w:rPr/>
      </w:pPr>
      <w:r>
        <w:rPr>
          <w:rFonts w:ascii="Times New Roman;sans-serif" w:hAnsi="Times New Roman;sans-serif"/>
          <w:b/>
          <w:i/>
          <w:color w:val="000000"/>
          <w:sz w:val="20"/>
        </w:rPr>
        <w:t>Other (income) expense, net.</w:t>
      </w:r>
      <w:r>
        <w:rPr>
          <w:color w:val="000000"/>
        </w:rPr>
        <w:t xml:space="preserve"> </w:t>
      </w:r>
      <w:r>
        <w:rPr>
          <w:rFonts w:ascii="Times New Roman;sans-serif" w:hAnsi="Times New Roman;sans-serif"/>
          <w:b w:val="false"/>
          <w:color w:val="000000"/>
          <w:sz w:val="20"/>
        </w:rPr>
        <w:t xml:space="preserve">Other income, net of $16.6 million in </w:t>
      </w:r>
      <w:r>
        <w:rPr>
          <w:rFonts w:ascii="Times New Roman;sans-serif" w:hAnsi="Times New Roman;sans-serif"/>
          <w:b w:val="false"/>
          <w:color w:val="000000"/>
          <w:sz w:val="20"/>
          <w:shd w:fill="FFFFFF" w:val="clear"/>
        </w:rPr>
        <w:t xml:space="preserve">2023 was primarily the net gain of approximately </w:t>
      </w:r>
      <w:r>
        <w:rPr>
          <w:rFonts w:ascii="Times New Roman;sans-serif" w:hAnsi="Times New Roman;sans-serif"/>
          <w:b w:val="false"/>
          <w:color w:val="000000"/>
          <w:sz w:val="20"/>
        </w:rPr>
        <w:t>$13.7 million</w:t>
      </w:r>
      <w:r>
        <w:rPr>
          <w:color w:val="000000"/>
          <w:shd w:fill="FFFFFF" w:val="clear"/>
        </w:rPr>
        <w:t xml:space="preserve"> </w:t>
      </w:r>
      <w:r>
        <w:rPr>
          <w:rFonts w:ascii="Times New Roman;sans-serif" w:hAnsi="Times New Roman;sans-serif"/>
          <w:b w:val="false"/>
          <w:color w:val="000000"/>
          <w:sz w:val="20"/>
          <w:shd w:fill="FFFFFF" w:val="clear"/>
        </w:rPr>
        <w:t xml:space="preserve">resulting from the disposal of our Russia business during the third quarter of 2023. </w:t>
      </w:r>
    </w:p>
    <w:p>
      <w:pPr>
        <w:pStyle w:val="TextBody"/>
        <w:bidi w:val="0"/>
        <w:spacing w:lineRule="auto" w:line="256" w:before="180" w:after="283"/>
        <w:jc w:val="left"/>
        <w:rPr/>
      </w:pPr>
      <w:r>
        <w:rPr>
          <w:rFonts w:ascii="Times New Roman;sans-serif" w:hAnsi="Times New Roman;sans-serif"/>
          <w:b/>
          <w:i/>
          <w:color w:val="000000"/>
          <w:sz w:val="20"/>
          <w:shd w:fill="FFFFFF" w:val="clear"/>
        </w:rPr>
        <w:t xml:space="preserve">Interest expense, net. </w:t>
      </w:r>
      <w:r>
        <w:rPr>
          <w:rFonts w:ascii="Times New Roman;sans-serif" w:hAnsi="Times New Roman;sans-serif"/>
          <w:b w:val="false"/>
          <w:color w:val="000000"/>
          <w:sz w:val="20"/>
          <w:shd w:fill="FFFFFF" w:val="clear"/>
        </w:rPr>
        <w:t xml:space="preserve">Interest expense was $348.6 million in 2023, an increase of 111.7% compared to the prior year. The </w:t>
      </w:r>
      <w:r>
        <w:rPr>
          <w:rFonts w:ascii="Times New Roman;sans-serif" w:hAnsi="Times New Roman;sans-serif"/>
          <w:b w:val="false"/>
          <w:color w:val="000000"/>
          <w:sz w:val="20"/>
        </w:rPr>
        <w:t>increase in interest expense is primarily due to rising interest rates on our borrowings and net cash used in financing activities, partially offset by the benefit of higher cash balances in certain foreign jurisdictions resulting in an increase in interest income from higher interest rates. The following table sets forth the weighted average interest rates paid on borrowings under our Credit Facility, excluding the related unused facility fees and swaps.</w:t>
      </w:r>
    </w:p>
    <w:p>
      <w:pPr>
        <w:pStyle w:val="TextBody"/>
        <w:bidi w:val="0"/>
        <w:spacing w:lineRule="auto" w:line="256" w:before="180" w:after="283"/>
        <w:jc w:val="center"/>
        <w:rPr>
          <w:color w:val="000000"/>
        </w:rPr>
      </w:pPr>
      <w:r>
        <w:rPr>
          <w:color w:val="000000"/>
        </w:rPr>
        <w:t> </w:t>
      </w:r>
    </w:p>
    <w:tbl>
      <w:tblPr>
        <w:tblW w:w="5428" w:type="dxa"/>
        <w:jc w:val="center"/>
        <w:tblInd w:w="0" w:type="dxa"/>
        <w:tblLayout w:type="fixed"/>
        <w:tblCellMar>
          <w:top w:w="28" w:type="dxa"/>
          <w:left w:w="28" w:type="dxa"/>
          <w:bottom w:w="28" w:type="dxa"/>
          <w:right w:w="28" w:type="dxa"/>
        </w:tblCellMar>
      </w:tblPr>
      <w:tblGrid>
        <w:gridCol w:w="1145"/>
        <w:gridCol w:w="1007"/>
        <w:gridCol w:w="1013"/>
        <w:gridCol w:w="109"/>
        <w:gridCol w:w="109"/>
        <w:gridCol w:w="109"/>
        <w:gridCol w:w="255"/>
        <w:gridCol w:w="256"/>
        <w:gridCol w:w="271"/>
        <w:gridCol w:w="109"/>
        <w:gridCol w:w="109"/>
        <w:gridCol w:w="109"/>
        <w:gridCol w:w="255"/>
        <w:gridCol w:w="256"/>
        <w:gridCol w:w="316"/>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 A &amp; B (USD)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 B (GBP)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 portfolio of interest rate swaps which are designated as cash flow hedges and one cross-currency interest rate swap, which is designated as a net investment hedge. During 2023, as a result of these swap contracts and net investment hedges, we recorded a benefit to interest expense, net of approximately $48 million.</w:t>
      </w:r>
    </w:p>
    <w:p>
      <w:pPr>
        <w:pStyle w:val="TextBody"/>
        <w:bidi w:val="0"/>
        <w:spacing w:lineRule="auto" w:line="256" w:before="180" w:after="283"/>
        <w:jc w:val="left"/>
        <w:rPr/>
      </w:pPr>
      <w:r>
        <w:rPr>
          <w:rFonts w:ascii="Times New Roman;sans-serif" w:hAnsi="Times New Roman;sans-serif"/>
          <w:b/>
          <w:i/>
          <w:color w:val="000000"/>
          <w:sz w:val="20"/>
          <w:shd w:fill="FFFFFF" w:val="clear"/>
        </w:rPr>
        <w:t xml:space="preserve">Provision for income taxes. </w:t>
      </w:r>
      <w:r>
        <w:rPr>
          <w:rFonts w:ascii="Times New Roman;sans-serif" w:hAnsi="Times New Roman;sans-serif"/>
          <w:b w:val="false"/>
          <w:color w:val="000000"/>
          <w:sz w:val="20"/>
          <w:shd w:fill="FFFFFF" w:val="clear"/>
        </w:rPr>
        <w:t xml:space="preserve">The provision for income taxes and effective tax rate were $343.1 million and 25.9% in 2023, compared to $321.3 million and 25.2% in the prior year. The increase in the provision for income taxes was driven primarily by the increase in income before income taxes, higher foreign withholding taxes and less excess tax benefit on stock option exercises. The increases were partially offset by additional foreign tax credits and tax planning impacts in the fourth quarter of 2023 that resulted in an $8.2 million benefit that lowered the 2023 tax rate by 0.6%.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pPr>
      <w:r>
        <w:rPr>
          <w:rFonts w:ascii="Times New Roman;sans-serif" w:hAnsi="Times New Roman;sans-serif"/>
          <w:b/>
          <w:i/>
          <w:color w:val="000000"/>
          <w:sz w:val="20"/>
        </w:rPr>
        <w:t xml:space="preserve">Net income. </w:t>
      </w:r>
      <w:r>
        <w:rPr>
          <w:rFonts w:ascii="Times New Roman;sans-serif" w:hAnsi="Times New Roman;sans-serif"/>
          <w:b w:val="false"/>
          <w:color w:val="000000"/>
          <w:sz w:val="20"/>
        </w:rPr>
        <w:t>For the reasons discussed above, our net income was $981.9 million in 2023, an increase of 2.9% compared to the prior year.</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bidi w:val="0"/>
        <w:spacing w:lineRule="auto" w:line="256" w:before="120" w:after="283"/>
        <w:jc w:val="left"/>
        <w:rPr>
          <w:rFonts w:ascii="Times New Roman;sans-serif" w:hAnsi="Times New Roman;sans-serif"/>
          <w:b/>
          <w:i/>
          <w:color w:val="000000"/>
          <w:sz w:val="20"/>
        </w:rPr>
      </w:pPr>
      <w:r>
        <w:rPr>
          <w:rFonts w:ascii="Times New Roman;sans-serif" w:hAnsi="Times New Roman;sans-serif"/>
          <w:b/>
          <w:i/>
          <w:color w:val="000000"/>
          <w:sz w:val="20"/>
        </w:rPr>
        <w:t>Vehicle Payments</w:t>
      </w:r>
    </w:p>
    <w:p>
      <w:pPr>
        <w:pStyle w:val="TextBody"/>
        <w:bidi w:val="0"/>
        <w:spacing w:lineRule="auto" w:line="256" w:before="120" w:after="283"/>
        <w:jc w:val="left"/>
        <w:rPr/>
      </w:pPr>
      <w:r>
        <w:rPr>
          <w:rFonts w:ascii="Times New Roman;sans-serif" w:hAnsi="Times New Roman;sans-serif"/>
          <w:b w:val="false"/>
          <w:color w:val="000000"/>
          <w:sz w:val="20"/>
        </w:rPr>
        <w:t xml:space="preserve">Vehicle Payments revenues were $2.0 billion in 2023, an increase of 2.8% compared to the prior year. Vehicle Payments revenues increased primarily due to organic growth of 6% driven by new sales growth in our international markets, higher revenue per transaction, as well as the impact of acquisitions, which contributed approximately $14 million in revenue. The increase in revenues was partially offset by the disposition of our Russia business in August 2023, which lowered revenue by approximately $50 million and softness in our small fleet customers based in the U.S. </w:t>
      </w:r>
      <w:r>
        <w:rPr>
          <w:rFonts w:ascii="Times New Roman;sans-serif" w:hAnsi="Times New Roman;sans-serif"/>
          <w:b w:val="false"/>
          <w:color w:val="000000"/>
          <w:sz w:val="20"/>
          <w:shd w:fill="FFFFFF" w:val="clear"/>
        </w:rPr>
        <w:t xml:space="preserve">Our shift away from micro-SMB clients in the U.S. affected our sales and overall results, including lower late fees revenues, which were down 19% from the prior year. </w:t>
      </w:r>
      <w:r>
        <w:rPr>
          <w:rFonts w:ascii="Times New Roman;sans-serif" w:hAnsi="Times New Roman;sans-serif"/>
          <w:b w:val="false"/>
          <w:color w:val="000000"/>
          <w:sz w:val="20"/>
        </w:rPr>
        <w:t>The macroeconomic environment</w:t>
      </w:r>
      <w:r>
        <w:rPr>
          <w:color w:val="000000"/>
          <w:shd w:fill="FFFFFF" w:val="clear"/>
        </w:rPr>
        <w:t xml:space="preserve"> </w:t>
      </w:r>
      <w:r>
        <w:rPr>
          <w:rFonts w:ascii="Times New Roman;sans-serif" w:hAnsi="Times New Roman;sans-serif"/>
          <w:b w:val="false"/>
          <w:color w:val="000000"/>
          <w:sz w:val="20"/>
          <w:shd w:fill="FFFFFF" w:val="clear"/>
        </w:rPr>
        <w:t xml:space="preserve">also negatively impacted revenues by approximately </w:t>
      </w:r>
      <w:r>
        <w:rPr>
          <w:rFonts w:ascii="Times New Roman;sans-serif" w:hAnsi="Times New Roman;sans-serif"/>
          <w:b w:val="false"/>
          <w:color w:val="000000"/>
          <w:sz w:val="20"/>
        </w:rPr>
        <w:t>$32 million, d</w:t>
      </w:r>
      <w:r>
        <w:rPr>
          <w:rFonts w:ascii="Times New Roman;sans-serif" w:hAnsi="Times New Roman;sans-serif"/>
          <w:b w:val="false"/>
          <w:color w:val="000000"/>
          <w:sz w:val="20"/>
          <w:shd w:fill="FFFFFF" w:val="clear"/>
        </w:rPr>
        <w:t xml:space="preserve">riven primarily by the impact of lower fuel prices of $39 million and unfavorable fuel price spreads of $15 million, partially offset by favorable changes in foreign exchange rates on revenue of $21 million. </w:t>
      </w:r>
    </w:p>
    <w:p>
      <w:pPr>
        <w:pStyle w:val="TextBody"/>
        <w:bidi w:val="0"/>
        <w:spacing w:lineRule="auto" w:line="256" w:before="120" w:after="283"/>
        <w:jc w:val="left"/>
        <w:rPr/>
      </w:pPr>
      <w:r>
        <w:rPr>
          <w:rFonts w:ascii="Times New Roman;sans-serif" w:hAnsi="Times New Roman;sans-serif"/>
          <w:b w:val="false"/>
          <w:color w:val="000000"/>
          <w:sz w:val="20"/>
        </w:rPr>
        <w:t xml:space="preserve">Vehicle Payments operating income was $943.4 million in 2023, an increase of 6.7% compared to the prior year </w:t>
      </w:r>
      <w:r>
        <w:rPr>
          <w:rFonts w:ascii="Times New Roman;sans-serif" w:hAnsi="Times New Roman;sans-serif"/>
          <w:b w:val="false"/>
          <w:color w:val="000000"/>
          <w:sz w:val="20"/>
          <w:shd w:fill="FFFFFF" w:val="clear"/>
        </w:rPr>
        <w:t xml:space="preserve">due to the reasons </w:t>
      </w:r>
      <w:r>
        <w:rPr>
          <w:rFonts w:ascii="Times New Roman;sans-serif" w:hAnsi="Times New Roman;sans-serif"/>
          <w:b w:val="false"/>
          <w:color w:val="000000"/>
          <w:sz w:val="20"/>
        </w:rPr>
        <w:t>discussed</w:t>
      </w:r>
      <w:r>
        <w:rPr>
          <w:color w:val="000000"/>
          <w:shd w:fill="FFFFFF" w:val="clear"/>
        </w:rPr>
        <w:t xml:space="preserve"> </w:t>
      </w:r>
      <w:r>
        <w:rPr>
          <w:rFonts w:ascii="Times New Roman;sans-serif" w:hAnsi="Times New Roman;sans-serif"/>
          <w:b w:val="false"/>
          <w:color w:val="000000"/>
          <w:sz w:val="20"/>
          <w:shd w:fill="FFFFFF" w:val="clear"/>
        </w:rPr>
        <w:t>above and the flow through impact of the disposition of our Russia business, which resulted in lower operating income of approximately</w:t>
      </w:r>
      <w:r>
        <w:rPr>
          <w:color w:val="000000"/>
        </w:rPr>
        <w:t xml:space="preserve"> </w:t>
      </w:r>
      <w:r>
        <w:rPr>
          <w:rFonts w:ascii="Times New Roman;sans-serif" w:hAnsi="Times New Roman;sans-serif"/>
          <w:b w:val="false"/>
          <w:color w:val="000000"/>
          <w:sz w:val="20"/>
        </w:rPr>
        <w:t xml:space="preserve">$36 million. </w:t>
      </w:r>
      <w:r>
        <w:rPr>
          <w:rFonts w:ascii="Times New Roman;sans-serif" w:hAnsi="Times New Roman;sans-serif"/>
          <w:b w:val="false"/>
          <w:color w:val="000000"/>
          <w:sz w:val="20"/>
          <w:shd w:fill="FFFFFF" w:val="clear"/>
        </w:rPr>
        <w:t>These unfavorable impacts were partially offset by lower bad debt of approximately $9 million, as we shift away from micro-SMB clients and to higher credit quality customers in the U.S.</w:t>
      </w:r>
      <w:r>
        <w:rPr>
          <w:color w:val="000000"/>
          <w:shd w:fill="FFFFFF" w:val="clear"/>
        </w:rPr>
        <w:t xml:space="preserve"> </w:t>
      </w:r>
    </w:p>
    <w:p>
      <w:pPr>
        <w:pStyle w:val="TextBody"/>
        <w:bidi w:val="0"/>
        <w:spacing w:lineRule="auto" w:line="256" w:before="12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Corporate Payments</w:t>
      </w:r>
    </w:p>
    <w:p>
      <w:pPr>
        <w:pStyle w:val="TextBody"/>
        <w:bidi w:val="0"/>
        <w:spacing w:lineRule="auto" w:line="256" w:before="120" w:after="283"/>
        <w:jc w:val="left"/>
        <w:rPr/>
      </w:pPr>
      <w:r>
        <w:rPr>
          <w:rFonts w:ascii="Times New Roman;sans-serif" w:hAnsi="Times New Roman;sans-serif"/>
          <w:b w:val="false"/>
          <w:color w:val="000000"/>
          <w:sz w:val="20"/>
        </w:rPr>
        <w:t xml:space="preserve">Corporate Payments revenues were $981.1 million in 2023, an increase of 27.5% compared to the prior year. </w:t>
      </w:r>
      <w:r>
        <w:rPr>
          <w:rFonts w:ascii="Times New Roman;sans-serif" w:hAnsi="Times New Roman;sans-serif"/>
          <w:b w:val="false"/>
          <w:color w:val="000000"/>
          <w:sz w:val="20"/>
          <w:shd w:fill="FFFFFF" w:val="clear"/>
        </w:rPr>
        <w:t>Corporate Payments revenues increased primarily due to organic revenue growth of 19%, driven by 15% organic growth in spend volume, strong new sales in our AP automation and cross-border solutions, as well as the impact of acquisitions, which contributed approximatel</w:t>
      </w:r>
      <w:r>
        <w:rPr>
          <w:rFonts w:ascii="Times New Roman;sans-serif" w:hAnsi="Times New Roman;sans-serif"/>
          <w:b w:val="false"/>
          <w:color w:val="000000"/>
          <w:sz w:val="20"/>
        </w:rPr>
        <w:t>y $60 million</w:t>
      </w:r>
      <w:r>
        <w:rPr>
          <w:color w:val="000000"/>
          <w:shd w:fill="FFFFFF" w:val="clear"/>
        </w:rPr>
        <w:t xml:space="preserve"> </w:t>
      </w:r>
      <w:r>
        <w:rPr>
          <w:rFonts w:ascii="Times New Roman;sans-serif" w:hAnsi="Times New Roman;sans-serif"/>
          <w:b w:val="false"/>
          <w:color w:val="000000"/>
          <w:sz w:val="20"/>
          <w:shd w:fill="FFFFFF" w:val="clear"/>
        </w:rPr>
        <w:t>in revenue.</w:t>
      </w:r>
    </w:p>
    <w:p>
      <w:pPr>
        <w:pStyle w:val="TextBody"/>
        <w:bidi w:val="0"/>
        <w:spacing w:lineRule="auto" w:line="256" w:before="120" w:after="283"/>
        <w:jc w:val="left"/>
        <w:rPr/>
      </w:pPr>
      <w:r>
        <w:rPr>
          <w:rFonts w:ascii="Times New Roman;sans-serif" w:hAnsi="Times New Roman;sans-serif"/>
          <w:b w:val="false"/>
          <w:color w:val="000000"/>
          <w:sz w:val="20"/>
        </w:rPr>
        <w:t xml:space="preserve">Corporate Payments operating income was $382.1 million in 2023, an increase of 39.7% compared to the prior year. Corporate Payments operating income and margin increased primarily </w:t>
      </w:r>
      <w:r>
        <w:rPr>
          <w:rFonts w:ascii="Times New Roman;sans-serif" w:hAnsi="Times New Roman;sans-serif"/>
          <w:b w:val="false"/>
          <w:color w:val="000000"/>
          <w:sz w:val="20"/>
          <w:shd w:fill="FFFFFF" w:val="clear"/>
        </w:rPr>
        <w:t>due to revenue growth and operating leverage and integration synergies, as revenues grew faster than expenses, partially offset by higher selling expenses driven by growth of the business.</w:t>
      </w:r>
    </w:p>
    <w:p>
      <w:pPr>
        <w:pStyle w:val="TextBody"/>
        <w:bidi w:val="0"/>
        <w:spacing w:lineRule="auto" w:line="256" w:before="120" w:after="283"/>
        <w:jc w:val="left"/>
        <w:rPr>
          <w:rFonts w:ascii="Times New Roman;sans-serif" w:hAnsi="Times New Roman;sans-serif"/>
          <w:b/>
          <w:i/>
          <w:color w:val="000000"/>
          <w:sz w:val="20"/>
        </w:rPr>
      </w:pPr>
      <w:r>
        <w:rPr>
          <w:rFonts w:ascii="Times New Roman;sans-serif" w:hAnsi="Times New Roman;sans-serif"/>
          <w:b/>
          <w:i/>
          <w:color w:val="000000"/>
          <w:sz w:val="20"/>
        </w:rPr>
        <w:t>Lodging Payments</w:t>
      </w:r>
    </w:p>
    <w:p>
      <w:pPr>
        <w:pStyle w:val="TextBody"/>
        <w:bidi w:val="0"/>
        <w:spacing w:lineRule="auto" w:line="256" w:before="120" w:after="283"/>
        <w:jc w:val="left"/>
        <w:rPr/>
      </w:pPr>
      <w:r>
        <w:rPr>
          <w:rFonts w:ascii="Times New Roman;sans-serif" w:hAnsi="Times New Roman;sans-serif"/>
          <w:b w:val="false"/>
          <w:color w:val="000000"/>
          <w:sz w:val="20"/>
        </w:rPr>
        <w:t xml:space="preserve">Lodging Payments revenues were $520.2 million in 2023, an increase of 14.0% compared to the prior year. </w:t>
      </w:r>
      <w:r>
        <w:rPr>
          <w:rFonts w:ascii="Times New Roman;sans-serif" w:hAnsi="Times New Roman;sans-serif"/>
          <w:b w:val="false"/>
          <w:color w:val="000000"/>
          <w:sz w:val="20"/>
          <w:shd w:fill="FFFFFF" w:val="clear"/>
        </w:rPr>
        <w:t>Lodging Payments revenues increased primarily due to organic revenue gro</w:t>
      </w:r>
      <w:r>
        <w:rPr>
          <w:rFonts w:ascii="Times New Roman;sans-serif" w:hAnsi="Times New Roman;sans-serif"/>
          <w:b w:val="false"/>
          <w:color w:val="000000"/>
          <w:sz w:val="20"/>
        </w:rPr>
        <w:t>wth of 12% driven by our insurance and airline verticals, as well as the impact of acquisitions, which contributed approximately $9 million in</w:t>
      </w:r>
      <w:r>
        <w:rPr>
          <w:color w:val="000000"/>
          <w:shd w:fill="FFFFFF" w:val="clear"/>
        </w:rPr>
        <w:t xml:space="preserve"> </w:t>
      </w:r>
      <w:r>
        <w:rPr>
          <w:rFonts w:ascii="Times New Roman;sans-serif" w:hAnsi="Times New Roman;sans-serif"/>
          <w:b w:val="false"/>
          <w:color w:val="000000"/>
          <w:sz w:val="20"/>
          <w:shd w:fill="FFFFFF" w:val="clear"/>
        </w:rPr>
        <w:t>revenue. Lodging Payments revenues also grew due to sales success across industry verticals, in addition to higher revenue per room night driven primarily from our distressed passenger product and higher hotel commission revenues. Offsetting this growth was softness in our workforce vertical as the weaker macroeconomic environment is impacting this business, resulting in lower room nights. This growth was also impacted by lower same store sales in airlines and insurance in the second half of 2023 over 2022 due to fewer weather events and airline cancellations.</w:t>
      </w:r>
    </w:p>
    <w:p>
      <w:pPr>
        <w:pStyle w:val="TextBody"/>
        <w:bidi w:val="0"/>
        <w:spacing w:lineRule="auto" w:line="256" w:before="120" w:after="283"/>
        <w:jc w:val="left"/>
        <w:rPr/>
      </w:pPr>
      <w:r>
        <w:rPr>
          <w:rFonts w:ascii="Times New Roman;sans-serif" w:hAnsi="Times New Roman;sans-serif"/>
          <w:b w:val="false"/>
          <w:color w:val="000000"/>
          <w:sz w:val="20"/>
        </w:rPr>
        <w:t xml:space="preserve">Lodging Payments operating income was $254.3 million in 2023, an increase of 16.3% compared to the prior year. </w:t>
      </w:r>
      <w:r>
        <w:rPr>
          <w:rFonts w:ascii="Times New Roman;sans-serif" w:hAnsi="Times New Roman;sans-serif"/>
          <w:b w:val="false"/>
          <w:color w:val="000000"/>
          <w:sz w:val="20"/>
          <w:shd w:fill="FFFFFF" w:val="clear"/>
        </w:rPr>
        <w:t>Lodging Payments operating income and margin increased primarily due to revenue growth and our operating leverage, as revenues grew faster than expenses.</w:t>
      </w:r>
      <w:r>
        <w:rPr>
          <w:color w:val="000000"/>
        </w:rPr>
        <w:t xml:space="preserve"> </w:t>
      </w:r>
    </w:p>
    <w:p>
      <w:pPr>
        <w:pStyle w:val="TextBody"/>
        <w:bidi w:val="0"/>
        <w:spacing w:lineRule="auto" w:line="256"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w:t>
      </w:r>
    </w:p>
    <w:p>
      <w:pPr>
        <w:pStyle w:val="TextBody"/>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 were relatively flat at $250.9 million in 2023 compared to the prior year. Other operating income was $77.1 million in 2023, an increase of 10.3% compared to the prior year, with the increase primarily due to our operating leverage and disciplined expense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Recast Segment Results - Year Ended December 31, 2021</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above, in the fourth quarter of 2023, in order to align with recent changes in our strategy and resulting organizational structure and management reporting, we updated our segment structure into three reportable segments: Vehicle Payments, Corporate Payments, Lodging Payments and an Other category. The new Vehicle Payments segment includes the prior Fleet and Brazil segments and results from our Corpay One business, which was previously reported in the Corporate Payments segment. The segment change did not impact prior period segment results presented for Lodging Payments or the Other category.</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recast segment results for the year ended December 31, 2021 (in millions, except percentages).</w:t>
      </w:r>
    </w:p>
    <w:tbl>
      <w:tblPr>
        <w:tblW w:w="6934" w:type="dxa"/>
        <w:jc w:val="center"/>
        <w:tblInd w:w="0" w:type="dxa"/>
        <w:tblLayout w:type="fixed"/>
        <w:tblCellMar>
          <w:top w:w="28" w:type="dxa"/>
          <w:left w:w="28" w:type="dxa"/>
          <w:bottom w:w="28" w:type="dxa"/>
          <w:right w:w="28" w:type="dxa"/>
        </w:tblCellMar>
      </w:tblPr>
      <w:tblGrid>
        <w:gridCol w:w="972"/>
        <w:gridCol w:w="854"/>
        <w:gridCol w:w="859"/>
        <w:gridCol w:w="109"/>
        <w:gridCol w:w="109"/>
        <w:gridCol w:w="109"/>
        <w:gridCol w:w="300"/>
        <w:gridCol w:w="1090"/>
        <w:gridCol w:w="155"/>
        <w:gridCol w:w="109"/>
        <w:gridCol w:w="109"/>
        <w:gridCol w:w="109"/>
        <w:gridCol w:w="307"/>
        <w:gridCol w:w="309"/>
        <w:gridCol w:w="517"/>
        <w:gridCol w:w="109"/>
        <w:gridCol w:w="109"/>
        <w:gridCol w:w="109"/>
        <w:gridCol w:w="109"/>
        <w:gridCol w:w="109"/>
        <w:gridCol w:w="109"/>
        <w:gridCol w:w="109"/>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Year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of Total</w:t>
              <w:b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by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liquidity requirements are to service and repay our indebtedness, make acquisitions of businesses and commercial account portfolios, repurchase shares of our common stock and meet working capital, tax and capital expenditure needs.</w:t>
      </w:r>
    </w:p>
    <w:p>
      <w:pPr>
        <w:pStyle w:val="TextBody"/>
        <w:bidi w:val="0"/>
        <w:spacing w:lineRule="auto" w:line="256" w:before="180" w:after="283"/>
        <w:jc w:val="left"/>
        <w:rPr/>
      </w:pPr>
      <w:r>
        <w:rPr>
          <w:rFonts w:ascii="Times New Roman;sans-serif" w:hAnsi="Times New Roman;sans-serif"/>
          <w:b/>
          <w:i/>
          <w:color w:val="000000"/>
          <w:sz w:val="20"/>
        </w:rPr>
        <w:t xml:space="preserve">Sources of liquidity. </w:t>
      </w:r>
      <w:r>
        <w:rPr>
          <w:rFonts w:ascii="Times New Roman;sans-serif" w:hAnsi="Times New Roman;sans-serif"/>
          <w:b w:val="false"/>
          <w:color w:val="000000"/>
          <w:sz w:val="20"/>
        </w:rPr>
        <w:t xml:space="preserve">We believe that our current level of cash and borrowing capacity under our Credit Facility and Securitization Facility (each defined below), together with expected future cash flows from operations, will be sufficient to meet the needs of our existing operations and planned requirements for the next 12 months and the foreseeable future, based on our current assumptions. At December 31, 2023, we had approximately $2.2 billion in total liquidity, consisting of approximately $0.8 billion available under our Credit Facility (defined below) and unrestricted cash of $1.4 billion, a portion of which is required for working capital. Restricted cash primarily represents customer deposits repayable on demand held in certain geographies with legal restrictions, collateral received from customers for cross-currency transactions in our cross-border payments business, which are restricted from use other than to repay customer deposits and secure and settle cross-currency transactions, and collateral posted with banks for hedging positions in our cross-border payments business.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utilize the Securitization Facility to finance a portion of our domestic receivables, to lower our cost of borrowing and more efficiently use capital. Accounts receivable collateralized within our Securitization Facility relate to trade receivables resulting primarily from charge card activity in Vehicle Payments and receivables related to our Lodging Payments business in the U.S. We also consider the available and undrawn amounts under our Securitization Facility and Credit Facility as funds available for working capital purposes and acquisitions. At December 31, 2023, we had no additional liquidity under our Securitization Facility. </w:t>
      </w:r>
    </w:p>
    <w:p>
      <w:pPr>
        <w:pStyle w:val="TextBody"/>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determined that outside basis differences associated with our investments in foreign subsidiaries would not result in a material deferred tax liability, and, consistent with our assertion that these amounts continue to be indefinitely invested, have not recorded incremental income taxes for the additional outside basis differences.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years ended December 31, 2023 and 2022.</w:t>
      </w:r>
    </w:p>
    <w:p>
      <w:pPr>
        <w:pStyle w:val="TextBody"/>
        <w:bidi w:val="0"/>
        <w:spacing w:lineRule="auto" w:line="256" w:before="180" w:after="283"/>
        <w:jc w:val="center"/>
        <w:rPr>
          <w:color w:val="000000"/>
        </w:rPr>
      </w:pPr>
      <w:r>
        <w:rPr>
          <w:color w:val="000000"/>
        </w:rPr>
        <w:t> </w:t>
      </w:r>
    </w:p>
    <w:tbl>
      <w:tblPr>
        <w:tblW w:w="6370" w:type="dxa"/>
        <w:jc w:val="center"/>
        <w:tblInd w:w="0" w:type="dxa"/>
        <w:tblLayout w:type="fixed"/>
        <w:tblCellMar>
          <w:top w:w="28" w:type="dxa"/>
          <w:left w:w="28" w:type="dxa"/>
          <w:bottom w:w="28" w:type="dxa"/>
          <w:right w:w="28" w:type="dxa"/>
        </w:tblCellMar>
      </w:tblPr>
      <w:tblGrid>
        <w:gridCol w:w="1256"/>
        <w:gridCol w:w="1103"/>
        <w:gridCol w:w="1106"/>
        <w:gridCol w:w="109"/>
        <w:gridCol w:w="109"/>
        <w:gridCol w:w="109"/>
        <w:gridCol w:w="211"/>
        <w:gridCol w:w="766"/>
        <w:gridCol w:w="109"/>
        <w:gridCol w:w="109"/>
        <w:gridCol w:w="109"/>
        <w:gridCol w:w="109"/>
        <w:gridCol w:w="211"/>
        <w:gridCol w:w="691"/>
        <w:gridCol w:w="109"/>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54" w:type="dxa"/>
            <w:tcBorders/>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pPr>
      <w:r>
        <w:rPr>
          <w:rFonts w:ascii="Times New Roman;sans-serif" w:hAnsi="Times New Roman;sans-serif"/>
          <w:b/>
          <w:i/>
          <w:color w:val="000000"/>
          <w:sz w:val="20"/>
          <w:shd w:fill="FFFFFF" w:val="clear"/>
        </w:rPr>
        <w:t>Operating activities.</w:t>
      </w:r>
      <w:r>
        <w:rPr>
          <w:color w:val="000000"/>
          <w:shd w:fill="FFFFFF" w:val="clear"/>
        </w:rPr>
        <w:t> </w:t>
      </w:r>
      <w:r>
        <w:rPr>
          <w:rFonts w:ascii="Times New Roman;sans-serif" w:hAnsi="Times New Roman;sans-serif"/>
          <w:b w:val="false"/>
          <w:color w:val="000000"/>
          <w:sz w:val="20"/>
          <w:shd w:fill="FFFFFF" w:val="clear"/>
        </w:rPr>
        <w:t>Net cash provided by operating activities was $2,101.1 million in 2023, an increase from $754.8 million in 2022. The increase in operating cash flows was primarily due to increases in restricted cash and favorable movements in working capital in 2023 versus 2022.</w:t>
      </w:r>
    </w:p>
    <w:p>
      <w:pPr>
        <w:pStyle w:val="TextBody"/>
        <w:bidi w:val="0"/>
        <w:spacing w:lineRule="auto" w:line="256" w:before="180" w:after="283"/>
        <w:jc w:val="left"/>
        <w:rPr/>
      </w:pPr>
      <w:r>
        <w:rPr>
          <w:rFonts w:ascii="Times New Roman;sans-serif" w:hAnsi="Times New Roman;sans-serif"/>
          <w:b/>
          <w:i/>
          <w:color w:val="000000"/>
          <w:sz w:val="20"/>
          <w:shd w:fill="FFFFFF" w:val="clear"/>
        </w:rPr>
        <w:t>Investing activities.</w:t>
      </w:r>
      <w:r>
        <w:rPr>
          <w:color w:val="000000"/>
          <w:shd w:fill="FFFFFF" w:val="clear"/>
        </w:rPr>
        <w:t> </w:t>
      </w:r>
      <w:r>
        <w:rPr>
          <w:rFonts w:ascii="Times New Roman;sans-serif" w:hAnsi="Times New Roman;sans-serif"/>
          <w:b w:val="false"/>
          <w:color w:val="000000"/>
          <w:sz w:val="20"/>
          <w:shd w:fill="FFFFFF" w:val="clear"/>
        </w:rPr>
        <w:t>Net cash used in investing activities was $380.7 million</w:t>
      </w:r>
      <w:r>
        <w:rPr>
          <w:color w:val="000000"/>
        </w:rPr>
        <w:t xml:space="preserve"> </w:t>
      </w:r>
      <w:r>
        <w:rPr>
          <w:rFonts w:ascii="Times New Roman;sans-serif" w:hAnsi="Times New Roman;sans-serif"/>
          <w:b w:val="false"/>
          <w:color w:val="000000"/>
          <w:sz w:val="20"/>
        </w:rPr>
        <w:t xml:space="preserve">in 2023, an increase from $368.3 million in 2022. The increased use of cash was primarily due to incremental spending on acquisitions completed in 2023 over the comparable period in 2022, partially offset by net proceeds of </w:t>
      </w:r>
      <w:r>
        <w:rPr>
          <w:rFonts w:ascii="Times New Roman;sans-serif" w:hAnsi="Times New Roman;sans-serif"/>
          <w:b w:val="false"/>
          <w:color w:val="000000"/>
          <w:sz w:val="20"/>
          <w:shd w:fill="FFFFFF" w:val="clear"/>
        </w:rPr>
        <w:t>$197.0 million</w:t>
      </w:r>
      <w:r>
        <w:rPr>
          <w:color w:val="000000"/>
        </w:rPr>
        <w:t xml:space="preserve"> </w:t>
      </w:r>
      <w:r>
        <w:rPr>
          <w:rFonts w:ascii="Times New Roman;sans-serif" w:hAnsi="Times New Roman;sans-serif"/>
          <w:b w:val="false"/>
          <w:color w:val="000000"/>
          <w:sz w:val="20"/>
        </w:rPr>
        <w:t xml:space="preserve">received for the disposition of our Russian business. </w:t>
      </w:r>
    </w:p>
    <w:p>
      <w:pPr>
        <w:pStyle w:val="TextBody"/>
        <w:bidi w:val="0"/>
        <w:spacing w:lineRule="auto" w:line="256" w:before="180" w:after="283"/>
        <w:jc w:val="left"/>
        <w:rPr/>
      </w:pPr>
      <w:r>
        <w:rPr>
          <w:rFonts w:ascii="Times New Roman;sans-serif" w:hAnsi="Times New Roman;sans-serif"/>
          <w:b/>
          <w:i/>
          <w:color w:val="000000"/>
          <w:sz w:val="20"/>
        </w:rPr>
        <w:t>Financing activities.</w:t>
      </w:r>
      <w:r>
        <w:rPr>
          <w:color w:val="000000"/>
        </w:rPr>
        <w:t> </w:t>
      </w:r>
      <w:r>
        <w:rPr>
          <w:rFonts w:ascii="Times New Roman;sans-serif" w:hAnsi="Times New Roman;sans-serif"/>
          <w:b w:val="false"/>
          <w:color w:val="000000"/>
          <w:sz w:val="20"/>
        </w:rPr>
        <w:t xml:space="preserve">Net cash used in financing activities was $898.2 million in 2023 compared to </w:t>
      </w:r>
      <w:r>
        <w:rPr>
          <w:rFonts w:ascii="Times New Roman;sans-serif" w:hAnsi="Times New Roman;sans-serif"/>
          <w:b w:val="false"/>
          <w:color w:val="000000"/>
          <w:sz w:val="20"/>
          <w:shd w:fill="FFFFFF" w:val="clear"/>
        </w:rPr>
        <w:t xml:space="preserve">$311.2 million in 2022. This increase in net cash used by financing activities was primarily due to an increase in net repayments on our Credit Facility and Securitization Facility of $1,378 million, offset by a decrease in repurchases of common stock of $718 million in </w:t>
      </w:r>
      <w:r>
        <w:rPr>
          <w:rFonts w:ascii="Times New Roman;sans-serif" w:hAnsi="Times New Roman;sans-serif"/>
          <w:b w:val="false"/>
          <w:color w:val="000000"/>
          <w:sz w:val="20"/>
        </w:rPr>
        <w:t xml:space="preserve">2023 versus </w:t>
      </w:r>
      <w:r>
        <w:rPr>
          <w:rFonts w:ascii="Times New Roman;sans-serif" w:hAnsi="Times New Roman;sans-serif"/>
          <w:b w:val="false"/>
          <w:color w:val="000000"/>
          <w:sz w:val="20"/>
          <w:shd w:fill="FFFFFF" w:val="clear"/>
        </w:rPr>
        <w:t>2022.</w:t>
      </w:r>
    </w:p>
    <w:p>
      <w:pPr>
        <w:pStyle w:val="TextBody"/>
        <w:bidi w:val="0"/>
        <w:spacing w:lineRule="auto" w:line="256" w:before="18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Capital spending summary</w:t>
      </w:r>
    </w:p>
    <w:p>
      <w:pPr>
        <w:pStyle w:val="TextBody"/>
        <w:bidi w:val="0"/>
        <w:spacing w:lineRule="auto" w:line="256" w:before="180" w:after="283"/>
        <w:jc w:val="left"/>
        <w:rPr/>
      </w:pPr>
      <w:r>
        <w:rPr>
          <w:rFonts w:ascii="Times New Roman;sans-serif" w:hAnsi="Times New Roman;sans-serif"/>
          <w:b w:val="false"/>
          <w:color w:val="000000"/>
          <w:sz w:val="20"/>
          <w:shd w:fill="FFFFFF" w:val="clear"/>
        </w:rPr>
        <w:t>Our capital expenditures were $153.8 million in 2023, an i</w:t>
      </w:r>
      <w:r>
        <w:rPr>
          <w:rFonts w:ascii="Times New Roman;sans-serif" w:hAnsi="Times New Roman;sans-serif"/>
          <w:b w:val="false"/>
          <w:color w:val="000000"/>
          <w:sz w:val="20"/>
        </w:rPr>
        <w:t>ncrease of 1.6%, compared to the prior year due to the impact of acquisitions and continue</w:t>
      </w:r>
      <w:r>
        <w:rPr>
          <w:rFonts w:ascii="Times New Roman;sans-serif" w:hAnsi="Times New Roman;sans-serif"/>
          <w:b w:val="false"/>
          <w:color w:val="000000"/>
          <w:sz w:val="20"/>
          <w:shd w:fill="FFFFFF" w:val="clear"/>
        </w:rPr>
        <w:t xml:space="preserve">d investments in technology. </w:t>
      </w:r>
    </w:p>
    <w:p>
      <w:pPr>
        <w:pStyle w:val="TextBody"/>
        <w:bidi w:val="0"/>
        <w:spacing w:lineRule="auto" w:line="256" w:before="180" w:after="283"/>
        <w:jc w:val="left"/>
        <w:rPr/>
      </w:pPr>
      <w:r>
        <w:rPr>
          <w:rFonts w:ascii="Times New Roman;sans-serif" w:hAnsi="Times New Roman;sans-serif"/>
          <w:b/>
          <w:i/>
          <w:color w:val="000000"/>
          <w:sz w:val="20"/>
          <w:shd w:fill="FFFFFF" w:val="clear"/>
        </w:rPr>
        <w:t xml:space="preserve">Credit </w:t>
      </w:r>
      <w:r>
        <w:rPr>
          <w:rFonts w:ascii="Times New Roman;sans-serif" w:hAnsi="Times New Roman;sans-serif"/>
          <w:b/>
          <w:i/>
          <w:color w:val="000000"/>
          <w:sz w:val="20"/>
        </w:rPr>
        <w:t>Facility</w:t>
      </w:r>
    </w:p>
    <w:p>
      <w:pPr>
        <w:pStyle w:val="TextBody"/>
        <w:bidi w:val="0"/>
        <w:spacing w:lineRule="auto" w:line="256" w:before="180" w:after="283"/>
        <w:jc w:val="left"/>
        <w:rPr/>
      </w:pPr>
      <w:r>
        <w:rPr>
          <w:rFonts w:ascii="Times New Roman;sans-serif" w:hAnsi="Times New Roman;sans-serif"/>
          <w:b w:val="false"/>
          <w:color w:val="000000"/>
          <w:sz w:val="20"/>
        </w:rPr>
        <w:t xml:space="preserve">FLEETCOR Technologies Operating Company, LLC, and certain of our domestic and foreign owned subsidiaries, as designated co-borrowers (the “Borrowers”), are parties to a </w:t>
      </w:r>
      <w:r>
        <w:rPr>
          <w:rFonts w:ascii="Times New Roman;sans-serif" w:hAnsi="Times New Roman;sans-serif"/>
          <w:b w:val="false"/>
          <w:color w:val="000000"/>
          <w:sz w:val="20"/>
          <w:shd w:fill="FFFFFF" w:val="clear"/>
        </w:rPr>
        <w:t>$6.4 billion</w:t>
      </w:r>
      <w:r>
        <w:rPr>
          <w:color w:val="000000"/>
        </w:rPr>
        <w:t xml:space="preserve"> </w:t>
      </w:r>
      <w:r>
        <w:rPr>
          <w:rFonts w:ascii="Times New Roman;sans-serif" w:hAnsi="Times New Roman;sans-serif"/>
          <w:b w:val="false"/>
          <w:color w:val="000000"/>
          <w:sz w:val="20"/>
        </w:rPr>
        <w:t xml:space="preserve">Credit Agreement (the “Credit Agreement”), with Bank of America, N.A., as administrative agent, swing line lender and letter of credit issuer, and a syndicate of financial institutions (the “Lenders”), which has been amended multiple times. </w:t>
      </w:r>
      <w:r>
        <w:rPr>
          <w:rFonts w:ascii="Times New Roman;sans-serif" w:hAnsi="Times New Roman;sans-serif"/>
          <w:b w:val="false"/>
          <w:color w:val="000000"/>
          <w:sz w:val="20"/>
          <w:shd w:fill="FFFFFF" w:val="clear"/>
        </w:rPr>
        <w:t>The Credit Agreement provides for senior secured credit f</w:t>
      </w:r>
      <w:r>
        <w:rPr>
          <w:rFonts w:ascii="Times New Roman;sans-serif" w:hAnsi="Times New Roman;sans-serif"/>
          <w:b w:val="false"/>
          <w:color w:val="000000"/>
          <w:sz w:val="20"/>
        </w:rPr>
        <w:t>acilities (collectively, the "Credit Facility") consisting of a revolving credit facility in the amount of $1.5 billion, a term loan A facility in the amount of $3.0 billion and a term loan B facility in the amount of $1.9 billion as of December 31, 2023. The revolving credit facility consists of (a) a revolving A credit facility in the amount of $1 billion with sublimits for letters of credit and swing line loans and (b) a revolving B facility in the amount of $500 million with borrowings in U.S</w:t>
      </w:r>
      <w:r>
        <w:rPr>
          <w:rFonts w:ascii="Times New Roman;sans-serif" w:hAnsi="Times New Roman;sans-serif"/>
          <w:b w:val="false"/>
          <w:color w:val="000000"/>
          <w:sz w:val="20"/>
          <w:shd w:fill="FFFFFF" w:val="clear"/>
        </w:rPr>
        <w:t>. dollars, euros, British pounds, Japanese yen or other currency as agreed in advance and a sublimit for swing line loans. The Credit Agreement also includes an accordion feature for borrowing an additional $750 million in term loan A, term loan B, revolving A or revolving B facility debt and an unlimited amount when the leverage ratio on a pro-forma basis is less than 3.75 to 1.00. Procee</w:t>
      </w:r>
      <w:r>
        <w:rPr>
          <w:rFonts w:ascii="Times New Roman;sans-serif" w:hAnsi="Times New Roman;sans-serif"/>
          <w:b w:val="false"/>
          <w:color w:val="000000"/>
          <w:sz w:val="20"/>
        </w:rPr>
        <w:t>ds from the credit facilities may be used for working capital purposes, acquisitions, and other general corporate purposes.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24, 2022, we entered into the twelfth amendment to the Credit Agreement. The amendment replaced the then-existing term loan A with the $3 billion term loan A described above and the then-existing revolving credit facility with the $1.5 billion revolving credit facility described above, resulting in net increases of $273 million and $215 million to the capacities of the term loan A and revolving credit facility, respectively. In addition, the amendment replaced LIBOR for USD borrowings with the SOFR plus a SOFR adjustment of 0.10% for the term loan A and the revolving Credit Facility and extended the maturity date. The maturity date for the new term loan A and revolving credit facilities A and B is June 24, 2027. The term loan B has a maturity date of April 30, 2028. On May 3, 2023, we entered into the thirteenth amendment to the Credit Facility. The amendment replaced LIBOR on the term B loan with the Secured Overnight Financing Rate ("SOFR"), plus a SOFR adjustment of 0.10%.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2024, we entered into the fourteenth amendment to the Credit Agreement. The amendment a) increased the capacity on the revolving credit facility by $275.0 million and b) increased the term loan A commitments by $325.0 million. We used the term loan A proceeds to pay down existing borrowings under the revolving credit facility. As a result, the transaction was leverage neutral and results in a $600 million increase in our availability under the revolving credit facility. The interest rates and maturity terms remain consistent with the existing credit facilities.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amounts outstanding under the Credit Agreement accrues as follows: for loans denominated in U.S. dollars, based on SOFR plus a SOFR adjustment of 0.10%, in British pounds, based on the SONIA plus a SONIA adjustment of 0.0326%, in euros, based on the EURIBOR, or in Japanese yen, at the TIBOR plus a margin based on a leverage ratio, or our option (for U.S. dollar borrowings only), the Base Rate (defined as the rate equal to the highest of (a) the Federal Funds Rate plus 0.50%, (b) the prime rate announced by Bank of America, N.A., or (c) SOFR plus 1.00% plus a margin based on a leverage ratio). In addition, we pay a quarterly commitment fee at a rate per annum ranging from 0.25% to 0.30% of the daily unused portion of the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the interest rate on the term loan A was 6.83%, the interest rate on the term loan B was 7.21%, the interest rate on the revolving A and B facilities (USD borrowings) was 6.83%, and the interest rate on the revolving B facility (GBP borrowings) was 6.59%. The unused credit facility fee was 0.25% for all revolving facilities at December 31, 2023.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loans are payable in quarterly installments due on the last business day of each March, June, September, and December with the final principal payment due on the respective maturity date. Borrowings on the revolving line of credit are repayable at the maturity of the facility. Borrowings on the domestic swing line of credit are due on demand, and borrowings on the foreign swing line of credit are due no later than twenty business days after such loan is made.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obligations of the Borrowers under the Credit Agreement are secured by substantially all of the assets of FLEETCOR and its domestic subsidiaries, pursuant to a security agreement and includes a pledge of (i) 100% of the issued and outstanding equity interests owned by us of each Domestic Subsidiary and (2) 66% of the voting shares of the first-tier foreign subsidiaries, but excluding real property, personal property located outside of the U.S., accounts receivables and related assets subject to the Securitization Facility and certain investments required under money transmitter laws to be held free and clear of liens.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we had $2.9 billion in borrowings outstanding on term loan A, net of discounts, $1.8 billion in borrowings outstanding on term loan B, net of discounts, and $0.7 billion in borrowings outstanding on the revolving credit facility. We have unamortized debt issuance costs of $3.6 million related to the revolving credit facility as of December 31, 2023 recorded in other assets within the Consolidated Balance Sheets. We have unamortized debt discounts and debt issuance costs of $19.0 million related to the term loans as of December 31, 2023 recorded in notes payable and other obligations, net of current portion within the Consolidated Balance Sheets. As a result of the amortization of debt discounts and debt issuance costs, the effective interest rate incurred on the term loans was 6.83% during 2023. </w:t>
      </w:r>
    </w:p>
    <w:p>
      <w:pPr>
        <w:pStyle w:val="TextBody"/>
        <w:bidi w:val="0"/>
        <w:spacing w:lineRule="auto" w:line="256" w:before="180" w:after="283"/>
        <w:jc w:val="left"/>
        <w:rPr/>
      </w:pPr>
      <w:r>
        <w:rPr>
          <w:rFonts w:ascii="Times New Roman;sans-serif" w:hAnsi="Times New Roman;sans-serif"/>
          <w:b w:val="false"/>
          <w:color w:val="000000"/>
          <w:sz w:val="20"/>
          <w:shd w:fill="FFFFFF" w:val="clear"/>
        </w:rPr>
        <w:t xml:space="preserve">During the year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we made principal payments of $94.0 million on the term loans, and $9.1 billion on the</w:t>
      </w:r>
      <w:r>
        <w:rPr>
          <w:color w:val="000000"/>
        </w:rPr>
        <w:t xml:space="preserve"> </w:t>
      </w:r>
      <w:r>
        <w:rPr>
          <w:rFonts w:ascii="Times New Roman;sans-serif" w:hAnsi="Times New Roman;sans-serif"/>
          <w:b w:val="false"/>
          <w:color w:val="000000"/>
          <w:sz w:val="20"/>
        </w:rPr>
        <w:t>revolving facilities.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were in compliance with each of the covenants under the Credit Agreement.</w:t>
      </w:r>
    </w:p>
    <w:p>
      <w:pPr>
        <w:pStyle w:val="TextBody"/>
        <w:bidi w:val="0"/>
        <w:spacing w:lineRule="auto" w:line="256" w:before="180" w:after="180"/>
        <w:jc w:val="left"/>
        <w:rPr>
          <w:rFonts w:ascii="Times New Roman;sans-serif" w:hAnsi="Times New Roman;sans-serif"/>
          <w:b/>
          <w:i/>
          <w:color w:val="000000"/>
          <w:sz w:val="20"/>
        </w:rPr>
      </w:pPr>
      <w:r>
        <w:rPr>
          <w:rFonts w:ascii="Times New Roman;sans-serif" w:hAnsi="Times New Roman;sans-serif"/>
          <w:b/>
          <w:i/>
          <w:color w:val="000000"/>
          <w:sz w:val="20"/>
        </w:rPr>
        <w:t>Securitization Facility</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party to a $1.7 billion receivables purchase agreement among FleetCor Funding LLC, as seller, PNC Bank, National Association as administrator, and various purchaser agents, conduit purchasers and related committed purchasers parties thereto (the "Securitization Facility"). On March 23, 2022, we entered into the tenth amendment to the Securitization Facility. The amendment increased the Securitization Facility commitment from $1.3 billion to $1.6 billion and replaced LIBOR with SOFR plus a SOFR adjustment of 0.10%. On August 18, 2022, we entered into the eleventh amendment to the Securitization Facility. The amendment increased the Securitization Facility commitment from $1.6 billion to $1.7 billion, reduced the program fee margin and extended the maturity of the Securitization Facility to August 18, 2025. At December 31, 2023, the interest rate on the Securitization Facility was 6.43%.</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financial and non-financial covenant requirements related to our Securitization Facility as of December 31, 2023.</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Cross-Border Facilities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carefully monitor and manage initial and variation margin requirements for our cross-border solutions, which can result in transitory periods of elevated liquidity needs in cases where the currency market experiences disruption. In order to help mitigate that liquidity risk, we have recently entered into facilities intended to provide additional means to manage working capital needs for our cross-border solutions.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entered into two unsecured overdraft facilities with a combined capacity of $105.0 million, which may be accessible via written request and corresponding authorization from the applicable lenders. There is no guarantee the uncommitted capacity will be available to us on a future date. Interest on drawn balances accrues under the agreements at either (a) a fixed rate equal to the lender's reference rate (as defined in the respective agreement) plus 1% or (b) SOFR plus 1.25%. As of December 31, 2023, we had no borrowings outstanding under the uncommitted credit facilities.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we also entered into a 364-day committed revolving credit facility with a total commitment of $40.0 million. This committed facility matures on October 10, 2024. Borrowings under the new facility will bear interest at the borrower's option at a rate equal to (a) Term SOFR (as defined in the agreement) plus 1.25% or (b) the Base Rate (determined by reference to the greatest of (i) the Federal Funds Effective Rate, at that time, plus 0.50%, (ii) the Prime Rate, at that time, and (iii) Term SOFR (as defined in the agreement) at such time plus 1.00%). As of December 31, 2023, we had no borrowings outstanding under the committed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Cash Flow Hedges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22, 2019, we entered into three interest rate swap contracts. One contract (which matured in January 2022) had a notional value of $1.0 billion, while the two remaining contracts each had a notional value of $500 million. One of the remaining contracts matured on January 31, 2023 and the other matured on December 19, 2023. The objective of these swap contracts was to reduce the variability of cash flows in the previously unhedged interest payments associated with $2.0 billion of unspecified variable rate debt, the sole source of which is due to changes in the LIBOR and/or SOFR benchmark interest rate. At inception, we designated these contracts as hedging instruments in accordance with ASC 815, "Derivatives and Hedging."</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January 2023, we entered into 5 receive-variable SOFR, pay-fixed interest rate swap derivative contracts with a cumulative notional U.S. dollar value of $1.5 billion as shown disaggregated in the table below.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4, 2023, we amended the remaining LIBOR-based interest rate swap with a notional amount of $500 million from one-month term LIBOR of 2.55% to one-month term SOFR of 2.50%, without further changes to the terms of the swap. We applied certain expedients provided in ASU No. 2020-04, Reference Rate Reform (Topic 848), related to changes in critical terms of the hedging relationships due to the reference rate reform, which allowed the change in critical terms without designation of the hedging relationship. This interest rate swap matured in December 2023.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we entered into 8 additional receive-variable SOFR, pay-fixed interest rate swap derivative contracts with a cumulative notional U.S. dollar value of $2.0 billion as shown disaggregated in the table below. Further, in December 2023, we entered into 5 additional receive-variable SOFR, pay-fixed interest rate swap derivative contracts with a cumulative notional U.S. dollar value of $500 million as shown disaggregated in the table below. </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the following outstanding interest rate swap derivatives that qualify as hedging instruments within designated cash flow hedges of variable interest rate risk (in millions):</w:t>
      </w:r>
    </w:p>
    <w:tbl>
      <w:tblPr>
        <w:tblW w:w="4373" w:type="dxa"/>
        <w:jc w:val="center"/>
        <w:tblInd w:w="0" w:type="dxa"/>
        <w:tblLayout w:type="fixed"/>
        <w:tblCellMar>
          <w:top w:w="28" w:type="dxa"/>
          <w:left w:w="28" w:type="dxa"/>
          <w:bottom w:w="28" w:type="dxa"/>
          <w:right w:w="28" w:type="dxa"/>
        </w:tblCellMar>
      </w:tblPr>
      <w:tblGrid>
        <w:gridCol w:w="533"/>
        <w:gridCol w:w="467"/>
        <w:gridCol w:w="470"/>
        <w:gridCol w:w="109"/>
        <w:gridCol w:w="109"/>
        <w:gridCol w:w="109"/>
        <w:gridCol w:w="334"/>
        <w:gridCol w:w="334"/>
        <w:gridCol w:w="336"/>
        <w:gridCol w:w="109"/>
        <w:gridCol w:w="109"/>
        <w:gridCol w:w="109"/>
        <w:gridCol w:w="364"/>
        <w:gridCol w:w="364"/>
        <w:gridCol w:w="517"/>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47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Notional Amount</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47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0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7/31/2025</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7/31/2025</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1/31/2026</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7/31/2026</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7/31/2026</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7/31/2026</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7/31/2026</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7/31/2026</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7/31/2026</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1/31/2027</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1/31/2027</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7/31/2027</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7/31/2027</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1/31/2027</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1/31/2027</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1/31/2027</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1/31/2028</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1/31/2028</w:t>
            </w:r>
          </w:p>
        </w:tc>
      </w:tr>
    </w:tbl>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purpose of these contracts is to reduce the variability of cash flows in interest payments associated with our unspecified variable rate debt, the sole source of which is due to changes in the SOFR benchmark interest rate. We have designated these derivative instruments as cash flow hedging instruments, which are expected to be highly effective at offsetting changes in cash flows of the related underlying exposure. As a result, changes in fair value of the interest rate swaps are recorded in accumulated other comprehensive loss. For each of these swap contracts, we pay a fixed monthly rate and receives one month SOFR. We reclassified $39.4 million from accumulated other comprehensive loss resulting in a benefit to interest expense, net for the year ended December 31, 2023 related to the our interest rate swap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Net Investment Hedge</w:t>
      </w:r>
    </w:p>
    <w:p>
      <w:pPr>
        <w:pStyle w:val="TextBody"/>
        <w:bidi w:val="0"/>
        <w:spacing w:lineRule="auto" w:line="26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we entered into a cross-currency interest rate swap that we designated as a net investment hedge of our investments in euro-denominated operations. This contract effectively converts $500 million of U.S. dollar equivalent to an obligation denominated in euro, and partially offsets the impact of changes in currency rates on our euro-denominated net investments. This contract also creates a positive interest differential on the U.S. dollar-denominated portion of the swap, resulting in a 1.96% interest rate savings on the USD notional.</w:t>
      </w:r>
    </w:p>
    <w:p>
      <w:pPr>
        <w:pStyle w:val="TextBody"/>
        <w:bidi w:val="0"/>
        <w:spacing w:lineRule="auto" w:line="26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Hedge effectiveness is tested based on changes in the fair value of the cross-currency swap due to changes in the USD/euro spot rate. We anticipate perfect effectiveness of the designated hedging relationship and record changes in the fair value of the cross-currency interest rate swap associated with changes in the spot rate through accumulated other comprehensive loss. Excluded components associated with the forward differential are recognized directly in earnings as interest expense, net. We recognized a benefit of $9.0 million in interest expense, net for the year ended December 31, 2023 related to these excluded components. The cross-currency interest rate swap designated as a net investment hedge is recorded in other current liabilities at a fair value of $14.5 million as of December 31, 2023.</w:t>
      </w:r>
    </w:p>
    <w:p>
      <w:pPr>
        <w:pStyle w:val="TextBody"/>
        <w:bidi w:val="0"/>
        <w:spacing w:lineRule="auto" w:line="26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terminated our existing net investment hedge on February 1, 2024, which resulted in net cash payments totaling $3.9 million. The loss on the net investment hedge will remain in accumulated other comprehensive loss and will only be reclassified into earnings if and when the underlying euro-denominated net investment is sold or liquidated.</w:t>
      </w:r>
    </w:p>
    <w:p>
      <w:pPr>
        <w:pStyle w:val="TextBody"/>
        <w:bidi w:val="0"/>
        <w:spacing w:lineRule="auto" w:line="26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Subsequently, on February 2, 2024, we entered into four new cross-currency interest rate swaps that are designated as net investment hedges of our investments in euro-denominated operations. These contracts effectively convert an aggregate $500 million of U.S. dollar equivalent to an obligation denominated in euro, and partially offset the impact of changes in currency rates on our euro-denominated net investments. These contracts also create a positive interest differential on the U.S. dollar-denominated portion of the swap, resulting in a 1.55% interest rate savings on the USD notional.</w:t>
      </w:r>
    </w:p>
    <w:p>
      <w:pPr>
        <w:pStyle w:val="TextBody"/>
        <w:bidi w:val="0"/>
        <w:spacing w:lineRule="auto" w:line="256" w:before="180" w:after="283"/>
        <w:jc w:val="left"/>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56" w:before="180" w:after="283"/>
        <w:jc w:val="left"/>
        <w:rPr/>
      </w:pPr>
      <w:r>
        <w:rPr>
          <w:rFonts w:ascii="Times New Roman;sans-serif" w:hAnsi="Times New Roman;sans-serif"/>
          <w:b w:val="false"/>
          <w:color w:val="000000"/>
          <w:sz w:val="20"/>
        </w:rPr>
        <w:t xml:space="preserve">Given our returns on our capital investments and significant cash provided by operations, management believes it is prudent to reinvest in the business to drive profitable growth and use excess cash flow to return cash to shareholders over time through stock repurchases. </w:t>
      </w:r>
      <w:r>
        <w:rPr>
          <w:rFonts w:ascii="Times New Roman;sans-serif" w:hAnsi="Times New Roman;sans-serif"/>
          <w:b w:val="false"/>
          <w:color w:val="000000"/>
          <w:sz w:val="20"/>
          <w:shd w:fill="FFFFFF" w:val="clear"/>
        </w:rPr>
        <w:t>Our Board of Directors (the "Board") has approved a stock repurchase program (as updated from time to time, the "Program") authorizing us to repurchase our common stock from time to time until February 4, 2025. On January 25, 2024, the Board authorized an increase to the aggregate size of the Program by $1.0 billion to $8.1 billion. Since the beginning of the Program through December 31, 2023, we have repurchased 28,878,862 shares for an aggregate purchase price of $6.5 billion, leaving us up to $1.6 billion of remaining authorization available under the Program for future repurchases in shares of our common stock. We repurchased 2,597,954 common shares totaling $0.7 billion in 2023; 6,212,410 common shares totaling $1.4 billion in 2022 and 5,451,556 common shares totaling $1.4 billion in 2021.</w:t>
      </w:r>
    </w:p>
    <w:p>
      <w:pPr>
        <w:pStyle w:val="TextBody"/>
        <w:bidi w:val="0"/>
        <w:spacing w:lineRule="auto" w:line="256" w:before="18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18, 2023, as part of the Program, we entered an accelerated share repurchase ("ASR") agreement ("2023 ASR Agreement") with a third-party financial institution to repurchase $450 million of our common stock. Pursuant to the 2023 ASR Agreement, we delivered $450 million in cash and received 1,372,841 shares based on a stock price of $262.23 on August 18, 2023. The 2023 ASR Agreement was completed on September 26, 2023, at which time we received 293,588 additional shares based on a final weighted average per share purchase price during the repurchase period of $270.04.</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stock repurchases may be made at times and in such amounts as deemed appropriate. The timing and amount of stock repurchases, if any, will depend on a variety of factors including the stock price, market conditions, corporate and regulatory requirements, and any additional constraints related to material inside information we may possess. Any repurchases have been and are expected to be funded by a combination of available cash flow from the business, working capital and debt.</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Material Cash Requirements and Uses of Cash</w:t>
      </w:r>
    </w:p>
    <w:p>
      <w:pPr>
        <w:pStyle w:val="TextBody"/>
        <w:bidi w:val="0"/>
        <w:spacing w:lineRule="auto" w:line="256" w:before="180" w:after="283"/>
        <w:jc w:val="left"/>
        <w:rPr/>
      </w:pPr>
      <w:r>
        <w:rPr>
          <w:rFonts w:ascii="Times New Roman;sans-serif" w:hAnsi="Times New Roman;sans-serif"/>
          <w:b w:val="false"/>
          <w:color w:val="000000"/>
          <w:sz w:val="20"/>
        </w:rPr>
        <w:t xml:space="preserve">Material cash requirements primarily consist of debt obligations and related interest payments, along with lease obligations. Refer to the Debt footnote on page </w:t>
      </w:r>
      <w:hyperlink w:anchor="i8f5174e18a84453e86a7ae640d3d9ca6_103">
        <w:r>
          <w:rPr>
            <w:rStyle w:val="InternetLink"/>
            <w:rFonts w:ascii="Times New Roman;sans-serif" w:hAnsi="Times New Roman;sans-serif"/>
            <w:b w:val="false"/>
            <w:strike w:val="false"/>
            <w:dstrike w:val="false"/>
            <w:color w:val="000000"/>
            <w:sz w:val="20"/>
            <w:u w:val="none"/>
            <w:effect w:val="none"/>
          </w:rPr>
          <w:t>86</w:t>
        </w:r>
      </w:hyperlink>
      <w:r>
        <w:rPr>
          <w:rFonts w:ascii="Times New Roman;sans-serif" w:hAnsi="Times New Roman;sans-serif"/>
          <w:b w:val="false"/>
          <w:color w:val="000000"/>
          <w:sz w:val="20"/>
        </w:rPr>
        <w:t xml:space="preserve"> and Leases footnote on page </w:t>
      </w:r>
      <w:hyperlink w:anchor="i8f5174e18a84453e86a7ae640d3d9ca6_112">
        <w:r>
          <w:rPr>
            <w:rStyle w:val="InternetLink"/>
            <w:rFonts w:ascii="Times New Roman;sans-serif" w:hAnsi="Times New Roman;sans-serif"/>
            <w:b w:val="false"/>
            <w:strike w:val="false"/>
            <w:dstrike w:val="false"/>
            <w:color w:val="000000"/>
            <w:sz w:val="20"/>
            <w:u w:val="none"/>
            <w:effect w:val="none"/>
          </w:rPr>
          <w:t>91</w:t>
        </w:r>
      </w:hyperlink>
      <w:r>
        <w:rPr>
          <w:rFonts w:ascii="Times New Roman;sans-serif" w:hAnsi="Times New Roman;sans-serif"/>
          <w:b w:val="false"/>
          <w:color w:val="000000"/>
          <w:sz w:val="20"/>
        </w:rPr>
        <w:t xml:space="preserve"> of this Form 10-K for more information.</w:t>
      </w:r>
    </w:p>
    <w:p>
      <w:pPr>
        <w:pStyle w:val="TextBody"/>
        <w:bidi w:val="0"/>
        <w:spacing w:lineRule="auto" w:line="256" w:before="120" w:after="283"/>
        <w:jc w:val="left"/>
        <w:rPr/>
      </w:pPr>
      <w:r>
        <w:rPr>
          <w:rFonts w:ascii="Times New Roman;sans-serif" w:hAnsi="Times New Roman;sans-serif"/>
          <w:b w:val="false"/>
          <w:color w:val="000000"/>
          <w:sz w:val="20"/>
        </w:rPr>
        <w:t xml:space="preserve">Deferred income tax liabilities as of December 31, 2023 were approximately $470.2 million. Refer to Income Taxes footnote on page </w:t>
      </w:r>
      <w:hyperlink w:anchor="i8f5174e18a84453e86a7ae640d3d9ca6_109">
        <w:r>
          <w:rPr>
            <w:rStyle w:val="InternetLink"/>
            <w:rFonts w:ascii="Times New Roman;sans-serif" w:hAnsi="Times New Roman;sans-serif"/>
            <w:b w:val="false"/>
            <w:strike w:val="false"/>
            <w:dstrike w:val="false"/>
            <w:color w:val="000000"/>
            <w:sz w:val="20"/>
            <w:u w:val="none"/>
            <w:effect w:val="none"/>
          </w:rPr>
          <w:t>89</w:t>
        </w:r>
      </w:hyperlink>
      <w:r>
        <w:rPr>
          <w:rFonts w:ascii="Times New Roman;sans-serif" w:hAnsi="Times New Roman;sans-serif"/>
          <w:b w:val="false"/>
          <w:color w:val="000000"/>
          <w:sz w:val="20"/>
        </w:rPr>
        <w:t xml:space="preserve"> of this Form 10-K for more information. Deferred income tax liabilities are calculated based on temporary differences between the tax bases of assets and liabilities and their respective book bases, which will result in taxable amounts in future years when the liabilities are settled at their reported financial statement amounts. The results of these calculations do not have a direct connection with the amount of cash taxes to be paid in any future periods. As a result, scheduling deferred income tax liabilities as payments due by period could be misleading, as this scheduling would not relate to liquidity needs. At December 31, 2023, we had approximately $63.1 million of unrecognized income tax benefits related to uncertain tax positions. We cannot reasonably estimate when all of these unrecognized income tax benefits may be settled. We do not expect reductions to unrecognized income tax benefits within the next 12 months as a result of projected resolutions of income tax uncertainties.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18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 Adoption of New Accounting Standards, and Pending Adoption of Recently Issued Accounting Standards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applying the accounting policies that we use to prepare our consolidated financial statements, we necessarily make accounting estimates that affect our reported amounts of assets, liabilities, revenue and expenses. Some of these estimates require us to make assumptions about matters that are highly uncertain at the time we make the accounting estimates. We base these assumptions and the resulting estimates on historical information and other factors that we believe to be reasonable under the circumstances, and we evaluate these assumptions and estimates on an ongoing basis. In many instances, however, we reasonably could have used different accounting estimates and, in other instances, changes in our accounting estimates could occur from period to period, with the result in each case being a material change in the financial statement presentation of our financial condition or results of operations. We refer to estimates of this type as critical accounting estimates. Our significant accounting policies are summarized in the consolidated financial statements contained elsewhere in this report. The critical accounting estimates that we discuss below are those that we believe are most important to an understanding of our consolidated financial statements.</w:t>
      </w:r>
    </w:p>
    <w:p>
      <w:pPr>
        <w:pStyle w:val="TextBody"/>
        <w:bidi w:val="0"/>
        <w:spacing w:lineRule="auto" w:line="256" w:before="180" w:after="283"/>
        <w:jc w:val="left"/>
        <w:rPr/>
      </w:pPr>
      <w:r>
        <w:rPr>
          <w:rFonts w:ascii="Times New Roman;sans-serif" w:hAnsi="Times New Roman;sans-serif"/>
          <w:b w:val="false"/>
          <w:color w:val="000000"/>
          <w:sz w:val="20"/>
        </w:rPr>
        <w:t xml:space="preserve">See the Summary of Significant Accounting Policies footnote on page </w:t>
      </w:r>
      <w:hyperlink w:anchor="i8f5174e18a84453e86a7ae640d3d9ca6_76">
        <w:r>
          <w:rPr>
            <w:rStyle w:val="InternetLink"/>
            <w:rFonts w:ascii="Times New Roman;sans-serif" w:hAnsi="Times New Roman;sans-serif"/>
            <w:b w:val="false"/>
            <w:strike w:val="false"/>
            <w:dstrike w:val="false"/>
            <w:color w:val="000000"/>
            <w:sz w:val="20"/>
            <w:u w:val="none"/>
            <w:effect w:val="none"/>
          </w:rPr>
          <w:t>67</w:t>
        </w:r>
      </w:hyperlink>
      <w:r>
        <w:rPr>
          <w:rFonts w:ascii="Times New Roman;sans-serif" w:hAnsi="Times New Roman;sans-serif"/>
          <w:b w:val="false"/>
          <w:color w:val="000000"/>
          <w:sz w:val="20"/>
        </w:rPr>
        <w:t xml:space="preserve"> of this Form 10-K for additional information.</w:t>
      </w:r>
    </w:p>
    <w:p>
      <w:pPr>
        <w:pStyle w:val="TextBody"/>
        <w:bidi w:val="0"/>
        <w:spacing w:lineRule="auto" w:line="256" w:before="180" w:after="283"/>
        <w:jc w:val="left"/>
        <w:rPr/>
      </w:pPr>
      <w:r>
        <w:rPr>
          <w:rFonts w:ascii="Times New Roman;sans-serif" w:hAnsi="Times New Roman;sans-serif"/>
          <w:b/>
          <w:i/>
          <w:color w:val="000000"/>
          <w:sz w:val="20"/>
        </w:rPr>
        <w:t xml:space="preserve">Revenue recognition and presentation. </w:t>
      </w:r>
      <w:r>
        <w:rPr>
          <w:rFonts w:ascii="Times New Roman;sans-serif" w:hAnsi="Times New Roman;sans-serif"/>
          <w:b w:val="false"/>
          <w:color w:val="000000"/>
          <w:sz w:val="20"/>
        </w:rPr>
        <w:t xml:space="preserve">We provide payment solutions to our business, merchant, consumer and payment network customers. Our payment solutions are primarily focused on specific commercial spend or geographically-defined categories, including Vehicle Payments, Corporate Payments, Lodging Payments and Other (stored value cards and e-cards). We provide solutions that help businesses of all sizes control, simplify and secure payment of various domestic and cross-border payables using specialized payment products. We also provide other payment solutions for fleet maintenance, employee benefits and long-haul transportation-related services. </w:t>
      </w:r>
    </w:p>
    <w:p>
      <w:pPr>
        <w:pStyle w:val="TextBody"/>
        <w:bidi w:val="0"/>
        <w:spacing w:lineRule="auto" w:line="256" w:before="18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Payment Services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performance obligation for the majority of our payment solutions (Vehicle Payments, Corporate Payments, Lodging Payments, and Gift, among others) is to stand-ready to provide authorization and processing services (payment services) for an unknown or unspecified quantity of transactions and the consideration received is contingent upon the customer’s use (e.g., number of transactions submitted and processed) of the related payment services. Accordingly, the total transaction price is variable. Payment services involve a series of distinct daily services that are substantially the same, with the same pattern of transfer to the customer. As a result, we allocate and recognize variable consideration in the period we have the contractual right to invoice the customer. For the tolls payment solution, our primary performance obligation is to stand-ready each month to provide access to the toll network and process toll transactions. Each period of access is determined to be distinct and substantially the same as the customer benefits over the period of access. In our cross-border payments business, a portion of revenue is from exchanges of currency at spot rates, which enables customers to make cross-currency payments. </w:t>
      </w:r>
    </w:p>
    <w:p>
      <w:pPr>
        <w:pStyle w:val="TextBody"/>
        <w:bidi w:val="0"/>
        <w:spacing w:lineRule="auto" w:line="256" w:before="18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Gift Card Products and Services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Gift solutions deliver both stored value cards and e-cards (cards), and card-based services primarily in the form of gift cards to retailers. These activities each represent performance obligations that are separate and distinct. Revenue for stored value cards is recognized (gross of the underlying cost of the related card, recorded in processing expenses within the Consolidated Statements of Income) at the point in time when control passes to our customer, which is generally upon shipment. </w:t>
      </w:r>
    </w:p>
    <w:p>
      <w:pPr>
        <w:pStyle w:val="TextBody"/>
        <w:bidi w:val="0"/>
        <w:spacing w:lineRule="auto" w:line="256" w:before="18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revenue from late fees and finance charges, in jurisdictions where permitted under local regulations, primarily in the U.S. and Canada in accordance with Accounting Standards Codification (ASC) 310, "Receivables". Such fees are recognized net of a provision for estimated uncollectible amounts, at the time the fees and finance charges are assessed and services are provided. We cease billing and accruing for late fees and finance charges approximately 30 - 40 days after the customer’s balance becomes delinquent.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our cross-border payments business, we write foreign currency forwards, option contracts and swaps for our customers to facilitate future payments in foreign currencies. The duration of these derivative contracts at inception is generally less than one year. We aggregate our foreign exchange exposures arising from customer contracts, including forwards, options and spot exchanges of currency, as necessary, and economically hedge the net currency risks by entering into offsetting derivatives with established financial institution counterparties. The changes in fair value related to these instruments are recorded in revenues, net in the Consolidated Statements of Income. </w:t>
      </w:r>
    </w:p>
    <w:p>
      <w:pPr>
        <w:pStyle w:val="TextBody"/>
        <w:bidi w:val="0"/>
        <w:spacing w:lineRule="auto" w:line="256" w:before="180" w:after="283"/>
        <w:jc w:val="left"/>
        <w:rPr/>
      </w:pPr>
      <w:r>
        <w:rPr>
          <w:rFonts w:ascii="Times New Roman;sans-serif" w:hAnsi="Times New Roman;sans-serif"/>
          <w:b w:val="false"/>
          <w:color w:val="000000"/>
          <w:sz w:val="20"/>
        </w:rPr>
        <w:t xml:space="preserve">Refer to the Revenue footnote on page </w:t>
      </w:r>
      <w:hyperlink w:anchor="i8f5174e18a84453e86a7ae640d3d9ca6_79">
        <w:r>
          <w:rPr>
            <w:rStyle w:val="InternetLink"/>
            <w:rFonts w:ascii="Times New Roman;sans-serif" w:hAnsi="Times New Roman;sans-serif"/>
            <w:b w:val="false"/>
            <w:strike w:val="false"/>
            <w:dstrike w:val="false"/>
            <w:color w:val="000000"/>
            <w:sz w:val="20"/>
            <w:u w:val="none"/>
            <w:effect w:val="none"/>
          </w:rPr>
          <w:t>74</w:t>
        </w:r>
      </w:hyperlink>
      <w:r>
        <w:rPr>
          <w:rFonts w:ascii="Times New Roman;sans-serif" w:hAnsi="Times New Roman;sans-serif"/>
          <w:b w:val="false"/>
          <w:color w:val="000000"/>
          <w:sz w:val="20"/>
        </w:rPr>
        <w:t xml:space="preserve"> of this Form 10-K for additional information.</w:t>
      </w:r>
    </w:p>
    <w:p>
      <w:pPr>
        <w:pStyle w:val="TextBody"/>
        <w:bidi w:val="0"/>
        <w:spacing w:lineRule="auto" w:line="256" w:before="180" w:after="283"/>
        <w:jc w:val="left"/>
        <w:rPr/>
      </w:pPr>
      <w:r>
        <w:rPr>
          <w:rFonts w:ascii="Times New Roman;sans-serif" w:hAnsi="Times New Roman;sans-serif"/>
          <w:b/>
          <w:i/>
          <w:color w:val="000000"/>
          <w:sz w:val="20"/>
        </w:rPr>
        <w:t xml:space="preserve">Financial Instruments-Credit Losses. </w:t>
      </w:r>
      <w:r>
        <w:rPr>
          <w:rFonts w:ascii="Times New Roman;sans-serif" w:hAnsi="Times New Roman;sans-serif"/>
          <w:b w:val="false"/>
          <w:color w:val="000000"/>
          <w:sz w:val="20"/>
        </w:rPr>
        <w:t xml:space="preserve">Our current expected credit loss methodology for measurement of credit losses on financial assets measured at amortized cost basis, replaces the previous incurred loss impairment methodology. Our financial assets subject to credit losses are primarily trade receivables. We utilize a combination of aging and loss-rate methods to develop an estimate of current expected credit losses, depending on the nature and risk profile of the underlying asset pool,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pPr>
      <w:r>
        <w:rPr>
          <w:rFonts w:ascii="Times New Roman;sans-serif" w:hAnsi="Times New Roman;sans-serif"/>
          <w:b w:val="false"/>
          <w:color w:val="000000"/>
          <w:sz w:val="20"/>
        </w:rPr>
        <w:t>based on product, size of customer and historical losses. Expected credit losses are estimated based upon an assessment of risk characteristics, historical payment experience, and the age of outstanding receivables, adjusted for forward-looking economic conditions. The allowances for remaining financial assets measured at amortized cost basis are evaluated based on underlying financial condition, credit history, and current and forward-looking economic conditions. The estimation process for expected credit losses includes consideration of qualitative and quantitative risk factors associated with the age of asset balances, expected timing of payment, contract terms and conditions, changes in specific customer risk profiles or mix of customers, geographic risk, economic trends and relevant environmental factors. Refer to the Financial Instruments-Credit Losses section in the Summary of Significant Accounting Policies footnote on</w:t>
      </w:r>
      <w:hyperlink w:anchor="i0bfc7b70c2674f9e9284250d3d6d8327_83085">
        <w:r>
          <w:rPr>
            <w:rStyle w:val="InternetLink"/>
            <w:rFonts w:ascii="Times New Roman;sans-serif" w:hAnsi="Times New Roman;sans-serif"/>
            <w:b w:val="false"/>
            <w:strike w:val="false"/>
            <w:dstrike w:val="false"/>
            <w:color w:val="000000"/>
            <w:sz w:val="20"/>
            <w:u w:val="none"/>
            <w:effect w:val="none"/>
          </w:rPr>
          <w:t xml:space="preserve"> page 67</w:t>
        </w:r>
      </w:hyperlink>
      <w:r>
        <w:rPr>
          <w:rFonts w:ascii="Times New Roman;sans-serif" w:hAnsi="Times New Roman;sans-serif"/>
          <w:b w:val="false"/>
          <w:color w:val="000000"/>
          <w:sz w:val="20"/>
        </w:rPr>
        <w:t xml:space="preserve"> of this Form 10-K for additional information.</w:t>
      </w:r>
    </w:p>
    <w:p>
      <w:pPr>
        <w:pStyle w:val="TextBody"/>
        <w:bidi w:val="0"/>
        <w:spacing w:lineRule="auto" w:line="256" w:before="180" w:after="283"/>
        <w:jc w:val="left"/>
        <w:rPr/>
      </w:pPr>
      <w:r>
        <w:rPr>
          <w:rFonts w:ascii="Times New Roman;sans-serif" w:hAnsi="Times New Roman;sans-serif"/>
          <w:b/>
          <w:i/>
          <w:color w:val="000000"/>
          <w:sz w:val="20"/>
        </w:rPr>
        <w:t xml:space="preserve">Impairment of goodwill and indefinite-lived assets. </w:t>
      </w:r>
      <w:r>
        <w:rPr>
          <w:rFonts w:ascii="Times New Roman;sans-serif" w:hAnsi="Times New Roman;sans-serif"/>
          <w:b w:val="false"/>
          <w:color w:val="000000"/>
          <w:sz w:val="20"/>
        </w:rPr>
        <w:t>We complete an impairment test of goodwill at least annually or more frequently if facts or circumstances indicate that goodwill might be impaired. Goodwill is tested for impairment at the reporting unit level. We first perform a qualitative assessment of certain of our reporting units. Factors considered in the qualitative assessment include general macroeconomic conditions, industry and market conditions, cost factors, overall financial performance of our reporting units, events or changes affecting the composition or carrying amount of the net assets of our reporting units, sustained decrease in our share price, and other relevant entity-specific events. If we elect to bypass the qualitative assessment or if we determine, on the basis of qualitative factors, that the fair value of the reporting unit is more likely than not less than the carrying amount, a quantitative test would be required. We then perform the quantitative goodwill impairment test for the applicable reporting units by comparing the reporting unit’s carrying amount, including goodwill, to its fair value which is measured based upon, among other factors, a discounted cash flow analysis and, to a lesser extent, market multiples for comparable companies. Estimates critical to our evaluation of goodwill for impairment include forecasts for revenues, net, and earnings before interest, taxes, depreciation and amortization (EBITDA) growth, and the discount rates. If the carrying amount of the reporting unit is greater than its fair value, a goodwill impairment loss is recognized.</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evaluate indefinite-lived intangible assets (primarily trademarks and trade names) for impairment annually. We test for impairment if events and circumstances indicate that it is more likely than not that the fair value of an indefinite-lived intangible asset is below its carrying amount. Estimates critical to our evaluation of indefinite-lived intangible assets for impairment include the discount rate, royalty rates used in our evaluation of trade names and projected revenue growth. An impairment loss is recorded if the carrying amount of an indefinite-lived intangible asset exceeds the estimated fair value on the measurement date.</w:t>
      </w:r>
    </w:p>
    <w:p>
      <w:pPr>
        <w:pStyle w:val="TextBody"/>
        <w:bidi w:val="0"/>
        <w:spacing w:lineRule="auto" w:line="256" w:before="180" w:after="283"/>
        <w:jc w:val="left"/>
        <w:rPr/>
      </w:pPr>
      <w:r>
        <w:rPr>
          <w:rFonts w:ascii="Times New Roman;sans-serif" w:hAnsi="Times New Roman;sans-serif"/>
          <w:b w:val="false"/>
          <w:color w:val="000000"/>
          <w:sz w:val="20"/>
        </w:rPr>
        <w:t xml:space="preserve">Refer to the Impairment of long-lived assets, intangibles and investments section in the Summary of Significant Accounting Policies footnote on </w:t>
      </w:r>
      <w:hyperlink w:anchor="i0bfc7b70c2674f9e9284250d3d6d8327_83086">
        <w:r>
          <w:rPr>
            <w:rStyle w:val="InternetLink"/>
            <w:rFonts w:ascii="Times New Roman;sans-serif" w:hAnsi="Times New Roman;sans-serif"/>
            <w:b w:val="false"/>
            <w:strike w:val="false"/>
            <w:dstrike w:val="false"/>
            <w:color w:val="000000"/>
            <w:sz w:val="20"/>
            <w:u w:val="none"/>
            <w:effect w:val="none"/>
          </w:rPr>
          <w:t>page 68</w:t>
        </w:r>
      </w:hyperlink>
      <w:r>
        <w:rPr>
          <w:rFonts w:ascii="Times New Roman;sans-serif" w:hAnsi="Times New Roman;sans-serif"/>
          <w:b w:val="false"/>
          <w:color w:val="000000"/>
          <w:sz w:val="20"/>
        </w:rPr>
        <w:t xml:space="preserve"> of this Form 10-K and the Goodwill and Other Intangible Assets footnote on page </w:t>
      </w:r>
      <w:hyperlink w:anchor="i8f5174e18a84453e86a7ae640d3d9ca6_94">
        <w:r>
          <w:rPr>
            <w:rStyle w:val="InternetLink"/>
            <w:rFonts w:ascii="Times New Roman;sans-serif" w:hAnsi="Times New Roman;sans-serif"/>
            <w:b w:val="false"/>
            <w:strike w:val="false"/>
            <w:dstrike w:val="false"/>
            <w:color w:val="000000"/>
            <w:sz w:val="20"/>
            <w:u w:val="none"/>
            <w:effect w:val="none"/>
          </w:rPr>
          <w:t>84</w:t>
        </w:r>
      </w:hyperlink>
      <w:r>
        <w:rPr>
          <w:rFonts w:ascii="Times New Roman;sans-serif" w:hAnsi="Times New Roman;sans-serif"/>
          <w:b w:val="false"/>
          <w:color w:val="000000"/>
          <w:sz w:val="20"/>
        </w:rPr>
        <w:t xml:space="preserve"> of this Form 10-K for additional information.</w:t>
      </w:r>
    </w:p>
    <w:p>
      <w:pPr>
        <w:pStyle w:val="TextBody"/>
        <w:bidi w:val="0"/>
        <w:spacing w:lineRule="auto" w:line="256" w:before="180" w:after="283"/>
        <w:jc w:val="left"/>
        <w:rPr/>
      </w:pPr>
      <w:r>
        <w:rPr>
          <w:rFonts w:ascii="Times New Roman;sans-serif" w:hAnsi="Times New Roman;sans-serif"/>
          <w:b/>
          <w:i/>
          <w:color w:val="000000"/>
          <w:sz w:val="20"/>
        </w:rPr>
        <w:t xml:space="preserve">Income taxes. </w:t>
      </w:r>
      <w:r>
        <w:rPr>
          <w:rFonts w:ascii="Times New Roman;sans-serif" w:hAnsi="Times New Roman;sans-serif"/>
          <w:b w:val="false"/>
          <w:color w:val="000000"/>
          <w:sz w:val="20"/>
        </w:rPr>
        <w:t xml:space="preserve">We account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We have elected to treat the Global Intangible Low Taxed Income (GILTI) inclusion as a current period expense.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ultimate realization of deferred tax assets is dependent upon the generation of future taxable income during the periods in which the associated temporary differences become deductible. We evaluate on a quarterly basis whether it is more likely than not that our deferred tax assets will be realized in the future and conclude whether a valuation allowance must be established.</w:t>
      </w:r>
    </w:p>
    <w:p>
      <w:pPr>
        <w:pStyle w:val="TextBody"/>
        <w:bidi w:val="0"/>
        <w:spacing w:lineRule="auto" w:line="256" w:before="180" w:after="283"/>
        <w:jc w:val="left"/>
        <w:rPr/>
      </w:pPr>
      <w:r>
        <w:rPr>
          <w:rFonts w:ascii="Times New Roman;sans-serif" w:hAnsi="Times New Roman;sans-serif"/>
          <w:b w:val="false"/>
          <w:color w:val="000000"/>
          <w:sz w:val="20"/>
        </w:rPr>
        <w:t xml:space="preserve">We account for uncertainty in income taxes recognized in an entity’s financial statements and prescribe thresholds and measurement attributes for financial statement disclosure of tax positions taken or expected to be taken on a tax return. The impact of an uncertain income tax position on the income tax return must be recognized at the largest amount that is more likely than not to be sustained upon audit by the relevant taxing authority. An uncertain income tax position will not be recognized if it has less than a 50% likelihood of being sustained. We include any estimated interest and penalties on tax related matters in income tax expense. Refer to the Income Taxes footnote on page </w:t>
      </w:r>
      <w:hyperlink w:anchor="i8f5174e18a84453e86a7ae640d3d9ca6_109">
        <w:r>
          <w:rPr>
            <w:rStyle w:val="InternetLink"/>
            <w:rFonts w:ascii="Times New Roman;sans-serif" w:hAnsi="Times New Roman;sans-serif"/>
            <w:b w:val="false"/>
            <w:strike w:val="false"/>
            <w:dstrike w:val="false"/>
            <w:color w:val="000000"/>
            <w:sz w:val="20"/>
            <w:u w:val="none"/>
            <w:effect w:val="none"/>
          </w:rPr>
          <w:t>89</w:t>
        </w:r>
      </w:hyperlink>
      <w:r>
        <w:rPr>
          <w:rFonts w:ascii="Times New Roman;sans-serif" w:hAnsi="Times New Roman;sans-serif"/>
          <w:b w:val="false"/>
          <w:color w:val="000000"/>
          <w:sz w:val="20"/>
        </w:rPr>
        <w:t xml:space="preserve"> of this Form 10-K for additional information.</w:t>
      </w:r>
    </w:p>
    <w:p>
      <w:pPr>
        <w:pStyle w:val="TextBody"/>
        <w:bidi w:val="0"/>
        <w:spacing w:lineRule="auto" w:line="256" w:before="180" w:after="283"/>
        <w:jc w:val="left"/>
        <w:rPr/>
      </w:pPr>
      <w:r>
        <w:rPr>
          <w:rFonts w:ascii="Times New Roman;sans-serif" w:hAnsi="Times New Roman;sans-serif"/>
          <w:b/>
          <w:i/>
          <w:color w:val="000000"/>
          <w:sz w:val="20"/>
        </w:rPr>
        <w:t xml:space="preserve">Business combinations. </w:t>
      </w:r>
      <w:r>
        <w:rPr>
          <w:rFonts w:ascii="Times New Roman;sans-serif" w:hAnsi="Times New Roman;sans-serif"/>
          <w:b w:val="false"/>
          <w:color w:val="000000"/>
          <w:sz w:val="20"/>
        </w:rPr>
        <w:t>Business combinations completed by us have been accounted for under the acquisition method of accounting, which requires that the acquired assets and liabilities, including contingencies, be recorded at fair value determined as of the acquisition date. The excess of the purchase price over the fair values of the tangible and intangible assets acquired and liabilities assumed represents goodwill. The results of the acquired businesses are included in our results of operations beginning from the completion date of the transaction.</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estimates we use to determine the fair value of long-lived assets, such as intangible assets, can be complex and require significant judgments. We use information available to us to make fair value determinations and engage independent valuation specialists, when necessary, to assist in the fair value determination of significant acquired long-lived assets. The estimated fair values of customer-related and contract-based intangible assets are generally determined using the income approach, which is based on projected cash flows discounted to their present value using discount rates that consider the timing and risk of the forecasted cash flows. The discount rates used represented a risk adjusted market participant weighted-average cost of capital, derived using customary market metrics. These measures of fair value also require considerable judgments about future events, including forecasted revenue growth rates, forecasted customer attrition rates, contract renewal estimates and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Acquired technologies are generally valued using the replacement cost method, which requires us to estimate the costs to construct an asset of equivalent utility at prices available at the time of the valuation analysis, with adjustments in value for physical deterioration and functional and economic obsolescence. Trademarks and trade names are generally valued using the "relief-from-royalty" approach. This method assumes that trademarks and trade names have value to the extent that their owner is relieved of the obligation to pay royalties for the benefits received from them. This method requires us to estimate the future revenues for the related brands, the appropriate royalty rate and the weighted-average cost of capital. This measure of fair value requires considerable judgment about the value a market participant would be willing to pay in order to achieve the benefits associated with the trade name.</w:t>
      </w:r>
    </w:p>
    <w:p>
      <w:pPr>
        <w:pStyle w:val="TextBody"/>
        <w:bidi w:val="0"/>
        <w:spacing w:lineRule="auto" w:line="256" w:before="180" w:after="283"/>
        <w:jc w:val="left"/>
        <w:rPr/>
      </w:pPr>
      <w:r>
        <w:rPr>
          <w:rFonts w:ascii="Times New Roman;sans-serif" w:hAnsi="Times New Roman;sans-serif"/>
          <w:b w:val="false"/>
          <w:color w:val="000000"/>
          <w:sz w:val="20"/>
        </w:rPr>
        <w:t xml:space="preserve">While we use our best estimates and assumptions to determine the fair values of the assets acquired and the liabilities assumed, our estimates are inherently uncertain and subject to refinement. As a result, during the measurement period, which may be up to one year from the acquisition date, we record adjustments to the assets acquired and liabilities assumed. Upon the conclusion of the measurement period, any subsequent adjustments are recorded in our Consolidated Statements of Income. We also estimate the useful lives of intangible assets to determine the period over which to recognize the amount of acquisition-related intangible assets as an expense. Certain assets may be considered to have indefinite useful lives. We periodically review the estimated useful lives assigned to our intangible assets to determine whether such estimated useful lives continue to be appropriate. Refer to the Acquisitions and Equity Method Investments footnote on pages </w:t>
      </w:r>
      <w:hyperlink w:anchor="i8f5174e18a84453e86a7ae640d3d9ca6_91">
        <w:r>
          <w:rPr>
            <w:rStyle w:val="InternetLink"/>
            <w:rFonts w:ascii="Times New Roman;sans-serif" w:hAnsi="Times New Roman;sans-serif"/>
            <w:b w:val="false"/>
            <w:strike w:val="false"/>
            <w:dstrike w:val="false"/>
            <w:color w:val="000000"/>
            <w:sz w:val="20"/>
            <w:u w:val="none"/>
            <w:effect w:val="none"/>
          </w:rPr>
          <w:t>82</w:t>
        </w:r>
      </w:hyperlink>
      <w:r>
        <w:rPr>
          <w:rFonts w:ascii="Times New Roman;sans-serif" w:hAnsi="Times New Roman;sans-serif"/>
          <w:b w:val="false"/>
          <w:color w:val="000000"/>
          <w:sz w:val="20"/>
        </w:rPr>
        <w:t xml:space="preserve"> of this Form 10-K for additional information and the Goodwill and Other Intangible Assets footnote on page </w:t>
      </w:r>
      <w:hyperlink w:anchor="i8f5174e18a84453e86a7ae640d3d9ca6_94">
        <w:r>
          <w:rPr>
            <w:rStyle w:val="InternetLink"/>
            <w:rFonts w:ascii="Times New Roman;sans-serif" w:hAnsi="Times New Roman;sans-serif"/>
            <w:b w:val="false"/>
            <w:strike w:val="false"/>
            <w:dstrike w:val="false"/>
            <w:color w:val="000000"/>
            <w:sz w:val="20"/>
            <w:u w:val="none"/>
            <w:effect w:val="none"/>
          </w:rPr>
          <w:t>84</w:t>
        </w:r>
      </w:hyperlink>
      <w:r>
        <w:rPr>
          <w:rFonts w:ascii="Times New Roman;sans-serif" w:hAnsi="Times New Roman;sans-serif"/>
          <w:b w:val="false"/>
          <w:color w:val="000000"/>
          <w:sz w:val="20"/>
        </w:rPr>
        <w:t xml:space="preserve"> of this Form 10-K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Management’s Use of Non-GAAP Financial Measures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included in the discussion above certain financial measures that were not prepared in accordance with GAAP. Any analysis of non-GAAP financial measures should be used only in conjunction with results presented in accordance with GAAP. Below, we define the non-GAAP financial measures, provide a reconciliation of each non-GAAP financial measure to the most directly comparable financial measure calculated in accordance with GAAP, and discuss the reasons that we believe this information is useful to management and may be useful to investors.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defined the non-GAAP measure adjusted net income as net income as reflected in our statement of income, adjusted to eliminate a) non-cash share based compensation expense related to share based compensation awards, (b) amortization of deferred financing costs, discounts, intangible assets and amortization of the premium recognized on the purchase of receivables, (c) integration and deal related costs, and (d) other non-recurring items, including unusual credit losses, the impact of discrete tax items, the impact of business dispositions, impairment charges, asset write-offs, restructuring costs, loss on extinguishment of debt, and legal settlements and regulatory-related legal fees.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defined the non-GAAP measure adjusted net income per diluted share as the calculation previously noted divided by the weighted average diluted shares outstanding as reflected in our statement of income.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adjusted net income and adjusted net income per diluted share to eliminate the effect of items that we do not consider indicative of our core operating performance. We believe it is useful to exclude non-cash share based compensation expense from adjusted net income because non-cash equity grants made at a certain price and point in time do not necessarily reflect how our business is performing at any particular time and share 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 Integration and deal related costs represent business acquisition transaction costs, professional services fees, short-term retention bonuses and system migration costs, etc., that are not indicative of the performance of the underlying business. We also believe that certain expenses, the impact of discrete tax items, the impact of business dispositions, impairment charges, asset write-offs, restructuring and related costs, losses on extinguishment of debt, and legal settlements and regulatory-related legal fees do not necessarily reflect how our business is performing. We adjust net income for the tax effect of each of these non-tax items using our effective income tax rate during the period, exclusive of discrete tax items. Adjusted net income and adjusted net income per diluted share are supplemental measures of operating performance that do not represent and should not be considered as an alternative to net income, net income per diluted share or cash flow from operations, as determined by GAAP. Adjusted net income and adjusted net income per diluted share are not intended to be a substitute for GAAP financial measures, and our calculation thereof may not be comparable to that reported by other companies.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Organic revenue growth is calculated as revenue growth in the current period adjusted for the impact of changes in the macroeconomic environment (to include fuel price, fuel price spreads and changes in foreign exchange rates) over revenue in the comparable prior period adjusted to include or remove the impact of acquisitions and/or divestitures and non-recurring items that have occurred subsequent to that period. We believe that organic revenue growth on a macro-neutral and consistent acquisition/divestiture/non-recurring item basis is useful to investors for understanding the performance of FLEETCOR. EBITDA is defined as earnings before interest, income taxes, interest expense, net, other expense (income), depreciation and amortization, loss on extinguishment of debt, investment loss/gain and other operating, net. EBITDA margin is defined as EBITDA as a percentage of revenue.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uses adjusted net income, adjusted net income per diluted share, organic revenue growth and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as measurements of operating performance because they assist us in comparing our operating performance on a consistent basis; </w:t>
      </w:r>
    </w:p>
    <w:p>
      <w:pPr>
        <w:pStyle w:val="TextBody"/>
        <w:bidi w:val="0"/>
        <w:spacing w:lineRule="auto" w:line="256" w:before="60" w:after="283"/>
        <w:jc w:val="both"/>
        <w:rPr/>
      </w:pPr>
      <w:r>
        <w:rPr>
          <w:color w:val="000000"/>
        </w:rPr>
        <w:t>•</w:t>
      </w:r>
      <w:r>
        <w:rPr>
          <w:rFonts w:ascii="Times New Roman;sans-serif" w:hAnsi="Times New Roman;sans-serif"/>
          <w:b w:val="false"/>
          <w:color w:val="000000"/>
          <w:sz w:val="20"/>
        </w:rPr>
        <w:t xml:space="preserve">for planning purposes, including the preparation of our internal annual operating budget; </w:t>
      </w:r>
    </w:p>
    <w:p>
      <w:pPr>
        <w:pStyle w:val="TextBody"/>
        <w:bidi w:val="0"/>
        <w:spacing w:lineRule="auto" w:line="256" w:before="60" w:after="283"/>
        <w:jc w:val="both"/>
        <w:rPr/>
      </w:pPr>
      <w:r>
        <w:rPr>
          <w:color w:val="000000"/>
        </w:rPr>
        <w:t>•</w:t>
      </w:r>
      <w:r>
        <w:rPr>
          <w:rFonts w:ascii="Times New Roman;sans-serif" w:hAnsi="Times New Roman;sans-serif"/>
          <w:b w:val="false"/>
          <w:color w:val="000000"/>
          <w:sz w:val="20"/>
        </w:rPr>
        <w:t xml:space="preserve">to allocate resources to enhance the financial performance of our business; and </w:t>
      </w:r>
    </w:p>
    <w:p>
      <w:pPr>
        <w:pStyle w:val="TextBody"/>
        <w:bidi w:val="0"/>
        <w:spacing w:lineRule="auto" w:line="256" w:before="60" w:after="283"/>
        <w:jc w:val="left"/>
        <w:rPr/>
      </w:pPr>
      <w:r>
        <w:rPr>
          <w:color w:val="000000"/>
        </w:rPr>
        <w:t>•</w:t>
      </w:r>
      <w:r>
        <w:rPr>
          <w:rFonts w:ascii="Times New Roman;sans-serif" w:hAnsi="Times New Roman;sans-serif"/>
          <w:b w:val="false"/>
          <w:color w:val="000000"/>
          <w:sz w:val="20"/>
        </w:rPr>
        <w:t xml:space="preserve">to evaluate the performance and effectiveness of our operational strategies. </w:t>
      </w:r>
    </w:p>
    <w:p>
      <w:pPr>
        <w:pStyle w:val="TextBody"/>
        <w:bidi w:val="0"/>
        <w:spacing w:before="60" w:after="283"/>
        <w:jc w:val="left"/>
        <w:rPr/>
      </w:pPr>
      <w:r>
        <w:rPr/>
      </w:r>
    </w:p>
    <w:p>
      <w:pPr>
        <w:pStyle w:val="TextBody"/>
        <w:bidi w:val="0"/>
        <w:spacing w:lineRule="auto" w:line="256" w:before="60" w:after="283"/>
        <w:jc w:val="left"/>
        <w:rPr/>
      </w:pPr>
      <w:r>
        <w:rPr>
          <w:rFonts w:ascii="Times New Roman;sans-serif" w:hAnsi="Times New Roman;sans-serif"/>
          <w:b/>
          <w:i/>
          <w:color w:val="000000"/>
          <w:sz w:val="20"/>
        </w:rPr>
        <w:t>Reconciliation of Non-GAAP Revenue and Key Performance Metric by Segment to GAAP</w:t>
      </w:r>
      <w:r>
        <w:rPr>
          <w:rFonts w:ascii="Times New Roman;sans-serif" w:hAnsi="Times New Roman;sans-serif"/>
          <w:b w:val="false"/>
          <w:color w:val="000000"/>
          <w:sz w:val="20"/>
        </w:rPr>
        <w:t xml:space="preserve">. Set forth below is a reconciliation of organic growth by segment, calculated using pro forma and macro adjusted revenue and transactions to the most directly comparable GAAP measure, revenue, net and transactions (in millions): </w:t>
      </w:r>
    </w:p>
    <w:tbl>
      <w:tblPr>
        <w:tblW w:w="9416" w:type="dxa"/>
        <w:jc w:val="left"/>
        <w:tblInd w:w="0" w:type="dxa"/>
        <w:tblLayout w:type="fixed"/>
        <w:tblCellMar>
          <w:top w:w="28" w:type="dxa"/>
          <w:left w:w="28" w:type="dxa"/>
          <w:bottom w:w="28" w:type="dxa"/>
          <w:right w:w="28" w:type="dxa"/>
        </w:tblCellMar>
      </w:tblPr>
      <w:tblGrid>
        <w:gridCol w:w="1411"/>
        <w:gridCol w:w="1238"/>
        <w:gridCol w:w="1250"/>
        <w:gridCol w:w="109"/>
        <w:gridCol w:w="109"/>
        <w:gridCol w:w="109"/>
        <w:gridCol w:w="211"/>
        <w:gridCol w:w="616"/>
        <w:gridCol w:w="109"/>
        <w:gridCol w:w="109"/>
        <w:gridCol w:w="109"/>
        <w:gridCol w:w="109"/>
        <w:gridCol w:w="211"/>
        <w:gridCol w:w="616"/>
        <w:gridCol w:w="109"/>
        <w:gridCol w:w="109"/>
        <w:gridCol w:w="109"/>
        <w:gridCol w:w="109"/>
        <w:gridCol w:w="211"/>
        <w:gridCol w:w="826"/>
        <w:gridCol w:w="109"/>
        <w:gridCol w:w="109"/>
        <w:gridCol w:w="109"/>
        <w:gridCol w:w="109"/>
        <w:gridCol w:w="211"/>
        <w:gridCol w:w="826"/>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Key Performance Indicators</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VEHICLE PAYMENTS - TRANSACTIONS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and macro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acquisitions/dispositions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fuel prices/spread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exchange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CORPORATE PAYMENTS - SPEND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and macro 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acquisitions/dispositions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fuel prices/spread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exchange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9"/>
            <w:tcBorders/>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9"/>
            <w:tcBorders/>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9"/>
            <w:tcBorders/>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4" w:type="dxa"/>
            <w:gridSpan w:val="9"/>
            <w:tcBorders/>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LODGING PAYMENTS - ROOM NIGHTS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and macro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acquisitions/dispositions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fuel prices/spread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exchange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u w:val="single"/>
              </w:rPr>
              <w:t>OTHER</w:t>
            </w:r>
            <w:r>
              <w:rPr>
                <w:rFonts w:ascii="Times New Roman;sans-serif" w:hAnsi="Times New Roman;sans-serif"/>
                <w:b/>
                <w:color w:val="000000"/>
                <w:sz w:val="13"/>
              </w:rPr>
              <w:t>1</w:t>
            </w:r>
            <w:r>
              <w:rPr>
                <w:color w:val="000000"/>
                <w:u w:val="single"/>
              </w:rPr>
              <w:t xml:space="preserve"> </w:t>
            </w:r>
            <w:r>
              <w:rPr>
                <w:rFonts w:ascii="Times New Roman;sans-serif" w:hAnsi="Times New Roman;sans-serif"/>
                <w:b/>
                <w:color w:val="000000"/>
                <w:sz w:val="20"/>
                <w:u w:val="single"/>
              </w:rPr>
              <w:t>-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and macro 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acquisitions/dispositions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fuel prices/spread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exchange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FLEETCOR CONSOLIDATED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and macro adjusted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vMerge w:val="restart"/>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Intentionally Left Blank</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acquisitions/dispositions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664" w:type="dxa"/>
            <w:gridSpan w:val="9"/>
            <w:vMerge w:val="continue"/>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Normal"/>
              <w:bidi w:val="0"/>
              <w:jc w:val="left"/>
              <w:rPr/>
            </w:pPr>
            <w:r>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Impact of fuel prices/spread</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664" w:type="dxa"/>
            <w:gridSpan w:val="9"/>
            <w:vMerge w:val="continue"/>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Normal"/>
              <w:bidi w:val="0"/>
              <w:jc w:val="left"/>
              <w:rPr/>
            </w:pPr>
            <w:r>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Impact of foreign exchange rates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664" w:type="dxa"/>
            <w:gridSpan w:val="9"/>
            <w:vMerge w:val="continue"/>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Normal"/>
              <w:bidi w:val="0"/>
              <w:jc w:val="left"/>
              <w:rPr/>
            </w:pPr>
            <w:r>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664" w:type="dxa"/>
            <w:gridSpan w:val="9"/>
            <w:vMerge w:val="continue"/>
            <w:tcBorders>
              <w:top w:val="single" w:sz="4" w:space="0" w:color="000000"/>
              <w:left w:val="single" w:sz="4" w:space="0" w:color="000000"/>
              <w:bottom w:val="single" w:sz="4" w:space="0" w:color="000000"/>
              <w:right w:val="single" w:sz="4" w:space="0" w:color="000000"/>
            </w:tcBorders>
            <w:shd w:fill="FFFFFF" w:val="clear"/>
            <w:tcMar>
              <w:top w:w="30" w:type="dxa"/>
              <w:bottom w:w="3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628"/>
        <w:gridCol w:w="549"/>
        <w:gridCol w:w="549"/>
        <w:gridCol w:w="549"/>
        <w:gridCol w:w="549"/>
        <w:gridCol w:w="549"/>
        <w:gridCol w:w="549"/>
        <w:gridCol w:w="549"/>
        <w:gridCol w:w="549"/>
        <w:gridCol w:w="549"/>
        <w:gridCol w:w="549"/>
        <w:gridCol w:w="549"/>
        <w:gridCol w:w="549"/>
        <w:gridCol w:w="549"/>
        <w:gridCol w:w="549"/>
        <w:gridCol w:w="549"/>
        <w:gridCol w:w="549"/>
        <w:gridCol w:w="793"/>
      </w:tblGrid>
      <w:tr>
        <w:trPr/>
        <w:tc>
          <w:tcPr>
            <w:tcW w:w="62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Columns may not calculate due to rounding.</w:t>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Other includes Gift and Payroll Card operating segments.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4"/>
              </w:rPr>
              <w:t>2</w:t>
            </w:r>
            <w:r>
              <w:rPr>
                <w:color w:val="000000"/>
              </w:rPr>
              <w:t xml:space="preserve"> </w:t>
            </w:r>
            <w:r>
              <w:rPr>
                <w:rFonts w:ascii="Times New Roman;sans-serif" w:hAnsi="Times New Roman;sans-serif"/>
                <w:b w:val="false"/>
                <w:color w:val="000000"/>
                <w:sz w:val="20"/>
              </w:rPr>
              <w:t>Revenues reflect an estimated $39 million negative impact from fuel prices and approximately $15 million negative impact from fuel price spreads, as well as $16 million positive impact due to movements in foreign exchange rates.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20" w:after="283"/>
        <w:jc w:val="left"/>
        <w:rPr/>
      </w:pPr>
      <w:r>
        <w:rPr>
          <w:rFonts w:ascii="Times New Roman;sans-serif" w:hAnsi="Times New Roman;sans-serif"/>
          <w:b/>
          <w:i/>
          <w:color w:val="000000"/>
          <w:sz w:val="20"/>
        </w:rPr>
        <w:t xml:space="preserve">Adjusted net income and adjusted net income per diluted share. </w:t>
      </w:r>
      <w:r>
        <w:rPr>
          <w:rFonts w:ascii="Times New Roman;sans-serif" w:hAnsi="Times New Roman;sans-serif"/>
          <w:b w:val="false"/>
          <w:color w:val="000000"/>
          <w:sz w:val="20"/>
        </w:rPr>
        <w:t>Set forth below is a reconciliation of adjusted net income and adjusted net income per diluted share to the most directly comparable GAAP measure, net income and net income per diluted share (in thousands, except per share amounts)*:</w:t>
      </w:r>
    </w:p>
    <w:p>
      <w:pPr>
        <w:pStyle w:val="TextBody"/>
        <w:bidi w:val="0"/>
        <w:spacing w:lineRule="auto" w:line="256" w:before="180" w:after="283"/>
        <w:jc w:val="center"/>
        <w:rPr>
          <w:color w:val="000000"/>
        </w:rPr>
      </w:pPr>
      <w:r>
        <w:rPr>
          <w:color w:val="000000"/>
        </w:rPr>
        <w:t> </w:t>
      </w:r>
    </w:p>
    <w:tbl>
      <w:tblPr>
        <w:tblW w:w="6719" w:type="dxa"/>
        <w:jc w:val="center"/>
        <w:tblInd w:w="0" w:type="dxa"/>
        <w:tblLayout w:type="fixed"/>
        <w:tblCellMar>
          <w:top w:w="28" w:type="dxa"/>
          <w:left w:w="28" w:type="dxa"/>
          <w:bottom w:w="28" w:type="dxa"/>
          <w:right w:w="28" w:type="dxa"/>
        </w:tblCellMar>
      </w:tblPr>
      <w:tblGrid>
        <w:gridCol w:w="1162"/>
        <w:gridCol w:w="1021"/>
        <w:gridCol w:w="1027"/>
        <w:gridCol w:w="109"/>
        <w:gridCol w:w="109"/>
        <w:gridCol w:w="109"/>
        <w:gridCol w:w="211"/>
        <w:gridCol w:w="976"/>
        <w:gridCol w:w="109"/>
        <w:gridCol w:w="109"/>
        <w:gridCol w:w="109"/>
        <w:gridCol w:w="109"/>
        <w:gridCol w:w="211"/>
        <w:gridCol w:w="976"/>
        <w:gridCol w:w="109"/>
        <w:gridCol w:w="109"/>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diluted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Amortization</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and deal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related and other costs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settlements/litigation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disposition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pre-tax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Income taxes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income per diluted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76,862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184" w:type="dxa"/>
        <w:jc w:val="center"/>
        <w:tblInd w:w="0" w:type="dxa"/>
        <w:tblLayout w:type="fixed"/>
        <w:tblCellMar>
          <w:top w:w="28" w:type="dxa"/>
          <w:left w:w="28" w:type="dxa"/>
          <w:bottom w:w="28" w:type="dxa"/>
          <w:right w:w="28" w:type="dxa"/>
        </w:tblCellMar>
      </w:tblPr>
      <w:tblGrid>
        <w:gridCol w:w="3256"/>
        <w:gridCol w:w="2866"/>
        <w:gridCol w:w="4062"/>
      </w:tblGrid>
      <w:tr>
        <w:trPr/>
        <w:tc>
          <w:tcPr>
            <w:tcW w:w="325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62" w:type="dxa"/>
            <w:tcBorders/>
            <w:vAlign w:val="center"/>
          </w:tcPr>
          <w:p>
            <w:pPr>
              <w:pStyle w:val="TableContents"/>
              <w:bidi w:val="0"/>
              <w:spacing w:before="0" w:after="283"/>
              <w:jc w:val="left"/>
              <w:rPr>
                <w:sz w:val="4"/>
                <w:szCs w:val="4"/>
              </w:rPr>
            </w:pPr>
            <w:r>
              <w:rPr>
                <w:sz w:val="4"/>
                <w:szCs w:val="4"/>
              </w:rPr>
            </w:r>
          </w:p>
        </w:tc>
      </w:tr>
      <w:tr>
        <w:trPr/>
        <w:tc>
          <w:tcPr>
            <w:tcW w:w="10184"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Includes amortization related to intangible assets, premium on receivables, deferred financing costs and debt discounts. </w:t>
            </w:r>
          </w:p>
        </w:tc>
      </w:tr>
      <w:tr>
        <w:trPr/>
        <w:tc>
          <w:tcPr>
            <w:tcW w:w="101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Includes impact of foreign currency transactions; prior amounts were not material for recast ($1.7 million loss for the year).</w:t>
            </w:r>
          </w:p>
        </w:tc>
      </w:tr>
      <w:tr>
        <w:trPr/>
        <w:tc>
          <w:tcPr>
            <w:tcW w:w="10184"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 xml:space="preserve">Includes $9 million adjustment for tax benefit of certain income determined to be permanently invested in Q2 2022. </w:t>
            </w:r>
          </w:p>
        </w:tc>
      </w:tr>
    </w:tbl>
    <w:p>
      <w:pPr>
        <w:pStyle w:val="TextBody"/>
        <w:bidi w:val="0"/>
        <w:spacing w:before="60" w:after="283"/>
        <w:jc w:val="left"/>
        <w:rPr/>
      </w:pPr>
      <w:r>
        <w:rPr/>
      </w:r>
    </w:p>
    <w:p>
      <w:pPr>
        <w:pStyle w:val="TextBody"/>
        <w:bidi w:val="0"/>
        <w:spacing w:lineRule="auto" w:line="268" w:before="60" w:after="283"/>
        <w:jc w:val="left"/>
        <w:rPr/>
      </w:pPr>
      <w:r>
        <w:rPr>
          <w:rFonts w:ascii="Times New Roman;sans-serif" w:hAnsi="Times New Roman;sans-serif"/>
          <w:b/>
          <w:i/>
          <w:color w:val="000000"/>
          <w:sz w:val="20"/>
        </w:rPr>
        <w:t xml:space="preserve">EBITDA and EBITDA margin. </w:t>
      </w:r>
      <w:r>
        <w:rPr>
          <w:rFonts w:ascii="Times New Roman;sans-serif" w:hAnsi="Times New Roman;sans-serif"/>
          <w:b w:val="false"/>
          <w:color w:val="000000"/>
          <w:sz w:val="20"/>
        </w:rPr>
        <w:t>EBITDA is defined as earnings before interest, income taxes, interest expense, net, other expense (income), depreciation and amortization, loss on extinguishment of debt, investment loss/gain and other operating, net. EBITDA margin is defined as EBITDA as a percentage of revenue.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EBITDA and EBITDA margin to net income (in millions)*:</w:t>
      </w:r>
    </w:p>
    <w:tbl>
      <w:tblPr>
        <w:tblW w:w="6206" w:type="dxa"/>
        <w:jc w:val="center"/>
        <w:tblInd w:w="0" w:type="dxa"/>
        <w:tblLayout w:type="fixed"/>
        <w:tblCellMar>
          <w:top w:w="28" w:type="dxa"/>
          <w:left w:w="28" w:type="dxa"/>
          <w:bottom w:w="28" w:type="dxa"/>
          <w:right w:w="28" w:type="dxa"/>
        </w:tblCellMar>
      </w:tblPr>
      <w:tblGrid>
        <w:gridCol w:w="972"/>
        <w:gridCol w:w="852"/>
        <w:gridCol w:w="860"/>
        <w:gridCol w:w="109"/>
        <w:gridCol w:w="109"/>
        <w:gridCol w:w="109"/>
        <w:gridCol w:w="109"/>
        <w:gridCol w:w="109"/>
        <w:gridCol w:w="109"/>
        <w:gridCol w:w="211"/>
        <w:gridCol w:w="766"/>
        <w:gridCol w:w="271"/>
        <w:gridCol w:w="109"/>
        <w:gridCol w:w="109"/>
        <w:gridCol w:w="109"/>
        <w:gridCol w:w="211"/>
        <w:gridCol w:w="766"/>
        <w:gridCol w:w="316"/>
      </w:tblGrid>
      <w:tr>
        <w:trPr/>
        <w:tc>
          <w:tcPr>
            <w:tcW w:w="97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(gain)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92929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92929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Columns may not calculate due to rounding.</w:t>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center"/>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bidi w:val="0"/>
        <w:spacing w:lineRule="auto" w:line="25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Earnings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international businesses expose us to foreign currency exchange rate changes that can impact translations of foreign-denominated assets and liabilities into U.S. dollars and future earnings and cash flows from transactions denominated in different currencies. Revenues from our international businesses were 43.2% and 38.9% of total revenues for the years ended December 31, 2023, and 2022, respectively. We measure foreign currency exchange risk based on changes in foreign currency exchange rates using a sensitivity analysis. The sensitivity analysis measures the potential change in earnings based on a hypothetical 10% change in currency exchange rates. Such analysis indicated that a hypothetical 10% change in foreign currency exchange rates would have increased or decreased consolidated operating income during the year ended December 31, 2023 by approximately $86.0 million had the U.S. dollar exchange rate increased or decreased relative to the currencies to which we had exposure. Similarly, the analysis for the prior year indicated that a hypothetical 10% change in currency exchange rates would have increased or decreased consolidated operating income for the years ended December 31, 2022 by approximately $68.4 million had the U.S. dollar exchange rate increased or decreased relative to the currencies to which we had exposure. </w:t>
      </w:r>
    </w:p>
    <w:p>
      <w:pPr>
        <w:pStyle w:val="TextBody"/>
        <w:bidi w:val="0"/>
        <w:spacing w:lineRule="auto" w:line="25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Unhedged Cross-Currency Risk</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our cross-border payment solutions, we have additional foreign exchange risk and associated foreign exchange risk management requirements due to the nature of our cross-border payments provider business. The majority of cross-border payments revenue is from exchanges of currency at spot rates, which enable customers to make cross-currency payments. In our cross-border payment solutions, we also write foreign currency forward and option contracts for customers to facilitate future payments. The duration of these derivative contracts at inception is generally less than one year. We aggregate foreign exchange exposures arising from customer contracts, including the derivative contracts described above, and hedge (economic hedge) the resulting net currency risks by entering into offsetting contracts with established financial institution counterparties. </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the risk of changing interest rates on our cash investments and on the unhedged portion of our variable rate debt. As of December 31, 2023, and 2022, we had $5.4 billion and $5.7 billion, respectively, of variable rate debt outstanding under our Credit Agreement. See Note 11 of the accompanying consolidated financial statements for information about the Credit Agreement. We use derivative financial instruments to reduce our exposure related to changes in interest rates. As of December 31, 2023, we had a number of receive-variable SOFR, pay-fixed interest rate swap derivative contracts with a cumulative notional U.S. dollar value of $4.0 billion. The objective of these contracts is to reduce the variability of cash flows in the previously unhedged interest payments associated with variable rate debt, the sole source of which is due to changes in SOFR benchmark interest rate. While these agreements are intended to lessen the impact of rising interest rates on us, they also expose us to the risk that the other parties to the agreements will not perform, we could incur significant costs associated with the settlement of the agreements, the agreements will be unenforceable and the underlying transactions will fail to qualify as highly-effective cash flow hedges under GAAP. See Note 16 of the accompanying consolidated financial statements for information about the swap contracts.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amounts and mix of our fixed and floating rate debt (exclusive of our Securitization Facility but inclusive of the aforementioned interest rate swaps) at December 31, 2023 and 2022, if market interest rates had increased or decreased an average of 100 basis points, our interest expense for the years ended December 31, 2023 and 2022 would have changed by approximately $14 million and $43 million, respectively. We determined these amounts by considering the impact of the hypothetical interest rates on our borrowing costs. These analyses do not consider the effects of changes in the level of overall economic activity that could exist in such an environment.</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Fuel price risk</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fleet customers use our products and services primarily in connection with the purchase of fuel. Accordingly, our revenue is affected by fuel prices, which are subject to significant volatility. A decline in retail fuel prices could cause a change in our revenue from several sources, including fees paid to us based on a percentage of each customer’s total purchase. Changes in the absolute price of fuel may also impact unpaid account balances and the late fees and charges based on these amounts. The impact of changes in fuel price is somewhat mitigated by our agreements with certain merchants, where the price paid to the merchant is equal to the lesser of the merchant’s cost plus a markup or a percentage of the transaction purchase price. We do not enter into any fuel price derivative instruments.</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Fuel price spread risk</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our merchant and network relationships, we derive revenue from the difference between the price charged to a fleet customer for a transaction and the price paid to the merchant or network for the same transaction. For certain of our payment products, the price paid to a merchant or network is calculated as the merchant’s wholesale cost of fuel plus a markup. The merchant’s wholesale cost of fuel is dependent on several factors including, among others, the factors described above affecting fuel prices. The fuel price that we charge to our customer is dependent on several factors including, among others, the fuel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 to the fuel merchant, posted retail fuel prices and competitive fuel prices. We experience fuel price spread contraction when the merchant’s wholesale cost of fuel increases at a faster rate than the fuel price we charge to our customers, or the fuel price we charge to our customers decreases at a faster rate than the merchant’s wholesale cost of fuel. Accordingly, if fuel price spreads contract, we may generate less revenue, which could adversely affect our operating results. The impact of volatility in fuel spreads is somewhat mitigated by our agreements with certain merchants, where the price paid to the merchant is equal to cost plus a markup or a percentage of the transaction purchase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CONSOLIDATED FINANCIAL STATEMENTS</w:t>
      </w:r>
    </w:p>
    <w:p>
      <w:pPr>
        <w:pStyle w:val="TextBody"/>
        <w:bidi w:val="0"/>
        <w:spacing w:lineRule="auto" w:line="288" w:before="0" w:after="0"/>
        <w:jc w:val="left"/>
        <w:rPr>
          <w:color w:val="000000"/>
        </w:rPr>
      </w:pPr>
      <w:r>
        <w:rPr>
          <w:color w:val="000000"/>
        </w:rPr>
        <w:t> </w:t>
      </w:r>
    </w:p>
    <w:tbl>
      <w:tblPr>
        <w:tblW w:w="9406" w:type="dxa"/>
        <w:jc w:val="left"/>
        <w:tblInd w:w="0" w:type="dxa"/>
        <w:tblLayout w:type="fixed"/>
        <w:tblCellMar>
          <w:top w:w="28" w:type="dxa"/>
          <w:left w:w="28" w:type="dxa"/>
          <w:bottom w:w="28" w:type="dxa"/>
          <w:right w:w="28" w:type="dxa"/>
        </w:tblCellMar>
      </w:tblPr>
      <w:tblGrid>
        <w:gridCol w:w="3220"/>
        <w:gridCol w:w="2830"/>
        <w:gridCol w:w="2845"/>
        <w:gridCol w:w="149"/>
        <w:gridCol w:w="149"/>
        <w:gridCol w:w="213"/>
      </w:tblGrid>
      <w:tr>
        <w:trPr/>
        <w:tc>
          <w:tcPr>
            <w:tcW w:w="3220"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u w:val="single"/>
              </w:rPr>
            </w:pPr>
            <w:r>
              <w:rPr>
                <w:rFonts w:ascii="Times New Roman;sans-serif" w:hAnsi="Times New Roman;sans-serif"/>
                <w:b/>
                <w:color w:val="000000"/>
                <w:sz w:val="16"/>
                <w:u w:val="single"/>
              </w:rPr>
              <w:t>Page</w:t>
            </w:r>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52">
              <w:r>
                <w:rPr>
                  <w:rStyle w:val="InternetLink"/>
                  <w:rFonts w:ascii="Times New Roman;sans-serif" w:hAnsi="Times New Roman;sans-serif"/>
                  <w:b w:val="false"/>
                  <w:strike w:val="false"/>
                  <w:dstrike w:val="false"/>
                  <w:color w:val="3051F2"/>
                  <w:sz w:val="20"/>
                  <w:u w:val="none"/>
                  <w:effect w:val="none"/>
                </w:rPr>
                <w:t xml:space="preserve">Report of Independent Registered Public Accounting Firm (PCAOB ID: </w:t>
              </w:r>
            </w:hyperlink>
            <w:r>
              <w:rPr>
                <w:rFonts w:ascii="Times New Roman;sans-serif" w:hAnsi="Times New Roman;sans-serif"/>
                <w:b w:val="false"/>
                <w:color w:val="3051F2"/>
                <w:sz w:val="20"/>
              </w:rPr>
              <w:t>42</w:t>
            </w:r>
            <w:hyperlink w:anchor="i8f5174e18a84453e86a7ae640d3d9ca6_52">
              <w:r>
                <w:rPr>
                  <w:rStyle w:val="InternetLink"/>
                  <w:rFonts w:ascii="Times New Roman;sans-serif" w:hAnsi="Times New Roman;sans-serif"/>
                  <w:b w:val="false"/>
                  <w:strike w:val="false"/>
                  <w:dstrike w:val="false"/>
                  <w:color w:val="3051F2"/>
                  <w:sz w:val="20"/>
                  <w:u w:val="none"/>
                  <w:effect w:val="none"/>
                </w:rPr>
                <w: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52">
              <w:r>
                <w:rPr>
                  <w:rStyle w:val="InternetLink"/>
                  <w:rFonts w:ascii="Times New Roman;sans-serif" w:hAnsi="Times New Roman;sans-serif"/>
                  <w:b w:val="false"/>
                  <w:strike w:val="false"/>
                  <w:dstrike w:val="false"/>
                  <w:color w:val="000000"/>
                  <w:sz w:val="20"/>
                  <w:u w:val="none"/>
                  <w:effect w:val="none"/>
                </w:rPr>
                <w:t>59</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55">
              <w:r>
                <w:rPr>
                  <w:rStyle w:val="InternetLink"/>
                  <w:rFonts w:ascii="Times New Roman;sans-serif" w:hAnsi="Times New Roman;sans-serif"/>
                  <w:b w:val="false"/>
                  <w:strike w:val="false"/>
                  <w:dstrike w:val="false"/>
                  <w:color w:val="3051F2"/>
                  <w:sz w:val="20"/>
                  <w:u w:val="none"/>
                  <w:effect w:val="none"/>
                </w:rPr>
                <w:t xml:space="preserve">Consolidated Balance Sheets at December 31, </w:t>
              </w:r>
            </w:hyperlink>
            <w:r>
              <w:rPr>
                <w:rFonts w:ascii="Times New Roman;sans-serif" w:hAnsi="Times New Roman;sans-serif"/>
                <w:b w:val="false"/>
                <w:color w:val="3051F2"/>
                <w:sz w:val="20"/>
              </w:rPr>
              <w:t>2023</w:t>
            </w:r>
            <w:hyperlink w:anchor="i8f5174e18a84453e86a7ae640d3d9ca6_55">
              <w:r>
                <w:rPr>
                  <w:rStyle w:val="InternetLink"/>
                  <w:rFonts w:ascii="Times New Roman;sans-serif" w:hAnsi="Times New Roman;sans-serif"/>
                  <w:b w:val="false"/>
                  <w:strike w:val="false"/>
                  <w:dstrike w:val="false"/>
                  <w:color w:val="3051F2"/>
                  <w:sz w:val="20"/>
                  <w:u w:val="none"/>
                  <w:effect w:val="none"/>
                </w:rPr>
                <w:t xml:space="preserve"> and </w:t>
              </w:r>
            </w:hyperlink>
            <w:r>
              <w:rPr>
                <w:rFonts w:ascii="Times New Roman;sans-serif" w:hAnsi="Times New Roman;sans-serif"/>
                <w:b w:val="false"/>
                <w:color w:val="3051F2"/>
                <w:sz w:val="20"/>
              </w:rPr>
              <w:t>2022</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55">
              <w:r>
                <w:rPr>
                  <w:rStyle w:val="InternetLink"/>
                  <w:rFonts w:ascii="Times New Roman;sans-serif" w:hAnsi="Times New Roman;sans-serif"/>
                  <w:b w:val="false"/>
                  <w:strike w:val="false"/>
                  <w:dstrike w:val="false"/>
                  <w:color w:val="000000"/>
                  <w:sz w:val="20"/>
                  <w:u w:val="none"/>
                  <w:effect w:val="none"/>
                </w:rPr>
                <w:t>61</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58">
              <w:r>
                <w:rPr>
                  <w:rStyle w:val="InternetLink"/>
                  <w:rFonts w:ascii="Times New Roman;sans-serif" w:hAnsi="Times New Roman;sans-serif"/>
                  <w:b w:val="false"/>
                  <w:strike w:val="false"/>
                  <w:dstrike w:val="false"/>
                  <w:color w:val="3051F2"/>
                  <w:sz w:val="20"/>
                  <w:u w:val="none"/>
                  <w:effect w:val="none"/>
                </w:rPr>
                <w:t xml:space="preserve">Consolidated Statements of Income for the Years Ended December 31, </w:t>
              </w:r>
            </w:hyperlink>
            <w:r>
              <w:rPr>
                <w:rFonts w:ascii="Times New Roman;sans-serif" w:hAnsi="Times New Roman;sans-serif"/>
                <w:b w:val="false"/>
                <w:color w:val="3051F2"/>
                <w:sz w:val="20"/>
              </w:rPr>
              <w:t>2023</w:t>
            </w:r>
            <w:hyperlink w:anchor="i8f5174e18a84453e86a7ae640d3d9ca6_58">
              <w:r>
                <w:rPr>
                  <w:rStyle w:val="InternetLink"/>
                  <w:rFonts w:ascii="Times New Roman;sans-serif" w:hAnsi="Times New Roman;sans-serif"/>
                  <w:b w:val="false"/>
                  <w:strike w:val="false"/>
                  <w:dstrike w:val="false"/>
                  <w:color w:val="3051F2"/>
                  <w:sz w:val="20"/>
                  <w:u w:val="none"/>
                  <w:effect w:val="none"/>
                </w:rPr>
                <w:t xml:space="preserve">, </w:t>
              </w:r>
            </w:hyperlink>
            <w:r>
              <w:rPr>
                <w:rFonts w:ascii="Times New Roman;sans-serif" w:hAnsi="Times New Roman;sans-serif"/>
                <w:b w:val="false"/>
                <w:color w:val="3051F2"/>
                <w:sz w:val="20"/>
              </w:rPr>
              <w:t>2022</w:t>
            </w:r>
            <w:hyperlink w:anchor="i8f5174e18a84453e86a7ae640d3d9ca6_58">
              <w:r>
                <w:rPr>
                  <w:rStyle w:val="InternetLink"/>
                  <w:rFonts w:ascii="Times New Roman;sans-serif" w:hAnsi="Times New Roman;sans-serif"/>
                  <w:b w:val="false"/>
                  <w:strike w:val="false"/>
                  <w:dstrike w:val="false"/>
                  <w:color w:val="3051F2"/>
                  <w:sz w:val="20"/>
                  <w:u w:val="none"/>
                  <w:effect w:val="none"/>
                </w:rPr>
                <w:t xml:space="preserve"> and </w:t>
              </w:r>
            </w:hyperlink>
            <w:r>
              <w:rPr>
                <w:rFonts w:ascii="Times New Roman;sans-serif" w:hAnsi="Times New Roman;sans-serif"/>
                <w:b w:val="false"/>
                <w:color w:val="3051F2"/>
                <w:sz w:val="20"/>
              </w:rPr>
              <w:t>2021</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58">
              <w:r>
                <w:rPr>
                  <w:rStyle w:val="InternetLink"/>
                  <w:rFonts w:ascii="Times New Roman;sans-serif" w:hAnsi="Times New Roman;sans-serif"/>
                  <w:b w:val="false"/>
                  <w:strike w:val="false"/>
                  <w:dstrike w:val="false"/>
                  <w:color w:val="000000"/>
                  <w:sz w:val="20"/>
                  <w:u w:val="none"/>
                  <w:effect w:val="none"/>
                </w:rPr>
                <w:t>62</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61">
              <w:r>
                <w:rPr>
                  <w:rStyle w:val="InternetLink"/>
                  <w:rFonts w:ascii="Times New Roman;sans-serif" w:hAnsi="Times New Roman;sans-serif"/>
                  <w:b w:val="false"/>
                  <w:strike w:val="false"/>
                  <w:dstrike w:val="false"/>
                  <w:color w:val="3051F2"/>
                  <w:sz w:val="20"/>
                  <w:u w:val="none"/>
                  <w:effect w:val="none"/>
                </w:rPr>
                <w:t xml:space="preserve">Consolidated Statements of Comprehensive Income for the Years Ended December 31, </w:t>
              </w:r>
            </w:hyperlink>
            <w:r>
              <w:rPr>
                <w:rFonts w:ascii="Times New Roman;sans-serif" w:hAnsi="Times New Roman;sans-serif"/>
                <w:b w:val="false"/>
                <w:color w:val="3051F2"/>
                <w:sz w:val="20"/>
              </w:rPr>
              <w:t>2023</w:t>
            </w:r>
            <w:hyperlink w:anchor="i8f5174e18a84453e86a7ae640d3d9ca6_61">
              <w:r>
                <w:rPr>
                  <w:rStyle w:val="InternetLink"/>
                  <w:rFonts w:ascii="Times New Roman;sans-serif" w:hAnsi="Times New Roman;sans-serif"/>
                  <w:b w:val="false"/>
                  <w:strike w:val="false"/>
                  <w:dstrike w:val="false"/>
                  <w:color w:val="3051F2"/>
                  <w:sz w:val="20"/>
                  <w:u w:val="none"/>
                  <w:effect w:val="none"/>
                </w:rPr>
                <w:t xml:space="preserve">, </w:t>
              </w:r>
            </w:hyperlink>
            <w:r>
              <w:rPr>
                <w:rFonts w:ascii="Times New Roman;sans-serif" w:hAnsi="Times New Roman;sans-serif"/>
                <w:b w:val="false"/>
                <w:color w:val="3051F2"/>
                <w:sz w:val="20"/>
              </w:rPr>
              <w:t>2022</w:t>
            </w:r>
            <w:hyperlink w:anchor="i8f5174e18a84453e86a7ae640d3d9ca6_61">
              <w:r>
                <w:rPr>
                  <w:rStyle w:val="InternetLink"/>
                  <w:rFonts w:ascii="Times New Roman;sans-serif" w:hAnsi="Times New Roman;sans-serif"/>
                  <w:b w:val="false"/>
                  <w:strike w:val="false"/>
                  <w:dstrike w:val="false"/>
                  <w:color w:val="3051F2"/>
                  <w:sz w:val="20"/>
                  <w:u w:val="none"/>
                  <w:effect w:val="none"/>
                </w:rPr>
                <w:t xml:space="preserve"> and </w:t>
              </w:r>
            </w:hyperlink>
            <w:r>
              <w:rPr>
                <w:rFonts w:ascii="Times New Roman;sans-serif" w:hAnsi="Times New Roman;sans-serif"/>
                <w:b w:val="false"/>
                <w:color w:val="3051F2"/>
                <w:sz w:val="20"/>
              </w:rPr>
              <w:t>2021</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61">
              <w:r>
                <w:rPr>
                  <w:rStyle w:val="InternetLink"/>
                  <w:rFonts w:ascii="Times New Roman;sans-serif" w:hAnsi="Times New Roman;sans-serif"/>
                  <w:b w:val="false"/>
                  <w:strike w:val="false"/>
                  <w:dstrike w:val="false"/>
                  <w:color w:val="000000"/>
                  <w:sz w:val="20"/>
                  <w:u w:val="none"/>
                  <w:effect w:val="none"/>
                </w:rPr>
                <w:t>63</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64">
              <w:r>
                <w:rPr>
                  <w:rStyle w:val="InternetLink"/>
                  <w:rFonts w:ascii="Times New Roman;sans-serif" w:hAnsi="Times New Roman;sans-serif"/>
                  <w:b w:val="false"/>
                  <w:strike w:val="false"/>
                  <w:dstrike w:val="false"/>
                  <w:color w:val="3051F2"/>
                  <w:sz w:val="20"/>
                  <w:u w:val="none"/>
                  <w:effect w:val="none"/>
                </w:rPr>
                <w:t xml:space="preserve">Consolidated Statements of Stockholders’ Equity for the Years Ended December 31, </w:t>
              </w:r>
            </w:hyperlink>
            <w:r>
              <w:rPr>
                <w:rFonts w:ascii="Times New Roman;sans-serif" w:hAnsi="Times New Roman;sans-serif"/>
                <w:b w:val="false"/>
                <w:color w:val="3051F2"/>
                <w:sz w:val="20"/>
              </w:rPr>
              <w:t>2023</w:t>
            </w:r>
            <w:hyperlink w:anchor="i8f5174e18a84453e86a7ae640d3d9ca6_64">
              <w:r>
                <w:rPr>
                  <w:rStyle w:val="InternetLink"/>
                  <w:rFonts w:ascii="Times New Roman;sans-serif" w:hAnsi="Times New Roman;sans-serif"/>
                  <w:b w:val="false"/>
                  <w:strike w:val="false"/>
                  <w:dstrike w:val="false"/>
                  <w:color w:val="3051F2"/>
                  <w:sz w:val="20"/>
                  <w:u w:val="none"/>
                  <w:effect w:val="none"/>
                </w:rPr>
                <w:t xml:space="preserve">, </w:t>
              </w:r>
            </w:hyperlink>
            <w:r>
              <w:rPr>
                <w:rFonts w:ascii="Times New Roman;sans-serif" w:hAnsi="Times New Roman;sans-serif"/>
                <w:b w:val="false"/>
                <w:color w:val="3051F2"/>
                <w:sz w:val="20"/>
              </w:rPr>
              <w:t>2022</w:t>
            </w:r>
            <w:hyperlink w:anchor="i8f5174e18a84453e86a7ae640d3d9ca6_64">
              <w:r>
                <w:rPr>
                  <w:rStyle w:val="InternetLink"/>
                  <w:rFonts w:ascii="Times New Roman;sans-serif" w:hAnsi="Times New Roman;sans-serif"/>
                  <w:b w:val="false"/>
                  <w:strike w:val="false"/>
                  <w:dstrike w:val="false"/>
                  <w:color w:val="3051F2"/>
                  <w:sz w:val="20"/>
                  <w:u w:val="none"/>
                  <w:effect w:val="none"/>
                </w:rPr>
                <w:t xml:space="preserve"> and </w:t>
              </w:r>
            </w:hyperlink>
            <w:r>
              <w:rPr>
                <w:rFonts w:ascii="Times New Roman;sans-serif" w:hAnsi="Times New Roman;sans-serif"/>
                <w:b w:val="false"/>
                <w:color w:val="3051F2"/>
                <w:sz w:val="20"/>
              </w:rPr>
              <w:t>2021</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64">
              <w:r>
                <w:rPr>
                  <w:rStyle w:val="InternetLink"/>
                  <w:rFonts w:ascii="Times New Roman;sans-serif" w:hAnsi="Times New Roman;sans-serif"/>
                  <w:b w:val="false"/>
                  <w:strike w:val="false"/>
                  <w:dstrike w:val="false"/>
                  <w:color w:val="000000"/>
                  <w:sz w:val="20"/>
                  <w:u w:val="none"/>
                  <w:effect w:val="none"/>
                </w:rPr>
                <w:t>64</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67">
              <w:r>
                <w:rPr>
                  <w:rStyle w:val="InternetLink"/>
                  <w:rFonts w:ascii="Times New Roman;sans-serif" w:hAnsi="Times New Roman;sans-serif"/>
                  <w:b w:val="false"/>
                  <w:strike w:val="false"/>
                  <w:dstrike w:val="false"/>
                  <w:color w:val="3051F2"/>
                  <w:sz w:val="20"/>
                  <w:u w:val="none"/>
                  <w:effect w:val="none"/>
                </w:rPr>
                <w:t xml:space="preserve">Consolidated Statements of Cash Flows for the Years Ended December 31, </w:t>
              </w:r>
            </w:hyperlink>
            <w:r>
              <w:rPr>
                <w:rFonts w:ascii="Times New Roman;sans-serif" w:hAnsi="Times New Roman;sans-serif"/>
                <w:b w:val="false"/>
                <w:color w:val="3051F2"/>
                <w:sz w:val="20"/>
              </w:rPr>
              <w:t>2023</w:t>
            </w:r>
            <w:hyperlink w:anchor="i8f5174e18a84453e86a7ae640d3d9ca6_67">
              <w:r>
                <w:rPr>
                  <w:rStyle w:val="InternetLink"/>
                  <w:rFonts w:ascii="Times New Roman;sans-serif" w:hAnsi="Times New Roman;sans-serif"/>
                  <w:b w:val="false"/>
                  <w:strike w:val="false"/>
                  <w:dstrike w:val="false"/>
                  <w:color w:val="3051F2"/>
                  <w:sz w:val="20"/>
                  <w:u w:val="none"/>
                  <w:effect w:val="none"/>
                </w:rPr>
                <w:t xml:space="preserve">, </w:t>
              </w:r>
            </w:hyperlink>
            <w:r>
              <w:rPr>
                <w:rFonts w:ascii="Times New Roman;sans-serif" w:hAnsi="Times New Roman;sans-serif"/>
                <w:b w:val="false"/>
                <w:color w:val="3051F2"/>
                <w:sz w:val="20"/>
              </w:rPr>
              <w:t>2022</w:t>
            </w:r>
            <w:hyperlink w:anchor="i8f5174e18a84453e86a7ae640d3d9ca6_67">
              <w:r>
                <w:rPr>
                  <w:rStyle w:val="InternetLink"/>
                  <w:rFonts w:ascii="Times New Roman;sans-serif" w:hAnsi="Times New Roman;sans-serif"/>
                  <w:b w:val="false"/>
                  <w:strike w:val="false"/>
                  <w:dstrike w:val="false"/>
                  <w:color w:val="3051F2"/>
                  <w:sz w:val="20"/>
                  <w:u w:val="none"/>
                  <w:effect w:val="none"/>
                </w:rPr>
                <w:t xml:space="preserve"> and </w:t>
              </w:r>
            </w:hyperlink>
            <w:r>
              <w:rPr>
                <w:rFonts w:ascii="Times New Roman;sans-serif" w:hAnsi="Times New Roman;sans-serif"/>
                <w:b w:val="false"/>
                <w:color w:val="3051F2"/>
                <w:sz w:val="20"/>
              </w:rPr>
              <w:t>2021</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67">
              <w:r>
                <w:rPr>
                  <w:rStyle w:val="InternetLink"/>
                  <w:rFonts w:ascii="Times New Roman;sans-serif" w:hAnsi="Times New Roman;sans-serif"/>
                  <w:b w:val="false"/>
                  <w:strike w:val="false"/>
                  <w:dstrike w:val="false"/>
                  <w:color w:val="000000"/>
                  <w:sz w:val="20"/>
                  <w:u w:val="none"/>
                  <w:effect w:val="none"/>
                </w:rPr>
                <w:t>65</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70">
              <w:r>
                <w:rPr>
                  <w:rStyle w:val="InternetLink"/>
                  <w:rFonts w:ascii="Times New Roman;sans-serif" w:hAnsi="Times New Roman;sans-serif"/>
                  <w:b w:val="false"/>
                  <w:strike w:val="false"/>
                  <w:dstrike w:val="false"/>
                  <w:color w:val="3051F2"/>
                  <w:sz w:val="20"/>
                  <w:u w:val="none"/>
                  <w:effect w:val="none"/>
                </w:rPr>
                <w:t>Notes to 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70">
              <w:r>
                <w:rPr>
                  <w:rStyle w:val="InternetLink"/>
                  <w:rFonts w:ascii="Times New Roman;sans-serif" w:hAnsi="Times New Roman;sans-serif"/>
                  <w:b w:val="false"/>
                  <w:strike w:val="false"/>
                  <w:dstrike w:val="false"/>
                  <w:color w:val="000000"/>
                  <w:sz w:val="20"/>
                  <w:u w:val="none"/>
                  <w:effect w:val="none"/>
                </w:rPr>
                <w:t>66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FLEETCOR Technologies, Inc. and Subsidiaries</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Opinion on the Financial Statements </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FLEETCOR Technologies, Inc. and subsidiaries (the Company) as of December 31, 2023 and 2022, the related consolidated statements of income, comprehensive income,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29, 2024 expressed an adverse opinion thereon.</w:t>
      </w:r>
    </w:p>
    <w:p>
      <w:pPr>
        <w:pStyle w:val="TextBody"/>
        <w:bidi w:val="0"/>
        <w:spacing w:lineRule="auto" w:line="268" w:before="18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435"/>
        <w:gridCol w:w="383"/>
        <w:gridCol w:w="385"/>
        <w:gridCol w:w="109"/>
        <w:gridCol w:w="109"/>
        <w:gridCol w:w="109"/>
        <w:gridCol w:w="2716"/>
        <w:gridCol w:w="2469"/>
        <w:gridCol w:w="3490"/>
      </w:tblGrid>
      <w:tr>
        <w:trPr/>
        <w:tc>
          <w:tcPr>
            <w:tcW w:w="4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3490"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20"/>
              </w:rPr>
            </w:pPr>
            <w:r>
              <w:rPr>
                <w:rFonts w:ascii="Times New Roman;sans-serif" w:hAnsi="Times New Roman;sans-serif"/>
                <w:b/>
                <w:i/>
                <w:color w:val="000000"/>
                <w:sz w:val="20"/>
              </w:rPr>
              <w:t>Valuation of goodwill</w:t>
            </w:r>
          </w:p>
        </w:tc>
      </w:tr>
      <w:tr>
        <w:trPr/>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5" w:type="dxa"/>
            <w:gridSpan w:val="3"/>
            <w:tcBorders/>
            <w:tcMar>
              <w:top w:w="0" w:type="dxa"/>
              <w:left w:w="0" w:type="dxa"/>
              <w:bottom w:w="0" w:type="dxa"/>
              <w:right w:w="0" w:type="dxa"/>
            </w:tcMar>
            <w:vAlign w:val="center"/>
          </w:tcPr>
          <w:p>
            <w:pPr>
              <w:pStyle w:val="TableContents"/>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31, 2023, the Company’s goodwill was $5.6 billion. As discussed in Note 2 to the consolidated financial statements, the Company completes an impairment test of goodwill at the reporting unit level at least annually or more frequently if facts and circumstances indicate that goodwill might be impaired. For a reporting unit in which the Company concludes, based on a qualitative assessment, that it is more likely than not that the fair value of the reporting unit is less than its carrying amount (or if the Company elects to not perform the qualitative assessment), the Company performs a quantitative impairment test, which involves estimating the fair value of the reporting unit which is measured based upon, among other factors, a discounted cash flow analysis, as well as market multiples for comparable companies.</w:t>
            </w:r>
          </w:p>
          <w:p>
            <w:pPr>
              <w:pStyle w:val="TableContents"/>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Auditing the Company's estimate of reporting unit fair value involved a high degree of subjectivity as estimates underlying the determination of reporting unit fair value using the discounted cash flow model were based on significant assumptions that are sensitive to change and are affected by expected future market and economic conditions. These assumptions included forecasts for Revenue, net, Earnings before Interest Taxes Depreciation and Amortization (EBITDA), and long-term growth rates as well as the discount rates, which reflected risk-based factors based on the reporting units’ geographical location and business risk.</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42"/>
        <w:gridCol w:w="389"/>
        <w:gridCol w:w="390"/>
        <w:gridCol w:w="109"/>
        <w:gridCol w:w="109"/>
        <w:gridCol w:w="109"/>
        <w:gridCol w:w="2534"/>
        <w:gridCol w:w="2534"/>
        <w:gridCol w:w="3589"/>
      </w:tblGrid>
      <w:tr>
        <w:trPr/>
        <w:tc>
          <w:tcPr>
            <w:tcW w:w="44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3589" w:type="dxa"/>
            <w:tcBorders/>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controls over the Company’s goodwill impairment review process, including controls over management’s review of the significant assumptions described above. For example, we tested controls over management’s review of a quantitatively tested reporting units’ long-term growth rate and discount rate used in the determination of said reporting unit's estimated fair value.</w:t>
            </w:r>
          </w:p>
          <w:p>
            <w:pPr>
              <w:pStyle w:val="TableContents"/>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test the estimated fair value of a quantitatively tested reporting unit, our audit procedures included, among others, assessing the methodologies used by the Company and testing the significant assumptions discussed above, inclusive of the underlying data used by the Company in its development of these assumptions. We involved our valuation specialists to assist us with these procedures. Our valuation specialists evaluated management’s estimation of the discount rate used in a reporting unit's fair value calculation, performed a comparison of market multiples to observable transactions, and independently recalculated the discount rate used. We also compared earnings forecasts to historical results, to current industry and economic trends, and performed sensitivity analyses of the significant assumptions to evaluate the changes in the fair value of a reporting unit that would result from changes in the significant assumptions.</w:t>
            </w:r>
          </w:p>
        </w:tc>
      </w:tr>
    </w:tbl>
    <w:p>
      <w:pPr>
        <w:pStyle w:val="TextBody"/>
        <w:bidi w:val="0"/>
        <w:spacing w:before="180" w:after="283"/>
        <w:jc w:val="left"/>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2002.</w:t>
      </w:r>
    </w:p>
    <w:p>
      <w:pPr>
        <w:pStyle w:val="TextBody"/>
        <w:bidi w:val="0"/>
        <w:spacing w:before="180" w:after="283"/>
        <w:jc w:val="left"/>
        <w:rPr/>
      </w:pPr>
      <w:r>
        <w:rPr/>
      </w:r>
    </w:p>
    <w:p>
      <w:pPr>
        <w:pStyle w:val="TextBody"/>
        <w:bidi w:val="0"/>
        <w:spacing w:lineRule="auto" w:line="256"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Atlanta, Georgia</w:t>
      </w:r>
    </w:p>
    <w:p>
      <w:pPr>
        <w:pStyle w:val="TextBody"/>
        <w:bidi w:val="0"/>
        <w:spacing w:lineRule="auto" w:line="256" w:before="6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February 29, 2024</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FLEETCOR Technologies,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Balance Sheets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Par Value Amounts)</w:t>
      </w:r>
    </w:p>
    <w:tbl>
      <w:tblPr>
        <w:tblW w:w="10205" w:type="dxa"/>
        <w:jc w:val="center"/>
        <w:tblInd w:w="0" w:type="dxa"/>
        <w:tblLayout w:type="fixed"/>
        <w:tblCellMar>
          <w:top w:w="28" w:type="dxa"/>
          <w:left w:w="28" w:type="dxa"/>
          <w:bottom w:w="28" w:type="dxa"/>
          <w:right w:w="28" w:type="dxa"/>
        </w:tblCellMar>
      </w:tblPr>
      <w:tblGrid>
        <w:gridCol w:w="2604"/>
        <w:gridCol w:w="2081"/>
        <w:gridCol w:w="2017"/>
        <w:gridCol w:w="109"/>
        <w:gridCol w:w="109"/>
        <w:gridCol w:w="109"/>
        <w:gridCol w:w="211"/>
        <w:gridCol w:w="1081"/>
        <w:gridCol w:w="109"/>
        <w:gridCol w:w="109"/>
        <w:gridCol w:w="109"/>
        <w:gridCol w:w="109"/>
        <w:gridCol w:w="211"/>
        <w:gridCol w:w="1081"/>
        <w:gridCol w:w="156"/>
      </w:tblGrid>
      <w:tr>
        <w:trPr/>
        <w:tc>
          <w:tcPr>
            <w:tcW w:w="2604"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7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1,435,163 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other receivables (less allowance for credit losses of $180,163 at December 31, 2023 and $149,846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2,064,745 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Securitized accounts receivable—restricted for securitization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7,084,265 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6,106,152 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6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5,201,435 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2,130,974 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15,476,252 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14,089,260 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1,568,942 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1,505,004 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notes payable and lines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1,027,056 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6,043,455 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and other obligations,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4,722,838 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5,504,312 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shd w:fill="FFFFFF" w:val="clear"/>
              </w:rPr>
              <w:t>Common stock, $0.001 par value; 475,000,000 shares authorize</w:t>
            </w:r>
            <w:r>
              <w:rPr>
                <w:rFonts w:ascii="Times New Roman;sans-serif" w:hAnsi="Times New Roman;sans-serif"/>
                <w:b w:val="false"/>
                <w:color w:val="000000"/>
                <w:sz w:val="20"/>
              </w:rPr>
              <w:t>d; 128,759,639 s</w:t>
            </w:r>
            <w:r>
              <w:rPr>
                <w:rFonts w:ascii="Times New Roman;sans-serif" w:hAnsi="Times New Roman;sans-serif"/>
                <w:b w:val="false"/>
                <w:color w:val="000000"/>
                <w:sz w:val="20"/>
                <w:shd w:fill="FFFFFF" w:val="clear"/>
              </w:rPr>
              <w:t>hares issued a</w:t>
            </w:r>
            <w:r>
              <w:rPr>
                <w:rFonts w:ascii="Times New Roman;sans-serif" w:hAnsi="Times New Roman;sans-serif"/>
                <w:b w:val="false"/>
                <w:color w:val="000000"/>
                <w:sz w:val="20"/>
              </w:rPr>
              <w:t>nd 71,715,804 s</w:t>
            </w:r>
            <w:r>
              <w:rPr>
                <w:rFonts w:ascii="Times New Roman;sans-serif" w:hAnsi="Times New Roman;sans-serif"/>
                <w:b w:val="false"/>
                <w:color w:val="000000"/>
                <w:sz w:val="20"/>
                <w:shd w:fill="FFFFFF" w:val="clear"/>
              </w:rPr>
              <w:t xml:space="preserve">hares outstanding at December 31, 2023; and 127,802,590 shares </w:t>
            </w:r>
            <w:r>
              <w:rPr>
                <w:rFonts w:ascii="Times New Roman;sans-serif" w:hAnsi="Times New Roman;sans-serif"/>
                <w:b w:val="false"/>
                <w:color w:val="000000"/>
                <w:sz w:val="20"/>
              </w:rPr>
              <w:t>issued and 73,356,709 shares outstanding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3,049,570 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8,192,659 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7,210,769 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(1,509,650)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shd w:fill="FFFFFF" w:val="clear"/>
              </w:rPr>
              <w:t>Less treasury s</w:t>
            </w:r>
            <w:r>
              <w:rPr>
                <w:rFonts w:ascii="Times New Roman;sans-serif" w:hAnsi="Times New Roman;sans-serif"/>
                <w:b w:val="false"/>
                <w:color w:val="000000"/>
                <w:sz w:val="20"/>
              </w:rPr>
              <w:t>tock (57,043,835 shares and 54,445,881 shares at December 31, 2023 and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(6,209,324)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2,541,493 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15,476,252 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14,089,260 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2220" w:type="dxa"/>
        <w:jc w:val="center"/>
        <w:tblInd w:w="0" w:type="dxa"/>
        <w:tblLayout w:type="fixed"/>
        <w:tblCellMar>
          <w:top w:w="28" w:type="dxa"/>
          <w:left w:w="28" w:type="dxa"/>
          <w:bottom w:w="28" w:type="dxa"/>
          <w:right w:w="28" w:type="dxa"/>
        </w:tblCellMar>
      </w:tblPr>
      <w:tblGrid>
        <w:gridCol w:w="710"/>
        <w:gridCol w:w="624"/>
        <w:gridCol w:w="886"/>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FLEETCOR Technologies,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Income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Amounts)</w:t>
      </w:r>
    </w:p>
    <w:p>
      <w:pPr>
        <w:pStyle w:val="TextBody"/>
        <w:bidi w:val="0"/>
        <w:spacing w:lineRule="auto" w:line="288" w:before="0" w:after="0"/>
        <w:jc w:val="left"/>
        <w:rPr>
          <w:color w:val="000000"/>
        </w:rPr>
      </w:pPr>
      <w:r>
        <w:rPr>
          <w:color w:val="000000"/>
        </w:rPr>
        <w:t> </w:t>
      </w:r>
    </w:p>
    <w:tbl>
      <w:tblPr>
        <w:tblW w:w="8124" w:type="dxa"/>
        <w:jc w:val="left"/>
        <w:tblInd w:w="0" w:type="dxa"/>
        <w:tblLayout w:type="fixed"/>
        <w:tblCellMar>
          <w:top w:w="28" w:type="dxa"/>
          <w:left w:w="28" w:type="dxa"/>
          <w:bottom w:w="28" w:type="dxa"/>
          <w:right w:w="28" w:type="dxa"/>
        </w:tblCellMar>
      </w:tblPr>
      <w:tblGrid>
        <w:gridCol w:w="1220"/>
        <w:gridCol w:w="994"/>
        <w:gridCol w:w="996"/>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2,833,736 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1,242,556 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(gain)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1,108,808 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per share: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76,862 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84,061 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220" w:type="dxa"/>
        <w:jc w:val="left"/>
        <w:tblInd w:w="0" w:type="dxa"/>
        <w:tblLayout w:type="fixed"/>
        <w:tblCellMar>
          <w:top w:w="28" w:type="dxa"/>
          <w:left w:w="28" w:type="dxa"/>
          <w:bottom w:w="28" w:type="dxa"/>
          <w:right w:w="28" w:type="dxa"/>
        </w:tblCellMar>
      </w:tblPr>
      <w:tblGrid>
        <w:gridCol w:w="710"/>
        <w:gridCol w:w="624"/>
        <w:gridCol w:w="886"/>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40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tc>
      </w:tr>
    </w:tbl>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FLEETCOR Technologies,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Comprehensive Income</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051"/>
        <w:gridCol w:w="1761"/>
        <w:gridCol w:w="1778"/>
        <w:gridCol w:w="109"/>
        <w:gridCol w:w="109"/>
        <w:gridCol w:w="109"/>
        <w:gridCol w:w="211"/>
        <w:gridCol w:w="976"/>
        <w:gridCol w:w="109"/>
        <w:gridCol w:w="109"/>
        <w:gridCol w:w="109"/>
        <w:gridCol w:w="109"/>
        <w:gridCol w:w="211"/>
        <w:gridCol w:w="826"/>
        <w:gridCol w:w="109"/>
        <w:gridCol w:w="109"/>
        <w:gridCol w:w="109"/>
        <w:gridCol w:w="109"/>
        <w:gridCol w:w="211"/>
        <w:gridCol w:w="826"/>
        <w:gridCol w:w="155"/>
      </w:tblGrid>
      <w:tr>
        <w:trPr/>
        <w:tc>
          <w:tcPr>
            <w:tcW w:w="205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5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gains (losses),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accumulated foreign currency translation losses to net income as a result of the sale of a foreign entity (see Note 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derivative contracts,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738,039 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FLEETCOR Technologies,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Consolidated Statements of Stockholders’ Equity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0654" w:type="dxa"/>
        <w:jc w:val="left"/>
        <w:tblInd w:w="0" w:type="dxa"/>
        <w:tblLayout w:type="fixed"/>
        <w:tblCellMar>
          <w:top w:w="28" w:type="dxa"/>
          <w:left w:w="28" w:type="dxa"/>
          <w:bottom w:w="28" w:type="dxa"/>
          <w:right w:w="28" w:type="dxa"/>
        </w:tblCellMar>
      </w:tblPr>
      <w:tblGrid>
        <w:gridCol w:w="757"/>
        <w:gridCol w:w="296"/>
        <w:gridCol w:w="298"/>
        <w:gridCol w:w="109"/>
        <w:gridCol w:w="109"/>
        <w:gridCol w:w="109"/>
        <w:gridCol w:w="211"/>
        <w:gridCol w:w="466"/>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11"/>
        <w:gridCol w:w="991"/>
        <w:gridCol w:w="109"/>
        <w:gridCol w:w="109"/>
        <w:gridCol w:w="109"/>
        <w:gridCol w:w="109"/>
        <w:gridCol w:w="211"/>
        <w:gridCol w:w="976"/>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5,416,945 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(1,363,158)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(3,448,402)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3,355,411 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(1,355,722)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(1,464,616)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(4,804,124)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2,866,580 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7,210,769 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(6,209,324)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2,541,493 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8,192,659 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(1,289,099)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(6,887,515)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3,282,359 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FLEETCOR Technologies, Inc. and Subsidiaries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Consolidated Statements of Cash Flows</w:t>
      </w:r>
    </w:p>
    <w:p>
      <w:pPr>
        <w:pStyle w:val="TextBody"/>
        <w:bidi w:val="0"/>
        <w:spacing w:lineRule="auto" w:line="288" w:before="0" w:after="0"/>
        <w:jc w:val="center"/>
        <w:rPr/>
      </w:pPr>
      <w:r>
        <w:rPr>
          <w:rFonts w:ascii="Times New Roman;sans-serif" w:hAnsi="Times New Roman;sans-serif"/>
          <w:b w:val="false"/>
          <w:i/>
          <w:color w:val="000000"/>
          <w:sz w:val="18"/>
        </w:rPr>
        <w:t>(In Thousands)</w:t>
      </w:r>
      <w:r>
        <w:rPr>
          <w:color w:val="000000"/>
        </w:rPr>
        <w:t> </w:t>
      </w:r>
    </w:p>
    <w:tbl>
      <w:tblPr>
        <w:tblW w:w="10205" w:type="dxa"/>
        <w:jc w:val="center"/>
        <w:tblInd w:w="0" w:type="dxa"/>
        <w:tblLayout w:type="fixed"/>
        <w:tblCellMar>
          <w:top w:w="28" w:type="dxa"/>
          <w:left w:w="28" w:type="dxa"/>
          <w:bottom w:w="28" w:type="dxa"/>
          <w:right w:w="28" w:type="dxa"/>
        </w:tblCellMar>
      </w:tblPr>
      <w:tblGrid>
        <w:gridCol w:w="2045"/>
        <w:gridCol w:w="1795"/>
        <w:gridCol w:w="1810"/>
        <w:gridCol w:w="109"/>
        <w:gridCol w:w="109"/>
        <w:gridCol w:w="109"/>
        <w:gridCol w:w="196"/>
        <w:gridCol w:w="871"/>
        <w:gridCol w:w="109"/>
        <w:gridCol w:w="109"/>
        <w:gridCol w:w="109"/>
        <w:gridCol w:w="109"/>
        <w:gridCol w:w="196"/>
        <w:gridCol w:w="871"/>
        <w:gridCol w:w="109"/>
        <w:gridCol w:w="109"/>
        <w:gridCol w:w="109"/>
        <w:gridCol w:w="109"/>
        <w:gridCol w:w="196"/>
        <w:gridCol w:w="871"/>
        <w:gridCol w:w="155"/>
      </w:tblGrid>
      <w:tr>
        <w:trPr/>
        <w:tc>
          <w:tcPr>
            <w:tcW w:w="204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839,497 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 on accounts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financing costs and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 and premium on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208,625 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assets/business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operating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 (net of acquisitions/disposition):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(731,137)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assets and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customer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480,506 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1,197,063 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(216,917)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(602,120)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(111,530)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disposal of a business, net of cash disposed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(380,723)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(715,931)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(686,859)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(1,355,722)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Borrowings on securitization facility,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(507,500)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from revolver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8,734,960 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revolver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(9,118,960)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(1,978,851)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(payments) on swing line of credit,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(51,049)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343,928 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currency exchange rates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(50,984)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in cash and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774,076 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and restricted cash,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1,476,619 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and restricted cash,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3,141,535 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2,289,180 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2,250,695 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448,384 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408,340 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358,231 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229,721 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bl>
    <w:tbl>
      <w:tblPr>
        <w:tblW w:w="1950" w:type="dxa"/>
        <w:jc w:val="left"/>
        <w:tblInd w:w="0" w:type="dxa"/>
        <w:tblLayout w:type="fixed"/>
        <w:tblCellMar>
          <w:top w:w="28" w:type="dxa"/>
          <w:left w:w="28" w:type="dxa"/>
          <w:bottom w:w="28" w:type="dxa"/>
          <w:right w:w="28" w:type="dxa"/>
        </w:tblCellMar>
      </w:tblPr>
      <w:tblGrid>
        <w:gridCol w:w="623"/>
        <w:gridCol w:w="549"/>
        <w:gridCol w:w="778"/>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w:t>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FLEETCOR Technologies, Inc. and Subsidiaries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1. Description of Business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FLEETCOR is a global payments company that helps businesses and consumers better manager their expenses. FLEETCOR's suite of modern payment solutions help customers better manage vehicle-related expenses (e.g. fueling, tolls and parking), lodging expenses (e.g. hotel bookings) and corporate payments (e.g. domestic and international vendors). This results in our customers saving time and ultimately spending less. Since its incorporation in 2000, FLEETCOR’s smarter payment and spend management solutions have been delivered in a variety of ways depending on the needs of the customer. From physical payment cards to software that includes customizable controls and robust payment capabilities, FLEETCOR provides businesses and consumers with a better way to pay.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FLEETCOR has been a member of the S&amp;P 500 since 2018 and trades on the New York Stock Exchange under the ticker FLT. We expect to rebrand FLEETCOR to Corpay, Inc. in March 2024, including changing our New York Stock Exchange ticker from FLT to CPAY.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FLEETCOR’s vision is that every payment is digital, every purchase is controlled, and every related decision is informed. Digital payments are faster and more secure than paper-based methods such as checks, and provide timely and detailed data that can be utilized to effectively reduce unauthorized purchases and fraud, automate data entry and reporting, and eliminate reimbursement processes. Combining this payment data with analytical tools delivers insights, which managers can use to better run their businesses. The Company's wide range of modern, digitized solutions generally provides control, reporting, and automation benefits superior to many of the payment methods businesses often use, such as cash, paper checks, general purpose credit cards, as well as employee pay and reclaim processes.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the following reportable segments: Vehicle Payments, Corporate Payments, Lodging Payments and Other. The Company reports these segments to reflect how we organize and manage our global employee base, manage operating performance, execute on strategic initiatives and contemplate the differing regulatory environments across geographies and solutions.</w:t>
      </w:r>
    </w:p>
    <w:p>
      <w:pPr>
        <w:pStyle w:val="TextBody"/>
        <w:bidi w:val="0"/>
        <w:spacing w:lineRule="auto" w:line="256" w:before="180" w:after="180"/>
        <w:jc w:val="left"/>
        <w:rPr/>
      </w:pPr>
      <w:r>
        <w:rPr>
          <w:rFonts w:ascii="Times New Roman;sans-serif" w:hAnsi="Times New Roman;sans-serif"/>
          <w:b w:val="false"/>
          <w:color w:val="000000"/>
          <w:sz w:val="20"/>
        </w:rPr>
        <w:t xml:space="preserve">Our Vehicle Payments solutions are purpose-built to enable our business and consumer customers to pay for vehicle related expenses, while providing greater control and visibility of employee spending when compared with less specialized payment methods, such as cash or general-purpose credit cards. Our Vehicle Payments solutions include fuel, tolls and other complementary products. </w:t>
      </w:r>
      <w:r>
        <w:rPr>
          <w:rFonts w:ascii="Times New Roman;sans-serif" w:hAnsi="Times New Roman;sans-serif"/>
          <w:b w:val="false"/>
          <w:color w:val="000000"/>
          <w:sz w:val="20"/>
          <w:shd w:fill="FFFFFF" w:val="clear"/>
        </w:rPr>
        <w:t xml:space="preserve">Our Corporate Payments solutions simplify and automate vendor payments and are designed to help businesses streamline the back-office operations associated with making outgoing payments. Companies save time, cut costs, and manage </w:t>
      </w:r>
      <w:r>
        <w:rPr>
          <w:rFonts w:ascii="Times New Roman;sans-serif" w:hAnsi="Times New Roman;sans-serif"/>
          <w:b w:val="false"/>
          <w:color w:val="000000"/>
          <w:sz w:val="20"/>
        </w:rPr>
        <w:t>business-to-business</w:t>
      </w:r>
      <w:r>
        <w:rPr>
          <w:color w:val="000000"/>
          <w:shd w:fill="FFFFFF" w:val="clear"/>
        </w:rPr>
        <w:t xml:space="preserve"> </w:t>
      </w:r>
      <w:r>
        <w:rPr>
          <w:rFonts w:ascii="Times New Roman;sans-serif" w:hAnsi="Times New Roman;sans-serif"/>
          <w:b w:val="false"/>
          <w:color w:val="000000"/>
          <w:sz w:val="20"/>
          <w:shd w:fill="FFFFFF" w:val="clear"/>
        </w:rPr>
        <w:t xml:space="preserve">(B2B) payment processing more efficiently with our suite of corporate payment solutions, including AP automation, virtual cards, cross-border, and purchasing and </w:t>
      </w:r>
      <w:r>
        <w:rPr>
          <w:rFonts w:ascii="Times New Roman;sans-serif" w:hAnsi="Times New Roman;sans-serif"/>
          <w:b w:val="false"/>
          <w:color w:val="000000"/>
          <w:sz w:val="20"/>
        </w:rPr>
        <w:t>travel and entertainment</w:t>
      </w:r>
      <w:r>
        <w:rPr>
          <w:color w:val="000000"/>
          <w:shd w:fill="FFFFFF" w:val="clear"/>
        </w:rPr>
        <w:t xml:space="preserve"> </w:t>
      </w:r>
      <w:r>
        <w:rPr>
          <w:rFonts w:ascii="Times New Roman;sans-serif" w:hAnsi="Times New Roman;sans-serif"/>
          <w:b w:val="false"/>
          <w:color w:val="000000"/>
          <w:sz w:val="20"/>
          <w:shd w:fill="FFFFFF" w:val="clear"/>
        </w:rPr>
        <w:t>cards. Our Lodging Payments solutions help businesses manage their travel-related lodging expenses while in the field, as well as lodging expenses of its customers, such as disrupted passengers in the airline industry. FLEETCOR provides other payments solutions, including gift and payroll card.</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solutions provide customers with control capabilities including customizable user-level controls, programmable alerts, and detailed transaction reporting, among others. Our customers can use the data, controls and tools to combat employee misuse and fraud, streamline expense administration and potentially lower their operating costs.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both proprietary and third-party payment acceptance networks to deliver our solutions. In our proprietary networks, which tend to be geographically distinct, transactions are processed on applications and operating systems owned and operated by us, and only at select participating merchants with whom we have contracted directly for acceptance. Third-party networks are operated by independent parties, and tend to be more broadly accepted, which is the primary benefit compared with our proprietary networks. Mastercard and VISA are our primary third-party network partners in North America and Europe, respectively.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actively market and sell our solutions to current and prospective customers leveraging a multi-channel approach. This go-to-market strategy includes comprehensive digital channels, direct sales forces and strategic partner relationships. We sell stand-alone products and services, and are currently organizing and establishing platforms where a single customer can use multiple products from one user interface. Our capabilities are also offered through indirect sales channels (e.g., such as major oil companies and retail establishments for certain of our products in Vehicle Payments) and on a branded or “white label” basis, indirectly through a broad range of resellers and partners across Vehicle Payments, Lodging Payments and Corporate Payments. In doing so, we leverage their sales networks to expand our reach into new customer segments, new industry verticals, and new geographies faster and at a significantly lower cost.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2. Basis of Presentation and Summary of Significant Accounting Policies</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United States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Future events and their effects cannot be predicted with certainty; accordingly, accounting estimates require the exercise of judgment. The accounting estimates used in the preparation of the Company’s consolidated financial statements may change as new events occur, as more experience is acquired, as additional information is obtained and as the Company’s operating environment changes. Actual results may differ from those estimates.</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Principles of Consolidation</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FLEETCOR Technologies, Inc. and all of its wholly owned subsidiaries. All significant intercompany balances and transactions have been eliminated.</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ends on December 31. In certain of the Company’s U.K. businesses, the Company records the operating results using a 4-4-5 week accounting cycle with the fiscal year ending on the Friday on or immediately preceding December 31. Fiscal years 2023, 2022, and 2021 include 52 weeks for the businesses reporting using a 4-4-5 accounting cycle.</w:t>
      </w:r>
    </w:p>
    <w:p>
      <w:pPr>
        <w:pStyle w:val="TextBody"/>
        <w:bidi w:val="0"/>
        <w:spacing w:lineRule="auto" w:line="256" w:before="180" w:after="283"/>
        <w:jc w:val="left"/>
        <w:rPr>
          <w:rFonts w:ascii="Times New Roman;sans-serif" w:hAnsi="Times New Roman;sans-serif"/>
          <w:b/>
          <w:color w:val="000000"/>
          <w:sz w:val="20"/>
        </w:rPr>
      </w:pPr>
      <w:bookmarkStart w:id="2" w:name="i0bfc7b70c2674f9e9284250d3d6d8327_83085"/>
      <w:bookmarkStart w:id="3" w:name="i0bfc7b70c2674f9e9284250d3d6d8327_33616"/>
      <w:bookmarkEnd w:id="2"/>
      <w:bookmarkEnd w:id="3"/>
      <w:r>
        <w:rPr>
          <w:rFonts w:ascii="Times New Roman;sans-serif" w:hAnsi="Times New Roman;sans-serif"/>
          <w:b/>
          <w:color w:val="000000"/>
          <w:sz w:val="20"/>
        </w:rPr>
        <w:t>Financial Instruments-Credit Losses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financial assets' expected credit losses in accordance with Accounting Standards Codification (ASC) 326, "Financial Instruments - Credit Losses". The Company’s financial assets subject to credit losses are primarily trade receivables. The Company utilizes a combination of aging and loss-rate methods to develop an estimate of current expected credit losses, depending on the nature and risk profile of the underlying asset pool, based on product, size of customer and historical losses. Expected credit losses are estimated based upon an assessment of risk characteristics, historical payment experience, and the age of outstanding receivables, adjusted for forward-looking economic conditions. The allowances for remaining financial assets measured at amortized cost basis are evaluated based on underlying financial condition, credit history, and current and forward-looking economic conditions. The estimation process for expected credit losses includes consideration of qualitative and quantitative risk factors associated with the age of asset balances, expected timing of payment, contract terms and conditions, changes in specific customer risk profiles or mix of customers, geographic risk, economic trends and relevant environmental factors. At December 31, 2023 and 2022, approximately 82% and 85%, respectively, of outstanding accounts receivable were less than 30 days past due. Accounts receivable deemed uncollectible are removed from accounts receivable and the allowance for credit losses when internal collection efforts have been exhausted and accounts have been turned over to a third-party collection agency. Recoveries from the third-party collection agency are not significant.</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Business Combinations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combinations completed by us have been accounted for under the acquisition method of accounting, which requires that the acquired assets and liabilities, including contingencies, be recorded at fair value determined as of the acquisition date. The excess of the purchase price over the fair values of the tangible and intangible assets acquired and liabilities assumed represents goodwill. Amounts assigned to goodwill are primarily attributable to buyer-specific synergies expected to arise after the acquisition (e.g., enhanced reach of the combined organization and other synergies) and the assembled work force of the acquiree. The results of the acquired businesses are included in our results of operations beginning from the completion date of the transaction.</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estimates the Company uses to determine the fair value of long-lived assets, such as intangible assets, can be complex and require significant judgments. The Company uses information available to us to make fair value determinations and engages independent valuation specialists, when necessary, to assist in the fair value determination of significant acquired long-lived assets. The estimated fair values of customer-related and contract-based intangible assets are generally determined using the income approach, which is based on projected cash flows discounted to their present value using discount rates that consider the timing and risk of the forecasted cash flows. The discount rates used represent a risk-adjusted market participant weighted-average cost of capital, derived using customary market metrics. These measures of fair value also require considerable judgments about future events, including forecasted revenue growth rates, forecasted customer attrition rates, contract renewal estimates and technology changes. Acquired technologies are generally valued using the replacement cost method, which requires us to estimate the costs to construct an asset of equivalent utility at prices available at the time of the valuation analysis, with adjustments in value for physical deterioration and functional and economic obsolescence. Trademarks and trade names are generally valued using the "relief-from-royalty" approach. This method assumes that trademarks and trade names have value to the extent that their owner is relieved of the obligation to pay royalties for the benefits received from them. This method requires the Company to estimate the future revenues for the related brands, the appropriate royalty rate and the weighted-average cost of capital. This measure of fair value requires considerable judgment about the value a market participant would be willing to pay in order to achieve the benefits associated with the trade name. Non-compete arrangements are measured at fair value separately from the business combination using a cash flow method based on the Company's best estimate of the probability of competition and its business effect absent the non-compete arrangement.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Company uses our best estimates and assumptions to determine the fair values of the assets acquired and the liabilities assumed, our estimates are inherently uncertain and subject to refinement. As a result, during the measurement period, which may be up to one year from the acquisition date, the Company records adjustments to the assets acquired and liabilities assumed. Upon the conclusion of the measurement period, any subsequent adjustments are recorded in our Consolidated Statements of Income. The Company also estimates the useful lives of intangible assets to determine the period over which to recognize the amount of acquisition-related intangible assets as an expense. Certain assets may be considered to have indefinite useful lives. The Company periodically reviews the indefinite nature of these assets. The Company also periodically reviews the estimated useful lives assigned to our intangible assets to determine whether such estimated useful lives continue to be appropriate. </w:t>
      </w:r>
    </w:p>
    <w:p>
      <w:pPr>
        <w:pStyle w:val="TextBody"/>
        <w:bidi w:val="0"/>
        <w:spacing w:lineRule="auto" w:line="256" w:before="180" w:after="283"/>
        <w:jc w:val="left"/>
        <w:rPr>
          <w:rFonts w:ascii="Times New Roman;sans-serif" w:hAnsi="Times New Roman;sans-serif"/>
          <w:b/>
          <w:color w:val="000000"/>
          <w:sz w:val="20"/>
        </w:rPr>
      </w:pPr>
      <w:bookmarkStart w:id="4" w:name="i0bfc7b70c2674f9e9284250d3d6d8327_83086"/>
      <w:bookmarkEnd w:id="4"/>
      <w:r>
        <w:rPr>
          <w:rFonts w:ascii="Times New Roman;sans-serif" w:hAnsi="Times New Roman;sans-serif"/>
          <w:b/>
          <w:color w:val="000000"/>
          <w:sz w:val="20"/>
        </w:rPr>
        <w:t xml:space="preserve">Impairment of </w:t>
      </w:r>
      <w:bookmarkStart w:id="5" w:name="i0bfc7b70c2674f9e9284250d3d6d8327_33601"/>
      <w:bookmarkEnd w:id="5"/>
      <w:r>
        <w:rPr>
          <w:rFonts w:ascii="Times New Roman;sans-serif" w:hAnsi="Times New Roman;sans-serif"/>
          <w:b/>
          <w:color w:val="000000"/>
          <w:sz w:val="20"/>
        </w:rPr>
        <w:t>Long-Lived Assets, Goodwill, Intangibles and Investments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regularly evaluates whether events and circumstances have occurred that indicate the carrying amount of property and equipment and intangible assets with finite lives may not be recoverable. When factors indicate that these long-lived assets should be evaluated for possible impairment, the Company assesses the potential impairment by determining whether the carrying amount of such long-lived assets will be recovered through the future undiscounted cash flows expected from use of the asset and its eventual disposition. If the carrying amount of the asset is determined not to be recoverable, a write-down to fair value is recorded. Fair values are determined based on quoted market prices or discounted cash flow analyses as applicable. The Company regularly evaluates whether events and circumstances have occurred that indicate the useful lives of property and equipment and intangible assets with finite lives may warrant revision.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completes an impairment test of goodwill at least annually or more frequently if facts or circumstances indicate that goodwill might be impaired. Goodwill is tested for impairment at the reporting unit level. The Company first performs a qualitative assessment of certain of its reporting units. Factors considered in the qualitative assessment include general macroeconomic conditions, industry and market conditions, cost factors, overall financial performance of our reporting units, events or changes affecting the composition or carrying amount of the net assets of our reporting units, sustained decrease in our share price, and other relevant entity-specific events. If the Company elects to bypass the qualitative assessment or if it determines, on the basis of qualitative factors, that the fair value of the reporting unit is more likely than not less than the carrying amount, a quantitative test would be required. The Company then performs the quantitative goodwill impairment test for the applicable reporting units by comparing the reporting unit’s carrying amount, including goodwill, to its fair value, which is measured based upon, among other factors, a discounted cash flow analysis and, to a lesser extent, market multiples for comparable companies. Estimates critical to the Company’s evaluation of goodwill for impairment include the discount rates, forecasts for revenues, net and earnings before interest, taxes, depreciation and amortization (EBITDA) margin. If the carrying amount of the reporting unit is greater than its fair value, goodwill is considered impaired.</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goodwill asset impairment analysis performed qualitatively and/or quantitatively as of October 1, 2023, the Company determined that the fair value of each of its reporting units was in excess of the carrying value. No events or changes in circumstances have occurred since the date of this most recent annual impairment test that would more likely than not reduce the fair value of a reporting unit below its carrying amount.</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indefinite-lived intangible assets (primarily trademarks and trade names) for impairment annually. The Company also tests for impairment more frequently if events and circumstances indicate that it is more likely than not that the fair value of an indefinite-lived intangible asset is below its carrying amount. Estimates critical to the Company’s evaluation of indefinite-lived intangible assets for impairment include the discount rate, royalty rates used in its evaluation of trade names and projected revenue growth. An impairment loss is recognized if the carrying amount of an indefinite-lived intangible asset exceeds the estimated fair value on the measurement date. Based on the indefinite-lived intangible asset impairment analyses performed as of October 1, 2023, the Company determined the fair value of each of its indefinite-lived intangible assets was in excess of its carrying amount. No events or changes in circumstances have occurred since the date of this most recent annual impairment analysis that would more likely than not reduce the fair value of an indefinite-lived intangible asset below its carrying amount.</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elected the alternative to measure certain investments in equity instruments that do not have readily determinable fair values at cost minus impairment, if any, plus or minus changes resulting from observable price changes for similar investments of the issuer. The Company reassesses these investments each reporting period to evaluate whether these investments continue to qualify for the alternative measurement at cost minus impairment, rather than requiring measurement at fair value on a recurring basis. The Company evaluates for impairment these equity investments without readily determinable fair values based on qualitative indicators (e.g., significant deterioration in investee's financial performance, adverse regulation, etc.). Investments classified as trading securities are carried at fair value with any unrealized gain or loss recorded within investment (gain) loss in the Consolidated Statements of Income. During 2021, the Company made an investment of $37.4 million in a 20-year joint venture with a third-party Brazilian bank. The Company determined that it exercises significant influence, but does not control, the joint venture and/or intermediary and records its allocable share of the joint ventures earnings/losses as an equity method investment under ASC 323. The Company monitors its equity method investments qualitatively for other than temporary impairment. The Company recorded no impairment charges on its investments for the years ended December 31, 2023, 2022, and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Property, Plant and Equipment and Definite-Lived Intangible Assets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stated at cost and depreciated on the straight-line basis. Intangible assets with finite lives, consisting primarily of customer relationships, are stated at fair value upon acquisition and are amortized over their estimated useful lives. Customer and merchant relationship useful lives are estimated using historical attrition rates.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develops internal-use software that is used in providing processing and information management services to customers. A significant portion of the Company’s capital expenditures are devoted to the development of such internal-use computer software. Software development costs are capitalized once application development stage of the software has been established. Costs incurred during preliminary project stage prior to the application development stage are expensed as incurred. Application development stage is established when the Company has completed all planning, designing, coding and testing activities that are necessary to determine that the software can be produced to meet its design specifications, including functions, features and technical performance requirements. Capitalization of costs ceases when the software is ready for its intended use. Software development costs are amortized using the straight-line method over the estimated useful life of the software. The Company capitalized software costs of $128.0 million, $120.5 million and $76.7 million in 2023, 2022 and 2021, respectively. Amortization expense for software totaled $77.5 million, $61.3 million and $46.7 million in 2023, 2022 and 2021, respectively. </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The Company has elected to treat the Global Intangible Low Taxed Income (GILTI) inclusion as a current period expense.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ultimate realization of deferred tax assets is dependent upon the generation of future taxable income during the periods in which the associated temporary differences become deductible. The Company evaluates on a quarterly basis whether it is more likely than not that its deferred tax assets will be realized in the future and concludes whether a valuation allowance must be established.</w:t>
      </w:r>
    </w:p>
    <w:p>
      <w:pPr>
        <w:pStyle w:val="TextBody"/>
        <w:bidi w:val="0"/>
        <w:spacing w:lineRule="auto" w:line="256" w:before="180" w:after="283"/>
        <w:jc w:val="left"/>
        <w:rPr/>
      </w:pPr>
      <w:r>
        <w:rPr>
          <w:rFonts w:ascii="Times New Roman;sans-serif" w:hAnsi="Times New Roman;sans-serif"/>
          <w:b w:val="false"/>
          <w:color w:val="000000"/>
          <w:sz w:val="20"/>
        </w:rPr>
        <w:t>The Company recognizes the impact of an uncertain income tax position on the income tax return at the largest amount that is more likely than not to be sustained upon audit by the relevant taxing authority. An uncertain income tax position will not be recognized if it has less than a 50% likelihood of being sustained. The Company includes any estimated interest and penalties on tax related matters in income tax expense. S</w:t>
      </w:r>
      <w:r>
        <w:rPr>
          <w:rFonts w:ascii="Times New Roman;sans-serif" w:hAnsi="Times New Roman;sans-serif"/>
          <w:b w:val="false"/>
          <w:color w:val="000000"/>
          <w:sz w:val="20"/>
          <w:shd w:fill="FFFFFF" w:val="clear"/>
        </w:rPr>
        <w:t>ee Note 13 for f</w:t>
      </w:r>
      <w:r>
        <w:rPr>
          <w:rFonts w:ascii="Times New Roman;sans-serif" w:hAnsi="Times New Roman;sans-serif"/>
          <w:b w:val="false"/>
          <w:color w:val="000000"/>
          <w:sz w:val="20"/>
        </w:rPr>
        <w:t>urther information regarding income taxes.</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primarily consist of a) cash on hand, b) highly liquid investments with original maturities of three months or less, such as certificates of deposit, treasury bills and money market funds, and c) customer deposits repayable on demand without legal restrictions. Restricted cash represents a) customer deposits repayable on demand held in certain geographies with legal restrictions contractually set aside to fulfill payment obligations on a customer's behalf, b) collateral received from customers for cross-currency transactions in our cross-border payments business, which are restricted from use other than to repay customer deposits and secure and settle cross-currency transactions, and c) collateral posted with banks for hedging positions in our cross-border payments business. During the third quarter of 2023, the Company disposed of its Russian net assets, including its cash balances. See Note 19 for additional information. Based on our assessment of the capital market conditions and related impact on our access to cash prior to the Russia disposition, we had classified all cash held at our Russia business of $215.8 million at December 31, 2022 to restricted cash.</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Foreign Currency Translation</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and liabilities of foreign subsidiaries as well as intra-entity balances denominated in foreign-currency and designated for long-term investment are translated into U.S. dollars at the rates of exchange in effect at period-end. The related translation adjustments are recorded to accumulated other comprehensive loss. Income and expenses are translated at the average monthly rates of exchange in effect during the year. Gains and losses from foreign currency transactions of these subsidiaries are included in net income. The Company recognized foreign exchange losses and gains, which are recorded within other (income) expense, net in the Consolidated Statements of Income for the years ended December 31 as follows (in millions): </w:t>
      </w:r>
    </w:p>
    <w:tbl>
      <w:tblPr>
        <w:tblW w:w="5304" w:type="dxa"/>
        <w:jc w:val="center"/>
        <w:tblInd w:w="0" w:type="dxa"/>
        <w:tblLayout w:type="fixed"/>
        <w:tblCellMar>
          <w:top w:w="28" w:type="dxa"/>
          <w:left w:w="28" w:type="dxa"/>
          <w:bottom w:w="28" w:type="dxa"/>
          <w:right w:w="28" w:type="dxa"/>
        </w:tblCellMar>
      </w:tblPr>
      <w:tblGrid>
        <w:gridCol w:w="760"/>
        <w:gridCol w:w="669"/>
        <w:gridCol w:w="671"/>
        <w:gridCol w:w="109"/>
        <w:gridCol w:w="109"/>
        <w:gridCol w:w="109"/>
        <w:gridCol w:w="211"/>
        <w:gridCol w:w="406"/>
        <w:gridCol w:w="109"/>
        <w:gridCol w:w="109"/>
        <w:gridCol w:w="109"/>
        <w:gridCol w:w="109"/>
        <w:gridCol w:w="211"/>
        <w:gridCol w:w="406"/>
        <w:gridCol w:w="109"/>
        <w:gridCol w:w="109"/>
        <w:gridCol w:w="109"/>
        <w:gridCol w:w="109"/>
        <w:gridCol w:w="211"/>
        <w:gridCol w:w="40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foreign currency gains and losses on long-term intra-entity transactions included as a component of foreign currency translation gains (losses), net of tax, in the Consolidated Statements of Comprehensive Income for the years ended December 31 as follows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tbl>
      <w:tblPr>
        <w:tblW w:w="9399" w:type="dxa"/>
        <w:jc w:val="center"/>
        <w:tblInd w:w="0" w:type="dxa"/>
        <w:tblLayout w:type="fixed"/>
        <w:tblCellMar>
          <w:top w:w="28" w:type="dxa"/>
          <w:left w:w="28" w:type="dxa"/>
          <w:bottom w:w="28" w:type="dxa"/>
          <w:right w:w="28" w:type="dxa"/>
        </w:tblCellMar>
      </w:tblPr>
      <w:tblGrid>
        <w:gridCol w:w="2065"/>
        <w:gridCol w:w="1815"/>
        <w:gridCol w:w="1820"/>
        <w:gridCol w:w="109"/>
        <w:gridCol w:w="109"/>
        <w:gridCol w:w="109"/>
        <w:gridCol w:w="211"/>
        <w:gridCol w:w="586"/>
        <w:gridCol w:w="109"/>
        <w:gridCol w:w="109"/>
        <w:gridCol w:w="109"/>
        <w:gridCol w:w="109"/>
        <w:gridCol w:w="211"/>
        <w:gridCol w:w="616"/>
        <w:gridCol w:w="109"/>
        <w:gridCol w:w="109"/>
        <w:gridCol w:w="109"/>
        <w:gridCol w:w="109"/>
        <w:gridCol w:w="211"/>
        <w:gridCol w:w="511"/>
        <w:gridCol w:w="154"/>
      </w:tblGrid>
      <w:tr>
        <w:trPr/>
        <w:tc>
          <w:tcPr>
            <w:tcW w:w="206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(gains) losses on long-term intra-entity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Derivatives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derivatives to minimize its exposures related to changes in interest rates and economic changes in the value of certain foreign-denominated net assets. The Company also uses derivatives to facilitate cross-currency corporate payments by writing derivatives to customers and enters into cross currency derivative contracts with banking partners to mitigate foreign exchange risk associated with customer derivative contracts.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exposed to the risk of changing interest rates because its borrowings are subject to variable interest rates. In order to mitigate this risk, the Company utilizes derivative instruments. Interest rate swap contracts designated as cash flow hedges involve the receipt of variable amounts from a counterparty in exchange for the Company making fixed-rate payments over the life of the agreements without exchange of the underlying notional amount. The Company hedges interest payments on an unspecified portion of its variable rate debt utilizing derivatives designated as cash flow hedges.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the fair value of derivatives that are designated and qualify as cash flow hedges are recorded to the derivative assets/liabilities and offset against accumulated other comprehensive loss. Derivative fair value changes that are recorded in accumulated other comprehensive loss are reclassified to earnings in the same period or periods that the hedged item affects earnings, to the extent the derivative is highly effective in offsetting the change in cash flows attributable to the hedged risk.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Company's cross-border payments business, it writes foreign currency forwards, option contracts and swaps for its customers to facilitate future payments. The Company recognizes current cross-border payments derivatives in prepaid expenses and other current assets and recognizes other current liabilities and derivatives greater than one year in other assets and other noncurrent liabilities in the accompanying Consolidated Balance Sheets at their fair value. Any gains/losses associated with these derivatives are recorded through earnings.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utilizes cross-currency interest rate swaps designated as a net investment hedge of its investments in euro-denominated operations, which effectively converts a specified U.S. dollar notional equivalent to an obligation denominated in euro, and partially offsets the impact of changes in currency rates on the Company's euro-denominated net investments. Such contracts also create a positive interest differential on the U.S. dollar-denominated portion of the swap, resulting in interest rate savings on the USD notional.</w:t>
      </w:r>
    </w:p>
    <w:p>
      <w:pPr>
        <w:pStyle w:val="TextBody"/>
        <w:bidi w:val="0"/>
        <w:spacing w:lineRule="auto" w:line="256" w:before="180" w:after="283"/>
        <w:jc w:val="left"/>
        <w:rPr/>
      </w:pPr>
      <w:r>
        <w:rPr>
          <w:rFonts w:ascii="Times New Roman;sans-serif" w:hAnsi="Times New Roman;sans-serif"/>
          <w:b w:val="false"/>
          <w:color w:val="000000"/>
          <w:sz w:val="20"/>
        </w:rPr>
        <w:t>All cash flows associated with the Company's foreign currency and interest rate swap derivatives are included in cash flows from operating activities in the Consolidated Statements of Cash Flows. Upon settlement of derivatives designated as a net investment hedges, the associated cash flows will be classified as investing activities in the Consolidated Statements of Cash Flows. Ref</w:t>
      </w:r>
      <w:r>
        <w:rPr>
          <w:rFonts w:ascii="Times New Roman;sans-serif" w:hAnsi="Times New Roman;sans-serif"/>
          <w:b w:val="false"/>
          <w:color w:val="000000"/>
          <w:sz w:val="20"/>
          <w:shd w:fill="FFFFFF" w:val="clear"/>
        </w:rPr>
        <w:t xml:space="preserve">er to Note 16.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color w:val="212529"/>
          <w:sz w:val="20"/>
        </w:rPr>
      </w:pPr>
      <w:r>
        <w:rPr>
          <w:rFonts w:ascii="Times New Roman;sans-serif" w:hAnsi="Times New Roman;sans-serif"/>
          <w:b/>
          <w:color w:val="212529"/>
          <w:sz w:val="20"/>
        </w:rPr>
        <w:t>Spot Trade Offsetting</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spot trades to facilitate cross-currency corporate payments in its cross-border payments business. The Company applies offsetting to spot trade assets and liabilities associated with contracts that include master netting agreements with the same counterparty, as a right of offset exists, which the Company believes to be enforceable. As such, the Company has netted spot trade liabilities against spot trade receivables at the counter-party level. The Company recognizes all spot trade assets, net in accounts receivable and all spot trade liabilities, net in accounts payable, each net at the customer level, in its Consolidated Balance Sheets at their fair value.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spot trade assets and liabilities at their fair value for the years ended December 31, 2023 and 2022 (in millions):</w:t>
      </w:r>
    </w:p>
    <w:tbl>
      <w:tblPr>
        <w:tblW w:w="10205" w:type="dxa"/>
        <w:jc w:val="center"/>
        <w:tblInd w:w="0" w:type="dxa"/>
        <w:tblLayout w:type="fixed"/>
        <w:tblCellMar>
          <w:top w:w="28" w:type="dxa"/>
          <w:left w:w="28" w:type="dxa"/>
          <w:bottom w:w="28" w:type="dxa"/>
          <w:right w:w="28" w:type="dxa"/>
        </w:tblCellMar>
      </w:tblPr>
      <w:tblGrid>
        <w:gridCol w:w="481"/>
        <w:gridCol w:w="424"/>
        <w:gridCol w:w="427"/>
        <w:gridCol w:w="211"/>
        <w:gridCol w:w="766"/>
        <w:gridCol w:w="109"/>
        <w:gridCol w:w="109"/>
        <w:gridCol w:w="109"/>
        <w:gridCol w:w="109"/>
        <w:gridCol w:w="292"/>
        <w:gridCol w:w="1129"/>
        <w:gridCol w:w="151"/>
        <w:gridCol w:w="109"/>
        <w:gridCol w:w="109"/>
        <w:gridCol w:w="109"/>
        <w:gridCol w:w="211"/>
        <w:gridCol w:w="616"/>
        <w:gridCol w:w="109"/>
        <w:gridCol w:w="109"/>
        <w:gridCol w:w="109"/>
        <w:gridCol w:w="109"/>
        <w:gridCol w:w="211"/>
        <w:gridCol w:w="766"/>
        <w:gridCol w:w="109"/>
        <w:gridCol w:w="109"/>
        <w:gridCol w:w="109"/>
        <w:gridCol w:w="109"/>
        <w:gridCol w:w="292"/>
        <w:gridCol w:w="1129"/>
        <w:gridCol w:w="151"/>
        <w:gridCol w:w="109"/>
        <w:gridCol w:w="109"/>
        <w:gridCol w:w="109"/>
        <w:gridCol w:w="211"/>
        <w:gridCol w:w="616"/>
        <w:gridCol w:w="159"/>
      </w:tblGrid>
      <w:tr>
        <w:trPr/>
        <w:tc>
          <w:tcPr>
            <w:tcW w:w="4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Offset on the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Offset on the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30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routinely grants employee stock options and restricted stock awards/units as part of employee compensation plans. Stock options are granted with an exercise price equal to the fair market value of the underlying Company share on the date of grant. Options granted have vesting provisions ranging from one to five years, and vesting of the options is generally based on the passage of time, performance or market conditions, or a combination of these. Stock option grants are subject to forfeiture if employment terminates prior to vesting. The Company has selected the Black-Scholes option pricing model for estimating the grant date fair value of stock option awards. The Company has considered the retirement and forfeiture provisions of the options and utilized its historical experience to estimate the expected term of the options. Option forfeitures are accounted for upon occurrence. The Company bases the risk-free interest rate on the yield of a zero coupon U.S. Treasury security with a maturity equal to the expected term of the option from the date of the grant. Expected volatility is based on the Company's historical volatility.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Awards of restricted stock and restricted stock units are independent of stock option grants and are subject to forfeiture if employment terminates prior to vesting. The vesting of shares granted is generally based on the passage of time, performance or market conditions, or a combination of these. Shares generally have graded vesting provisions of one to four years. The fair value of restricted stock where the shares vest based on the passage of time or performance is based on the grant date fair value of the Company’s stock.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stock options and restricted stock units granted with market-based vesting conditions is estimated using the Monte Carlo simulation valuation model. The risk-free interest rate and volatility assumptions used within the Monte Carlo simulation valuation model are calculated consistently with those applied in the Black-Scholes options pricing model utilized in determining the fair value of the market-based stock option awards.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performance-based restricted stock awards/units and performance-based stock option awards, the Company must also make assumptions regarding the likelihood of achieving performance goals. If actual results differ significantly from these estimates, stock-based compensation expense and the Company’s results of operations could be materially affected.</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cost is measured at the grant date based on the value of the award and is recognized as expense over the requisite service period based on the number of years over which the requisite service is expected to be rendered.</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Deferred Financing Costs/Debt Discounts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incurred to obtain financing are amortized over the term of the related debt using the effective interest method and are included within interest expense, net. The Company capitalized additional debt issuance costs of $0.4 million associated with refinancing its Credit Facility and Securitization Facility in 2023 and $10.4 million in 2022. At December 31, 2023 and 2022, the Company had deferred financing costs of $5.7 million and $7.8 million, respectively, related to the revolver under the Credit Facility and the revolving Securitization Facility, each recorded within prepaid expenses and other current assets, on the Consolidated Balance Sheets. The Company had deferred financing costs and debt discounts of $19.0 million and $23.9 million at December 31, 2023 and 2022, respectively, related to the term notes under the Credit Facility, which were recorded as a discount to the term debt outstanding within the current portion of notes payable and lines of credit and within notes payable and other obligations, less current portion on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is defined as the total of net income and all other changes in equity that result from transactions and other economic events of a reporting period other than transactions with owners.</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lineRule="auto" w:line="256" w:before="180" w:after="283"/>
        <w:jc w:val="left"/>
        <w:rPr/>
      </w:pPr>
      <w:r>
        <w:rPr>
          <w:rFonts w:ascii="Times New Roman;sans-serif" w:hAnsi="Times New Roman;sans-serif"/>
          <w:b w:val="false"/>
          <w:color w:val="000000"/>
          <w:sz w:val="20"/>
        </w:rPr>
        <w:t>The Company main</w:t>
      </w:r>
      <w:r>
        <w:rPr>
          <w:rFonts w:ascii="Times New Roman;sans-serif" w:hAnsi="Times New Roman;sans-serif"/>
          <w:b w:val="false"/>
          <w:color w:val="000000"/>
          <w:sz w:val="20"/>
          <w:shd w:fill="FFFFFF" w:val="clear"/>
        </w:rPr>
        <w:t>tains a $1.7 billion revo</w:t>
      </w:r>
      <w:r>
        <w:rPr>
          <w:rFonts w:ascii="Times New Roman;sans-serif" w:hAnsi="Times New Roman;sans-serif"/>
          <w:b w:val="false"/>
          <w:color w:val="000000"/>
          <w:sz w:val="20"/>
        </w:rPr>
        <w:t>lving trade accounts receivable securitization facility (as amended from time to time, the "Securitization Facility"). Accounts receivable collateralized within our Securitization Facility primarily relate to trade receivables resulting primarily from charge card activity in the U.S. Pursuant to the terms of the Securitization Facility, the Company transfers in the form of a legal sale certain of its domestic receivables, on a revolving basis, to FLEETCOR Funding LLC ("Funding"), a wholly-owned bankruptcy remote consolidated subsidiary. In turn, Funding transfers in the form of a legal sale, without recourse, on a revolving basis, an undivided ownership interest in this pool of accounts receivable to unrelated transferees (i.e., multi-seller banks and asset-backed commercial paper conduits). Funding retains a residual, subordinated interest in cash flow distribution from the transferred receivables and provides to the transferees an incremental pledge of unsold receivables as a form of over-collateralization to enhance the credit of the transferred receivables. Purchases by the banks and conduits are generally financed with the sale of highly-rated commercial paper.</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utilizes proceeds from the securitized assets as an alternative to other forms of financing to reduce its overall borrowing costs. The Company has agreed to continue servicing the sold receivables for the financial institution at market rates, which approximates the Company’s cost of servicing. Funding determines the level of funding achieved by the sale of trade accounts receivable, subject to a maximum amount. As the Company maintains certain continuing involvement in the transferred/sold receivables, it does not derecognize the receivables from its Consolidated Balance Sheets. Instead, the Company records cash proceeds and any residual interest received as a Securitization Facility liability.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Balance Sheets and Statements of Income reflect the activity related to securitized accounts receivable and the corresponding securitized debt, including interest income, fees generated from late payments, provision for losses on accounts receivable and interest expense. The cash flows from borrowings and repayments associated with the securitized debt are presented as cash flows from financing activities. The maturity date for the Company's Securitization Facility is August 18, 2025.</w:t>
      </w:r>
    </w:p>
    <w:p>
      <w:pPr>
        <w:pStyle w:val="TextBody"/>
        <w:bidi w:val="0"/>
        <w:spacing w:lineRule="auto" w:line="256" w:before="180" w:after="283"/>
        <w:jc w:val="left"/>
        <w:rPr/>
      </w:pPr>
      <w:r>
        <w:rPr>
          <w:rFonts w:ascii="Times New Roman;sans-serif" w:hAnsi="Times New Roman;sans-serif"/>
          <w:b w:val="false"/>
          <w:color w:val="000000"/>
          <w:sz w:val="20"/>
        </w:rPr>
        <w:t>The Company’s accounts receivable and securitized accounts receivable include the following at December 31 (in thousands):</w:t>
      </w:r>
      <w:r>
        <w:rPr>
          <w:color w:val="000000"/>
        </w:rPr>
        <w:t> </w:t>
      </w:r>
    </w:p>
    <w:tbl>
      <w:tblPr>
        <w:tblW w:w="7505" w:type="dxa"/>
        <w:jc w:val="center"/>
        <w:tblInd w:w="0" w:type="dxa"/>
        <w:tblLayout w:type="fixed"/>
        <w:tblCellMar>
          <w:top w:w="28" w:type="dxa"/>
          <w:left w:w="28" w:type="dxa"/>
          <w:bottom w:w="28" w:type="dxa"/>
          <w:right w:w="28" w:type="dxa"/>
        </w:tblCellMar>
      </w:tblPr>
      <w:tblGrid>
        <w:gridCol w:w="1525"/>
        <w:gridCol w:w="1341"/>
        <w:gridCol w:w="1348"/>
        <w:gridCol w:w="109"/>
        <w:gridCol w:w="109"/>
        <w:gridCol w:w="109"/>
        <w:gridCol w:w="211"/>
        <w:gridCol w:w="976"/>
        <w:gridCol w:w="109"/>
        <w:gridCol w:w="109"/>
        <w:gridCol w:w="109"/>
        <w:gridCol w:w="109"/>
        <w:gridCol w:w="211"/>
        <w:gridCol w:w="97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domestic unsecuritized accounts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domestic securitized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foreign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3,501,591 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accounts and securitized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3,351,745 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3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rollforward of the Company’s allowance for credit losses related to accounts receivable for the years ended December 31 is as follows (in thousands):</w:t>
      </w:r>
    </w:p>
    <w:p>
      <w:pPr>
        <w:pStyle w:val="TextBody"/>
        <w:bidi w:val="0"/>
        <w:spacing w:lineRule="auto" w:line="256" w:before="300" w:after="283"/>
        <w:jc w:val="center"/>
        <w:rPr>
          <w:color w:val="000000"/>
        </w:rPr>
      </w:pPr>
      <w:r>
        <w:rPr>
          <w:color w:val="000000"/>
        </w:rPr>
        <w:t> </w:t>
      </w:r>
    </w:p>
    <w:tbl>
      <w:tblPr>
        <w:tblW w:w="8138" w:type="dxa"/>
        <w:jc w:val="center"/>
        <w:tblInd w:w="0" w:type="dxa"/>
        <w:tblLayout w:type="fixed"/>
        <w:tblCellMar>
          <w:top w:w="28" w:type="dxa"/>
          <w:left w:w="28" w:type="dxa"/>
          <w:bottom w:w="28" w:type="dxa"/>
          <w:right w:w="28" w:type="dxa"/>
        </w:tblCellMar>
      </w:tblPr>
      <w:tblGrid>
        <w:gridCol w:w="1369"/>
        <w:gridCol w:w="1201"/>
        <w:gridCol w:w="1209"/>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136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foreign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end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3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credit losses and write-offs increased during the years ended December 31, 2023 and December 31, 2022 versus historical periods, as customer spend increased due to new sales and higher fuel prices for 2022 and into 2023. New customers tend to have higher loss rates. Additionally, the Company experienced higher losses among micro-SMB (small-medium business) customers who were more severely impacted by negative economic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Advertising</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expenses advertising costs as incurred. Advertising expense was $64.6 million, $65.5 million and $54.8 million for the years ended December 31, 2023, 2022 and 2021, respectively.</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reports basic and diluted earnings per share. Basic earnings per share is calculated using the weighted average of common stock and non-vested, non-forfeitable restricted shares outstanding, unadjusted for dilution, and net income attributable to common shareholders.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 is calculated using the weighted average shares outstanding and contingently issuable shares less weighted average shares recognized during the period. The net outstanding shares have been adjusted for the dilutive effect of common stock equivalents, which consist of outstanding stock options and unvested forfeitable restricted stock units.</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Reclassifications and Adjustments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disclosures for prior periods have been reclassified to conform with current year presentation, including the presentation of prior year segment disclosures to align with our current segment presentation.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Adoption of New Accounting Standards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the FASB issued ASU No. 2020-04, “Reference Rate Reform (Topic 848): Facilitation of the Effects of Reference Rate Reform on Financial Reporting" (“ASU 2020-04”). The pronouncement provides temporary optional expedients and exceptions to the current guidance on contract modifications and hedge accounting to ease the financial reporting burdens related to the expected market transition from the London Interbank Offered Rate ("LIBOR") and other interbank offered rates to alternative reference rates. The guidance was effective upon issuance and may be applied prospectively to contract modifications made and hedging relationships entered into or evaluated on or before December 31, 2022. The adoption of ASU 2020-04 did not have a material impact on the Company's consolidated financial statements. The Company transitioned from LIBOR to the Sterling Overnight Index Average Reference Rate (“SONIA”) plus a SONIA adjustment of 0.0326% for sterling borrowings, the Euro Interbank Offered Rate for euro borrowings, and the Tokyo Interbank Offer Rate for yen borrowings. In December 2022, the FASB issued ASU No. 2022-06, "Deferral of the Sunset Date of (Topic 848)" which defers the sunset date of ASC 848 until December 31, 2024. The ASU became effective upon issuance. The Company has availed itself to the practical expedients related to any changes in the reference rate related to our debt and interest rate swaps. Cross currency derivatives are not impacted by this ASU.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Debt with Conversion and Other Options and Derivatives and Hedging—Contracts in Entity’s Own Equity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2020, the FASB issued ASU No. 2020-06, "Debt—Debt with Conversion and Other Options (Subtopic 470-20) and Derivatives and Hedging—Contracts in Entity's Own Equity (Subtopic 815-40)—Accounting for Convertible Instruments and Contracts in an Entity's Own Equity" ("ASU 2020-06"), which address issues identified as a result of the complexity associated with applying GAAP for certain financial instruments with characteristics of liabilities and equity. ASU 2020-06 also improve the guidance related to the disclosures and earnings per share for convertible instruments and contracts in entity's own equity. The amendments in this update are effective for fiscal years beginning after December 15, 2021, including interim periods within those fiscal years and should be applied prospectively to business combinations occurring on or after the effective date of the amendments. The Company adopted this ASU on January 1, 2022. The adoption of ASU 2020-06 did not have a material impact on the Company's results of operations, financial condition, or cash flows.</w:t>
      </w:r>
    </w:p>
    <w:p>
      <w:pPr>
        <w:pStyle w:val="TextBody"/>
        <w:bidi w:val="0"/>
        <w:spacing w:lineRule="auto" w:line="256"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for Contract Assets and Contract Liabilities from Contracts with Customers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the FASB issued ASU 2021-08, Accounting for Contract Assets and Contract Liabilities from Contracts with Customers (Topic 805) ("ASU 2021-08"), which requires an acquirer to account for revenue contracts acquired in a business combination in accordance with Topic 606 as if it had originated the contracts. The acquirer may assess how the acquiree applied Topic 606 to determine what to record for the acquired contracts. This update also provides certain practical expedients for acquirers when recognizing and measuring acquired contract assets and contract liabilities from revenue contracts in a business combination. The amendments in this update are effective for fiscal years beginning after December 15, 2022, including interim periods within those fiscal years and should be applied prospectively to business combinations occurring on or after the effective date of the amendments. The Company adopted this ASU on January 1, 2023. The adoption of ASU 2021-08 did not have a material impact on the Company's results of operations, financial condition, or cash flows.</w:t>
      </w:r>
    </w:p>
    <w:p>
      <w:pPr>
        <w:pStyle w:val="TextBody"/>
        <w:bidi w:val="0"/>
        <w:spacing w:lineRule="auto" w:line="256" w:before="180" w:after="18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 Not Yet Adopted</w:t>
      </w:r>
    </w:p>
    <w:p>
      <w:pPr>
        <w:pStyle w:val="TextBody"/>
        <w:bidi w:val="0"/>
        <w:spacing w:lineRule="auto" w:line="256"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Financial Accounting Standards Board (FASB) issued ASU No. 2023-07, "Segment Reporting (Topic 280): Improvements to Reportable Segment Disclosures" ("ASU 2023-07"). The amendments are intended to increase reportable segment disclosure requirements primarily through enhanced disclosures about significant segment expenses. The ASU is effective on a retrospective basis for fiscal years beginning after December 15, 2023, and interim periods within fiscal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beginning after December 15, 2024, with early adoption permitted. Upon transition, the segment expense categories and amounts disclosed in the prior periods should be based on the significant segment expense categories identified and disclosed in the period of adoption. We are currently evaluating the impact of this guidance on the disclosures within our consolidated financial statements.</w:t>
      </w:r>
    </w:p>
    <w:p>
      <w:pPr>
        <w:pStyle w:val="TextBody"/>
        <w:bidi w:val="0"/>
        <w:spacing w:lineRule="auto" w:line="256"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Improvements to Income Tax Disclosures" ("ASU 2023-09"). The amendments require disclosure of specific categories in the rate reconciliation and provide additional information for reconciling items that meet a quantitative threshold and further disaggregation of income taxes paid for individually significant jurisdictions. The ASU is effective for fiscal years beginning after December 15, 2024, with early adoption permitted. ASU 2023-09 should be applied on a prospective basis, while retrospective application is permitted. We are currently evaluating the impact that this guidance will have on the disclosures within our consolidated financial statements.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3. Revenue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payment solutions to our business, merchant, consumer and payment network customers. Our payment solutions are primarily focused on specific commercial spend or geographically-defined categories, including Vehicle Payments, Corporate Payments, Lodging Payments and Other. The Company provides solutions that help businesses of all sizes control, simplify and secure payment of various domestic and cross-border payables using specialized payment products. The Company also provides other payment solutions for fleet maintenance, employee benefits and long-haul transportation-related services. </w:t>
      </w:r>
    </w:p>
    <w:p>
      <w:pPr>
        <w:pStyle w:val="TextBody"/>
        <w:bidi w:val="0"/>
        <w:spacing w:lineRule="auto" w:line="256" w:before="18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Payment Services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primary performance obligation for the majority of its payment solutions (Vehicle Payments, Corporate Payments, Lodging Payments, and Other) is to stand-ready to provide authorization and processing services (payment services) for an unknown or unspecified quantity of transactions and the consideration received is contingent upon the customer’s use (e.g., number of transactions submitted and processed) of the related payment services. Accordingly, the total transaction price is variable. Payment services involve a series of distinct daily services that are substantially the same, with the same pattern of transfer to the customer. As a result, the Company directly allocates and recognizes variable consideration in the period it has the contractual right to invoice the customer. Similarly, for the toll product within Vehicle Payments, the Company's primary performance obligation is to stand-ready each month to provide access to the toll network and process toll transactions. Each period of access is determined to be distinct and substantially the same as the customer benefits over the period of access. </w:t>
      </w:r>
    </w:p>
    <w:p>
      <w:pPr>
        <w:pStyle w:val="TextBody"/>
        <w:bidi w:val="0"/>
        <w:spacing w:lineRule="auto" w:line="256"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revenue for its payment services net of (i) the cost of the underlying products and services; (ii) assessments and other fees charged by the credit and debit payment networks (along with any rebates provided by them); (iii) customer rebates and other discounts; and (iv) taxes assessed (e.g. VAT and VAT-like taxes) by a government, imposed concurrent with a revenue-producing transaction. Variability arising from rebates is generally resolved and/or reset within the reporting period to which the variable consideration is allocated. As such, the Company is able to directly allocate net adjustments against revenue in the reporting period in which they are invoiced and does not materially constrain revenue recognition as a significant reversal of revenue is not probable at invoicing.</w:t>
      </w:r>
    </w:p>
    <w:p>
      <w:pPr>
        <w:pStyle w:val="TextBody"/>
        <w:bidi w:val="0"/>
        <w:spacing w:lineRule="auto" w:line="256"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the transaction price the Company receives for fulfilling the Payment Services performance obligation are comprised of one or a combination of the following: 1) interchange fees earned from the payment networks; 2) discount fees earned from merchants; 3) fees calculated based on a number of transactions processed; 4) fees calculated based upon a percentage of the transaction value for the underlying goods or services (i.e. fuel, food, toll, lodging, and transportation cards and vouchers); and 5) monthly access fees. </w:t>
      </w:r>
    </w:p>
    <w:p>
      <w:pPr>
        <w:pStyle w:val="TextBody"/>
        <w:bidi w:val="0"/>
        <w:spacing w:lineRule="auto" w:line="256"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revenue when the underlying transactions are complete and as its performance obligations are satisfied. Transactions are considered complete depending upon the related payment solution but generally when the Company has authorized the transaction, validated that the transaction has no errors and accepted and posted the data to the Company’s records.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Company's cross-border payments business, a portion of revenue is from exchanges of currency at spot rates, which enables customers to make cross-currency payments. The Company's performance obligation for its foreign exchange payment services is providing a foreign currency payment to a customer’s designated recipient and therefore, the Company recognizes revenue on foreign exchange payment services when the underlying payment is made. Revenues from foreign exchange payment services are primarily comprised of the difference between the exchange rate set by the Company to the customer and the rate available in the wholesale foreign exchange market.</w:t>
      </w:r>
    </w:p>
    <w:p>
      <w:pPr>
        <w:pStyle w:val="TextBody"/>
        <w:bidi w:val="0"/>
        <w:spacing w:lineRule="auto" w:line="256" w:before="18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Gift Card Products and Services</w:t>
      </w:r>
    </w:p>
    <w:p>
      <w:pPr>
        <w:pStyle w:val="TextBody"/>
        <w:bidi w:val="0"/>
        <w:spacing w:lineRule="auto" w:line="256"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Gift solutions deliver both stored value cards and e-cards (cards), and card-based services primarily in the form of gift cards to retailers. These activities each represent performance obligations that are separate and distinct. Revenue for stored value cards is recognized (gross of the underlying cost of the related card, recorded in processing expenses within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Statements of Income) at the point in time when control passes to the Company's customer, which is generally upon shipment. </w:t>
      </w:r>
    </w:p>
    <w:p>
      <w:pPr>
        <w:pStyle w:val="TextBody"/>
        <w:bidi w:val="0"/>
        <w:spacing w:lineRule="auto" w:line="256"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Card-based services consist of transaction processing and reporting of gift card transactions where the Company recognizes revenue based on the passage of time as it stands ready to process an unknown or unspecified quantity of transactions. As a result, the Company directly allocates and recognizes variable consideration over the estimated period of time over which the performance obligation is satisfied. </w:t>
      </w:r>
    </w:p>
    <w:p>
      <w:pPr>
        <w:pStyle w:val="TextBody"/>
        <w:bidi w:val="0"/>
        <w:spacing w:lineRule="auto" w:line="256" w:before="18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revenue from late fees and finance charges, in jurisdictions where permitted under local regulations, primarily in the U.S., Canada and Brazil, in accordance with ASC 310, "Receivables." Such fees are recognized net of a provision for estimated uncollectible amounts, at the time the fees and finance charges are assessed and services are provided and represent approximately 5% of total consolidated revenues, net for the years ended December 31, 2023 and 2022. The Company ceases billing and accruing for late fees and finance charges approximately 30 - 40 days after the customer’s balance becomes delinquent.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its cross-border payments business, the Company writes foreign currency forwards, option contracts and swaps for its customers primarily to facilitate future payments in foreign currencies. The duration of these derivative contracts at inception is generally less than one year. The Company aggregates its foreign exchange exposures arising from customer contracts, including forwards, options and spot exchanges of currency, as necessary, and economically hedges the net currency risks by entering into offsetting derivatives with established financial institution counterparties. The Company accounts for the derivatives in its cross-border payments business in accordance with ASC 815, "Derivatives and Hedging." Revenues earned on the currency spread inherent in the instruments on date of execution, as well as changes in fair value related to these instruments prior to settlement, represented approximately 8% of consolidated revenues, net, for the years ended December 31, 2023 and 2022.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also derived from the sale of equipment and cards in certain of the Company’s businesses, which is recognized at the time the device or card is sold and control has passed to the customer. This revenue is recognized gross of the cost of sales related to the equipment and cards in revenues, net within the Consolidated Statements of Income. The Company has recorded $76.3 million, $83.1 million and $76.6 million of expenses related to sales of equipment and cards in processing expenses within the Consolidated Statements of Income for the years ended December 31, 2023, 2022 and 2021, respectively. </w:t>
      </w:r>
    </w:p>
    <w:p>
      <w:pPr>
        <w:pStyle w:val="TextBody"/>
        <w:bidi w:val="0"/>
        <w:spacing w:lineRule="auto" w:line="256"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 within the scope of Topic 606, represent approximately 85% and 87% of consolidated revenues, net, for the years ended December 31, 2023 and 2022, respectively.</w:t>
      </w:r>
    </w:p>
    <w:p>
      <w:pPr>
        <w:pStyle w:val="TextBody"/>
        <w:bidi w:val="0"/>
        <w:spacing w:lineRule="auto" w:line="256"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remaining revenue primarily represents float revenue earned on invested customer funds in jurisdictions where permitted. Such revenue represented approximately 2% of consolidated revenues, net for the year ended December 31, 2023 and was not significant for the years ended December 31, 2022 or 2021.</w:t>
      </w:r>
    </w:p>
    <w:p>
      <w:pPr>
        <w:pStyle w:val="TextBody"/>
        <w:bidi w:val="0"/>
        <w:spacing w:lineRule="auto" w:line="256" w:before="18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Disaggregation of Revenues</w:t>
      </w:r>
    </w:p>
    <w:p>
      <w:pPr>
        <w:pStyle w:val="TextBody"/>
        <w:bidi w:val="0"/>
        <w:spacing w:lineRule="auto" w:line="256"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its services to customers across different payment solutions and geographies. Revenues, net by solution for the years ended December 31 (in millions) are as follows:</w:t>
      </w:r>
    </w:p>
    <w:p>
      <w:pPr>
        <w:pStyle w:val="TextBody"/>
        <w:bidi w:val="0"/>
        <w:spacing w:lineRule="auto" w:line="256" w:before="180" w:after="120"/>
        <w:jc w:val="center"/>
        <w:rPr>
          <w:color w:val="000000"/>
        </w:rPr>
      </w:pPr>
      <w:r>
        <w:rPr>
          <w:color w:val="000000"/>
        </w:rPr>
        <w:t> </w:t>
      </w:r>
    </w:p>
    <w:tbl>
      <w:tblPr>
        <w:tblW w:w="7092" w:type="dxa"/>
        <w:jc w:val="center"/>
        <w:tblInd w:w="0" w:type="dxa"/>
        <w:tblLayout w:type="fixed"/>
        <w:tblCellMar>
          <w:top w:w="28" w:type="dxa"/>
          <w:left w:w="28" w:type="dxa"/>
          <w:bottom w:w="28" w:type="dxa"/>
          <w:right w:w="28" w:type="dxa"/>
        </w:tblCellMar>
      </w:tblPr>
      <w:tblGrid>
        <w:gridCol w:w="841"/>
        <w:gridCol w:w="739"/>
        <w:gridCol w:w="744"/>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311"/>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Revenues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2"/>
            <w:tcBorders/>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 by geography for the years ended December 31 (in millions) are as follows:</w:t>
      </w:r>
    </w:p>
    <w:tbl>
      <w:tblPr>
        <w:tblW w:w="7254" w:type="dxa"/>
        <w:jc w:val="center"/>
        <w:tblInd w:w="0" w:type="dxa"/>
        <w:tblLayout w:type="fixed"/>
        <w:tblCellMar>
          <w:top w:w="28" w:type="dxa"/>
          <w:left w:w="28" w:type="dxa"/>
          <w:bottom w:w="28" w:type="dxa"/>
          <w:right w:w="28" w:type="dxa"/>
        </w:tblCellMar>
      </w:tblPr>
      <w:tblGrid>
        <w:gridCol w:w="1074"/>
        <w:gridCol w:w="945"/>
        <w:gridCol w:w="951"/>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 by Geography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(country of domicile)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3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Contract Liabilities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contract liabilities for customers subject to ASC 606 were $45.7 million and $57.7 million as of December 31, 2023 and 2022, respectively. We expect to recognize approximately $31.9 million of these amounts in revenues within 12 months and the remaining $13.8 million over the next five years as of December 31, 2023. The amount and timing of revenue recognition is affected by several factors, including contract modifications and terminations, which could impact the estimate of amounts allocated to remaining performance obligations and when such revenues could be recognized. Revenue recognized for the year ended December 31, 2023, that was included in the deferred revenue contract liability as of January 1, 2023, was approximately $36.4 million. </w:t>
      </w:r>
    </w:p>
    <w:p>
      <w:pPr>
        <w:pStyle w:val="TextBody"/>
        <w:bidi w:val="0"/>
        <w:spacing w:lineRule="auto" w:line="256" w:before="18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Costs to Obtain or Fulfill a Contract and/or Customer Incentives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606, the Company capitalizes the incremental costs of obtaining a contract with a customer if the Company expects to recover those costs. The incremental costs of obtaining a contract are those that the Company incurs to obtain a contract with a customer that it would not have incurred if the contract had not been obtained (for example, a sales commission).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incurred to fulfill a contract are capitalized if those costs meet all of the following criteria:</w:t>
      </w:r>
    </w:p>
    <w:p>
      <w:pPr>
        <w:pStyle w:val="TextBody"/>
        <w:bidi w:val="0"/>
        <w:spacing w:lineRule="auto" w:line="25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a.The costs relate directly to a contract or to an anticipated contract that the Company can specifically identify.</w:t>
      </w:r>
    </w:p>
    <w:p>
      <w:pPr>
        <w:pStyle w:val="TextBody"/>
        <w:bidi w:val="0"/>
        <w:spacing w:lineRule="auto" w:line="25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b.The costs generate or enhance resources of the Company that will be used in satisfying (or in continuing to satisfy) performance obligations in the future.</w:t>
      </w:r>
    </w:p>
    <w:p>
      <w:pPr>
        <w:pStyle w:val="TextBody"/>
        <w:bidi w:val="0"/>
        <w:spacing w:lineRule="auto" w:line="25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c.The costs are expected to be recovered.</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determine the appropriate amortization period for contract costs, the Company considers a combination of factors, including customer attrition rates, estimated terms of customer relationships, the useful lives of technology used by the Company to provide products and services to its customers, whether further contract renewals are expected and if there is any incremental commission to be paid on a contract renewal. Contract acquisition and fulfillment costs are amortized using the straight-line method over the expected period of benefit (ranging from five to ten years). Costs to obtain a contract with an expected period of benefit of one year or less are recognized as an expense when incurred. The amortization of contract acquisition costs associated with sales commissions that qualify for capitalization is recorded as selling expense in the Company’s Consolidated Statements of Income.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capitalized contract costs recorded in selling expense was $16.7 million, $15.4 million and $16.0 million for the years ended December 31, 2023, 2022 and 2021, respectively.</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Costs to obtain or fulfill a contract are classified as contract cost assets within prepaid expenses and other current assets and other assets in the Company’s Consolidated Balance Sheets. The Company had capitalized contract costs of $19.2 million and $17.1 million within prepaid expenses and other current assets and $44.9 million and $42.9 million within other assets in the Company’s Consolidated Balance Sheets, as of December 31, 2023 and 2022, respectively.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Company on occasion may make a cash payment to a customer as a contract incentive. We defer these costs as payments to a customer if recoverable and amortize them over the benefit period, including anticipated customer renewals. The amortization of costs associated with cash payments for client incentives is included as a reduction of revenues in the Company’s Consolidated Statements of Income. The Company had deferred customer incentives of $10.0 million and $9.5 million as of December 31, 2023 and 2022, respectively. Amortization of deferred customer incentives was immaterial for the years ended December 31, 2023, 2022 and 2021.</w:t>
      </w:r>
    </w:p>
    <w:p>
      <w:pPr>
        <w:pStyle w:val="TextBody"/>
        <w:bidi w:val="0"/>
        <w:spacing w:lineRule="auto" w:line="256" w:before="18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Practical Expedients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 606 requires disclosure of the aggregate amount of the transaction price allocated to unsatisfied performance obligations; however, as allowed by ASC 606, the Company elected to exclude this disclosure for contracts with performance obligations of one year or less and contracts with variable consideration that is directly allocated to a single performance obligation such as a stand-ready series. As described above, the Company's most significant single performance obligations consist of variable consideration directly allocated under a stand-ready series of distinct days of service. Such direct allocation of variable consideration meets the specified criteria for the disclosure exclusion; therefore, the majority of the aggregate amount of transaction price that is allocated to unsatisfied performance obligations is variable consideration that is not required for this disclosure. The aggregate fixed consideration portion of customer contracts with an initial contract duration greater than one year is not material.</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to exclude all sales taxes and other similar taxes from the transaction price. Accordingly, the Company presents all collections from customers for these taxes on a net basis, rather than having to assess whether the Company is acting as an agent or a principal in each taxing jurisdiction.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certain arrangements with customers, the Company has determined that certain promised services and products are immaterial in the context of the contract, both quantitatively and qualitatively.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a practical expedient, the Company is not required to adjust the promised amount of consideration for the effects of a significant financing component if the Company expects, at contract inception, that the period between when the Company transfers a promised service or product to a customer and when the customer pays for the service or product will be one year or less. As of December 31, 2023, the Company’s contracts with customers contain standard pricing where the timing on control transfer is dependent upon the customer in a stand-ready environment and therefore did not contain a significant financing component.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a market-based measurement that reflects assumptions that market participants would use in pricing an asset or liability. GAAP discusses valuation techniques, such as the market approach (comparable market prices), the income approach (present value of future income or cash flow), and the cost approach (cost to replace the service capacity of an asset or replacement cost). These valuation techniques are based upon observable and unobservable inputs. Observable inputs reflect market data obtained from independent sources, while unobservable inputs reflect the Company’s market assumptions.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the basis for evaluating such inputs, a three-tier value hierarchy prioritizes the inputs used in measuring fair value as follows:</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Level 1: Observable inputs such as quoted prices for identical assets or liabilities in active markets.</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Level 2: Observable inputs other than quoted prices that are directly or indirectly observable for the asset or liability, including quoted prices for similar assets or liabilities in active markets; quoted prices for similar or identical assets or liabilities in markets that are not active; and model-derived valuations whose inputs are observable or whose significant value drivers are observable.</w:t>
      </w:r>
    </w:p>
    <w:p>
      <w:pPr>
        <w:pStyle w:val="TextBody"/>
        <w:bidi w:val="0"/>
        <w:spacing w:lineRule="auto" w:line="256" w:before="60" w:after="283"/>
        <w:ind w:left="0" w:right="0" w:hanging="360"/>
        <w:jc w:val="left"/>
        <w:rPr/>
      </w:pPr>
      <w:r>
        <w:rPr>
          <w:color w:val="000000"/>
        </w:rPr>
        <w:t>•</w:t>
      </w:r>
      <w:r>
        <w:rPr>
          <w:rFonts w:ascii="Times New Roman;sans-serif" w:hAnsi="Times New Roman;sans-serif"/>
          <w:b w:val="false"/>
          <w:color w:val="000000"/>
          <w:sz w:val="20"/>
        </w:rPr>
        <w:t xml:space="preserve">Level 3: Unobservable inputs for which there is little or no market data, which require the reporting entity to develop its own assumptions. The fair value hierarchy also requires an entity to maximize the use of observable inputs and minimize the use of unobservable inputs when measuring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pPr>
      <w:r>
        <w:rPr>
          <w:rFonts w:ascii="Times New Roman;sans-serif" w:hAnsi="Times New Roman;sans-serif"/>
          <w:b w:val="false"/>
          <w:color w:val="000000"/>
          <w:sz w:val="20"/>
        </w:rPr>
        <w:t>The following table presents the Company’s financial assets and liabilities which are measured at fair values on a recurring basis as of December 31, 2023 and 2022, (in thousands):</w:t>
      </w:r>
      <w:r>
        <w:rPr>
          <w:color w:val="000000"/>
        </w:rPr>
        <w:t> </w:t>
      </w:r>
    </w:p>
    <w:tbl>
      <w:tblPr>
        <w:tblW w:w="10136" w:type="dxa"/>
        <w:jc w:val="center"/>
        <w:tblInd w:w="0" w:type="dxa"/>
        <w:tblLayout w:type="fixed"/>
        <w:tblCellMar>
          <w:top w:w="28" w:type="dxa"/>
          <w:left w:w="28" w:type="dxa"/>
          <w:bottom w:w="28" w:type="dxa"/>
          <w:right w:w="28" w:type="dxa"/>
        </w:tblCellMar>
      </w:tblPr>
      <w:tblGrid>
        <w:gridCol w:w="1714"/>
        <w:gridCol w:w="1509"/>
        <w:gridCol w:w="1516"/>
        <w:gridCol w:w="109"/>
        <w:gridCol w:w="109"/>
        <w:gridCol w:w="109"/>
        <w:gridCol w:w="211"/>
        <w:gridCol w:w="976"/>
        <w:gridCol w:w="109"/>
        <w:gridCol w:w="109"/>
        <w:gridCol w:w="109"/>
        <w:gridCol w:w="109"/>
        <w:gridCol w:w="211"/>
        <w:gridCol w:w="406"/>
        <w:gridCol w:w="109"/>
        <w:gridCol w:w="109"/>
        <w:gridCol w:w="109"/>
        <w:gridCol w:w="109"/>
        <w:gridCol w:w="211"/>
        <w:gridCol w:w="976"/>
        <w:gridCol w:w="109"/>
        <w:gridCol w:w="109"/>
        <w:gridCol w:w="109"/>
        <w:gridCol w:w="109"/>
        <w:gridCol w:w="211"/>
        <w:gridCol w:w="406"/>
        <w:gridCol w:w="154"/>
      </w:tblGrid>
      <w:tr>
        <w:trPr/>
        <w:tc>
          <w:tcPr>
            <w:tcW w:w="1714"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Overnight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collateral for 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Cross-currency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collateral obligation for 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180,168 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Overnight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collateral for 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collateral obligation for 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148,167 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highly-liquid investments classified as cash equivalents, with original maturities of 90 days or less, included in our Consolidated Balance Sheets. The Company utilizes Level 2 fair value determinations derived from directly or indirectly observable (market based) information to determine the fair value of these highly liquid investments. The Company has certain cash and cash equivalents that are invested in highly liquid investments, such as, overnight deposits, money markets, certificates of deposit and Treasury bills, with purchased maturities ranging from overnight to 90 days or less. The value of overnight deposits is determined based upon the quoted market prices for the treasury securities associated with the deposit. The value of money market instruments is determined based upon the financial institutions' month-end statement, as these instruments are not tradable and must be settled directly by us with the respective financial institution. Certificates of deposit and certain U.S. Treasury bills are valued at cost, plus interest accrued. Given the short-term nature of these instruments, the carrying value approximates fair value. Foreign exchange derivative contracts are carried at fair value, with changes in fair value recognized in the Consolidated Statements of Income. The fair value of the Company's derivatives is derived with reference to a valuation from a derivatives dealer operating in an active market, which approximates the fair value of these instruments. Interest rate swap derivative contracts are carried at fair value, with changes in fair value recognized in accumulated other comprehensive loss to the extent designated as highly effective cash flow hedges for accounting purposes.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represents the net settlement if the contracts were terminated as of the reporting date. Cash collateral received for foreign exchange derivatives is recorded within customer deposits in our Consolidated Balance Sheets. Cash collateral deposited for foreign exchange derivatives is recorded within restricted cash in our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level within the fair value hierarchy and the measurement technique are reviewed quarterly. Transfers between levels are deemed to have occurred at the end of the quarter. There were no transfers between fair value levels during the periods presented for 2023 and 2022.</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assets that are measured at fair value on a nonrecurring basis and are evaluated with periodic testing for impairment include property, plant and equipment, investments, goodwill and other intangible assets. Estimates of the fair value of assets acquired and liabilities assumed in business combinations are generally developed using key inputs such as management’s projections of cash flows on a held-and-used basis (if applicable), discounted as appropriate, management’s projections of cash flows upon disposition and discount rates. Accordingly, these fair value measurements are in Level 3 of the fair value hierarchy.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derivatives are over-the-counter instruments with liquid markets. The Company determines the fair values of its derivatives based on quoted market prices for similar assets or liabilities or pricing models using current market rates. Accordingly, these fair value measurements are in Level 2 of the fair value hierarchy. The amounts exchanged are calculated by reference to the notional amounts and by other terms of the derivatives, such as interest rates, foreign currency exchange rates, commodity rates or other financial indices. See Note 16 for additional information on the fair value of the Company’s derivatives.</w:t>
      </w:r>
    </w:p>
    <w:p>
      <w:pPr>
        <w:pStyle w:val="TextBody"/>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regularly evaluates the carrying value of its investments. The carrying value of investments without readily determinable fair values was $69.5 million and $74.3 million at December 31, 2023 and 2022, respectively.</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cash, accounts receivable, securitized accounts receivable and related facility, prepaid expenses and other current assets, accounts payable, accrued expenses, customer deposits and short-term borrowings approximate their respective carrying values due to the short-term maturities of the instruments. The carrying value of the Company’s debt obligations approximates fair value as the interest rates on the debt are variable market-based interest rates that reset on a monthly basis. These are each Level 2 fair value measurements, except for cash, which is a Level 1 fair value measurement.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5. Stockholders' Equity</w:t>
      </w:r>
    </w:p>
    <w:p>
      <w:pPr>
        <w:pStyle w:val="TextBody"/>
        <w:bidi w:val="0"/>
        <w:spacing w:lineRule="auto" w:line="256" w:before="180" w:after="283"/>
        <w:jc w:val="left"/>
        <w:rPr/>
      </w:pPr>
      <w:r>
        <w:rPr>
          <w:rFonts w:ascii="Times New Roman;sans-serif" w:hAnsi="Times New Roman;sans-serif"/>
          <w:b w:val="false"/>
          <w:color w:val="000000"/>
          <w:sz w:val="20"/>
          <w:shd w:fill="FFFFFF" w:val="clear"/>
        </w:rPr>
        <w:t xml:space="preserve">The Company's Board of Directors (the "Board") has approved a stock repurchase program (as updated from time to time, the "Program") authorizing the Company to repurchase its common stock from time to time until February </w:t>
      </w:r>
      <w:r>
        <w:rPr>
          <w:rFonts w:ascii="Times New Roman;sans-serif" w:hAnsi="Times New Roman;sans-serif"/>
          <w:b w:val="false"/>
          <w:color w:val="000000"/>
          <w:sz w:val="20"/>
        </w:rPr>
        <w:t xml:space="preserve">4, 2025. On January 25, 2024, the Board authorized an increase to the aggregate size of the Program by $1.0 billion to $8.1 billion. </w:t>
      </w:r>
      <w:r>
        <w:rPr>
          <w:rFonts w:ascii="Times New Roman;sans-serif" w:hAnsi="Times New Roman;sans-serif"/>
          <w:b w:val="false"/>
          <w:color w:val="000000"/>
          <w:sz w:val="20"/>
          <w:shd w:fill="FFFFFF" w:val="clear"/>
        </w:rPr>
        <w:t>Since the beginning of the Program through December 31, 2023</w:t>
      </w:r>
      <w:r>
        <w:rPr>
          <w:rFonts w:ascii="Times New Roman;sans-serif" w:hAnsi="Times New Roman;sans-serif"/>
          <w:b w:val="false"/>
          <w:color w:val="000000"/>
          <w:sz w:val="20"/>
        </w:rPr>
        <w:t>, 28,878,862 shares have been repurchased for an aggregate purchase price of $6.5 billion, leavi</w:t>
      </w:r>
      <w:r>
        <w:rPr>
          <w:rFonts w:ascii="Times New Roman;sans-serif" w:hAnsi="Times New Roman;sans-serif"/>
          <w:b w:val="false"/>
          <w:color w:val="000000"/>
          <w:sz w:val="20"/>
          <w:shd w:fill="FFFFFF" w:val="clear"/>
        </w:rPr>
        <w:t>ng the Company</w:t>
      </w:r>
      <w:r>
        <w:rPr>
          <w:color w:val="000000"/>
        </w:rPr>
        <w:t xml:space="preserve"> </w:t>
      </w:r>
      <w:r>
        <w:rPr>
          <w:rFonts w:ascii="Times New Roman;sans-serif" w:hAnsi="Times New Roman;sans-serif"/>
          <w:b w:val="false"/>
          <w:color w:val="000000"/>
          <w:sz w:val="20"/>
        </w:rPr>
        <w:t>up to $1.6 billion of remaining authorization</w:t>
      </w:r>
      <w:r>
        <w:rPr>
          <w:color w:val="000000"/>
          <w:shd w:fill="FFFFFF" w:val="clear"/>
        </w:rPr>
        <w:t xml:space="preserve"> </w:t>
      </w:r>
      <w:r>
        <w:rPr>
          <w:rFonts w:ascii="Times New Roman;sans-serif" w:hAnsi="Times New Roman;sans-serif"/>
          <w:b w:val="false"/>
          <w:color w:val="000000"/>
          <w:sz w:val="20"/>
          <w:shd w:fill="FFFFFF" w:val="clear"/>
        </w:rPr>
        <w:t>available under the Program for future repurchases in shares of its common stock. The</w:t>
      </w:r>
      <w:r>
        <w:rPr>
          <w:rFonts w:ascii="Times New Roman;sans-serif" w:hAnsi="Times New Roman;sans-serif"/>
          <w:b w:val="false"/>
          <w:color w:val="000000"/>
          <w:sz w:val="20"/>
        </w:rPr>
        <w:t>re were 2,597,954 common shares totaling $687 million in 2023; 6,212,410</w:t>
      </w:r>
      <w:r>
        <w:rPr>
          <w:color w:val="000000"/>
          <w:shd w:fill="FFFFFF" w:val="clear"/>
        </w:rPr>
        <w:t xml:space="preserve"> </w:t>
      </w:r>
      <w:r>
        <w:rPr>
          <w:rFonts w:ascii="Times New Roman;sans-serif" w:hAnsi="Times New Roman;sans-serif"/>
          <w:b w:val="false"/>
          <w:color w:val="000000"/>
          <w:sz w:val="20"/>
          <w:shd w:fill="FFFFFF" w:val="clear"/>
        </w:rPr>
        <w:t>common shares totaling $1.4 billion in 2022 and 5,451,556 common shares totaling $1.4 billion in 2021; repurchased under the Program. Repurchased shares are held as treasury stock on the Company's Consolidated Balance Sheets.</w:t>
      </w:r>
    </w:p>
    <w:p>
      <w:pPr>
        <w:pStyle w:val="TextBody"/>
        <w:bidi w:val="0"/>
        <w:spacing w:lineRule="auto" w:line="256" w:before="18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18, 2023, as part of the Program, the Company entered an accelerated share repurchase ("ASR") agreement ("2023 ASR Agreement") with a third-party financial institution to repurchase $450 million of its common stock. Pursuant to the 2023 ASR Agreement, the Company delivered $450 million in cash and received 1,372,841 shares based on a stock price of $262.23 on August 18, 2023. The 2023 ASR Agreement was completed on September 26, 2023, at which time the Company received 293,588 additional shares based on a final weighted average per share purchase price during the repurchase period of $270.04.</w:t>
      </w:r>
    </w:p>
    <w:p>
      <w:pPr>
        <w:pStyle w:val="TextBody"/>
        <w:bidi w:val="0"/>
        <w:spacing w:lineRule="auto" w:line="256" w:before="18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accounted for the 2023 ASR Agreement as two separate transactions: (i) as shares of reacquired common stock for the shares delivered to the Company upon execution of the ASR Agreement and (ii) as a forward contract indexed to the Company's common stock for the undelivered shares. The initial delivery of shares was included in treasury stock at cost and resulted in an immediate reduction of the outstanding shares used to calculate the weighted average common shares outstanding for basic and diluted earnings per share. The forward contracts indexed to the Company's own common stock met the criteria for equity classification, and these amounts were initially recorded in additional paid-in capital and reclassified to treasury stock upon settlement based on the final weighted average per share price.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6. Stock-Based Compensation</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stock-based compensation pursuant to relevant authoritative guidance, which requires measurement of compensation cost for all stock awards at fair value on the date of grant and recognition of compensation, net of estimated forfeitures, over the requisite service period for awards expected to vest.</w:t>
      </w:r>
    </w:p>
    <w:p>
      <w:pPr>
        <w:pStyle w:val="TextBody"/>
        <w:bidi w:val="0"/>
        <w:spacing w:lineRule="auto" w:line="256" w:before="180" w:after="283"/>
        <w:jc w:val="left"/>
        <w:rPr/>
      </w:pPr>
      <w:r>
        <w:rPr>
          <w:rFonts w:ascii="Times New Roman;sans-serif" w:hAnsi="Times New Roman;sans-serif"/>
          <w:b w:val="false"/>
          <w:color w:val="000000"/>
          <w:sz w:val="20"/>
        </w:rPr>
        <w:t>The Company has a Stock Incentive Plan (the "Plan"), pursuant to which the Company's board of directors is permitted to grant equity to employees and directors. Under the Plan, a maximum of 20.65 million shares of our common stock is approved to be issued for grants of restricted stock and stock options. At December 31, 2023, the</w:t>
      </w:r>
      <w:r>
        <w:rPr>
          <w:rFonts w:ascii="Times New Roman;sans-serif" w:hAnsi="Times New Roman;sans-serif"/>
          <w:b w:val="false"/>
          <w:color w:val="000000"/>
          <w:sz w:val="20"/>
          <w:shd w:fill="FFFFFF" w:val="clear"/>
        </w:rPr>
        <w:t>re were 3.9 million shares av</w:t>
      </w:r>
      <w:r>
        <w:rPr>
          <w:rFonts w:ascii="Times New Roman;sans-serif" w:hAnsi="Times New Roman;sans-serif"/>
          <w:b w:val="false"/>
          <w:color w:val="000000"/>
          <w:sz w:val="20"/>
        </w:rPr>
        <w:t>ailable to be granted under the Plan. The Company does not issue shares from treasury stock under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expense recognized within general and administrative expenses in the Consolidated Statements of Income related to stock-based compensation for the years ended December 31 (in thousands):</w:t>
      </w:r>
    </w:p>
    <w:p>
      <w:pPr>
        <w:pStyle w:val="TextBody"/>
        <w:bidi w:val="0"/>
        <w:spacing w:lineRule="auto" w:line="256" w:before="180" w:after="283"/>
        <w:jc w:val="center"/>
        <w:rPr>
          <w:color w:val="000000"/>
        </w:rPr>
      </w:pPr>
      <w:r>
        <w:rPr>
          <w:color w:val="000000"/>
        </w:rPr>
        <w:t> </w:t>
      </w:r>
    </w:p>
    <w:tbl>
      <w:tblPr>
        <w:tblW w:w="6653" w:type="dxa"/>
        <w:jc w:val="center"/>
        <w:tblInd w:w="0" w:type="dxa"/>
        <w:tblLayout w:type="fixed"/>
        <w:tblCellMar>
          <w:top w:w="28" w:type="dxa"/>
          <w:left w:w="28" w:type="dxa"/>
          <w:bottom w:w="28" w:type="dxa"/>
          <w:right w:w="28" w:type="dxa"/>
        </w:tblCellMar>
      </w:tblPr>
      <w:tblGrid>
        <w:gridCol w:w="829"/>
        <w:gridCol w:w="729"/>
        <w:gridCol w:w="736"/>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300" w:after="283"/>
        <w:jc w:val="left"/>
        <w:rPr/>
      </w:pPr>
      <w:r>
        <w:rPr>
          <w:rFonts w:ascii="Times New Roman;sans-serif" w:hAnsi="Times New Roman;sans-serif"/>
          <w:b w:val="false"/>
          <w:color w:val="000000"/>
          <w:sz w:val="20"/>
        </w:rPr>
        <w:t>The tax benefits recorded upon the exercises of options a</w:t>
      </w:r>
      <w:r>
        <w:rPr>
          <w:rFonts w:ascii="Times New Roman;sans-serif" w:hAnsi="Times New Roman;sans-serif"/>
          <w:b w:val="false"/>
          <w:color w:val="000000"/>
          <w:sz w:val="20"/>
          <w:shd w:fill="FFFFFF" w:val="clear"/>
        </w:rPr>
        <w:t>nd vesting of restricted stock were $22.1 million, $25.5 million</w:t>
      </w:r>
      <w:r>
        <w:rPr>
          <w:color w:val="000000"/>
        </w:rPr>
        <w:t xml:space="preserve"> </w:t>
      </w:r>
      <w:r>
        <w:rPr>
          <w:rFonts w:ascii="Times New Roman;sans-serif" w:hAnsi="Times New Roman;sans-serif"/>
          <w:b w:val="false"/>
          <w:color w:val="000000"/>
          <w:sz w:val="20"/>
        </w:rPr>
        <w:t>and $32.8 million for the years ended December 31, 2023, 2022 and 2021, respectively.</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unrecognized compensation cost related to outstanding stock awards as of December 31, 2023 (cost in thousands):</w:t>
      </w:r>
    </w:p>
    <w:p>
      <w:pPr>
        <w:pStyle w:val="TextBody"/>
        <w:bidi w:val="0"/>
        <w:spacing w:lineRule="auto" w:line="256" w:before="180" w:after="283"/>
        <w:jc w:val="center"/>
        <w:rPr>
          <w:color w:val="000000"/>
        </w:rPr>
      </w:pPr>
      <w:r>
        <w:rPr>
          <w:color w:val="000000"/>
        </w:rPr>
        <w:t> </w:t>
      </w:r>
    </w:p>
    <w:tbl>
      <w:tblPr>
        <w:tblW w:w="5069" w:type="dxa"/>
        <w:jc w:val="center"/>
        <w:tblInd w:w="0" w:type="dxa"/>
        <w:tblLayout w:type="fixed"/>
        <w:tblCellMar>
          <w:top w:w="28" w:type="dxa"/>
          <w:left w:w="28" w:type="dxa"/>
          <w:bottom w:w="28" w:type="dxa"/>
          <w:right w:w="28" w:type="dxa"/>
        </w:tblCellMar>
      </w:tblPr>
      <w:tblGrid>
        <w:gridCol w:w="515"/>
        <w:gridCol w:w="453"/>
        <w:gridCol w:w="457"/>
        <w:gridCol w:w="109"/>
        <w:gridCol w:w="109"/>
        <w:gridCol w:w="109"/>
        <w:gridCol w:w="211"/>
        <w:gridCol w:w="826"/>
        <w:gridCol w:w="109"/>
        <w:gridCol w:w="109"/>
        <w:gridCol w:w="109"/>
        <w:gridCol w:w="109"/>
        <w:gridCol w:w="539"/>
        <w:gridCol w:w="539"/>
        <w:gridCol w:w="766"/>
      </w:tblGrid>
      <w:tr>
        <w:trPr/>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w:t>
              <w:br/>
              <w:t>Compensation</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Period of Expense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Recognition Remaining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Years)</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lineRule="auto" w:line="256" w:before="180" w:after="283"/>
        <w:jc w:val="left"/>
        <w:rPr/>
      </w:pPr>
      <w:r>
        <w:rPr>
          <w:rFonts w:ascii="Times New Roman;sans-serif" w:hAnsi="Times New Roman;sans-serif"/>
          <w:b w:val="false"/>
          <w:color w:val="000000"/>
          <w:sz w:val="20"/>
        </w:rPr>
        <w:t>The following summarizes the changes in the number of shares of stock options outstanding for the following periods (shares and aggregate intrinsic value in thousands):</w:t>
      </w:r>
      <w:r>
        <w:rPr>
          <w:color w:val="000000"/>
        </w:rPr>
        <w:t> </w:t>
      </w:r>
    </w:p>
    <w:tbl>
      <w:tblPr>
        <w:tblW w:w="10205" w:type="dxa"/>
        <w:jc w:val="center"/>
        <w:tblInd w:w="0" w:type="dxa"/>
        <w:tblLayout w:type="fixed"/>
        <w:tblCellMar>
          <w:top w:w="28" w:type="dxa"/>
          <w:left w:w="28" w:type="dxa"/>
          <w:bottom w:w="28" w:type="dxa"/>
          <w:right w:w="28" w:type="dxa"/>
        </w:tblCellMar>
      </w:tblPr>
      <w:tblGrid>
        <w:gridCol w:w="706"/>
        <w:gridCol w:w="620"/>
        <w:gridCol w:w="623"/>
        <w:gridCol w:w="109"/>
        <w:gridCol w:w="109"/>
        <w:gridCol w:w="109"/>
        <w:gridCol w:w="308"/>
        <w:gridCol w:w="308"/>
        <w:gridCol w:w="196"/>
        <w:gridCol w:w="109"/>
        <w:gridCol w:w="109"/>
        <w:gridCol w:w="109"/>
        <w:gridCol w:w="211"/>
        <w:gridCol w:w="721"/>
        <w:gridCol w:w="109"/>
        <w:gridCol w:w="109"/>
        <w:gridCol w:w="109"/>
        <w:gridCol w:w="109"/>
        <w:gridCol w:w="310"/>
        <w:gridCol w:w="310"/>
        <w:gridCol w:w="311"/>
        <w:gridCol w:w="109"/>
        <w:gridCol w:w="109"/>
        <w:gridCol w:w="109"/>
        <w:gridCol w:w="211"/>
        <w:gridCol w:w="721"/>
        <w:gridCol w:w="109"/>
        <w:gridCol w:w="109"/>
        <w:gridCol w:w="109"/>
        <w:gridCol w:w="109"/>
        <w:gridCol w:w="287"/>
        <w:gridCol w:w="839"/>
        <w:gridCol w:w="150"/>
        <w:gridCol w:w="109"/>
        <w:gridCol w:w="109"/>
        <w:gridCol w:w="109"/>
        <w:gridCol w:w="211"/>
        <w:gridCol w:w="826"/>
        <w:gridCol w:w="156"/>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br/>
              <w:t>Exercisable</w:t>
              <w:br/>
              <w:t>at End of</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 of</w:t>
              <w:br/>
              <w:t>Exercisable</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Fair</w:t>
              <w:br/>
              <w:t>Value of</w:t>
              <w:br/>
              <w:t>Options</w:t>
              <w:br/>
              <w:t>Granted During</w:t>
              <w:br/>
              <w:t>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to vest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stock options outstanding at December 31, 2023 (shares in thousands):</w:t>
      </w:r>
    </w:p>
    <w:p>
      <w:pPr>
        <w:pStyle w:val="TextBody"/>
        <w:bidi w:val="0"/>
        <w:spacing w:lineRule="auto" w:line="256" w:before="180" w:after="283"/>
        <w:jc w:val="center"/>
        <w:rPr>
          <w:color w:val="000000"/>
        </w:rPr>
      </w:pPr>
      <w:r>
        <w:rPr>
          <w:color w:val="000000"/>
        </w:rPr>
        <w:t> </w:t>
      </w:r>
    </w:p>
    <w:tbl>
      <w:tblPr>
        <w:tblW w:w="6145" w:type="dxa"/>
        <w:jc w:val="center"/>
        <w:tblInd w:w="0" w:type="dxa"/>
        <w:tblLayout w:type="fixed"/>
        <w:tblCellMar>
          <w:top w:w="28" w:type="dxa"/>
          <w:left w:w="28" w:type="dxa"/>
          <w:bottom w:w="28" w:type="dxa"/>
          <w:right w:w="28" w:type="dxa"/>
        </w:tblCellMar>
      </w:tblPr>
      <w:tblGrid>
        <w:gridCol w:w="603"/>
        <w:gridCol w:w="529"/>
        <w:gridCol w:w="533"/>
        <w:gridCol w:w="109"/>
        <w:gridCol w:w="109"/>
        <w:gridCol w:w="109"/>
        <w:gridCol w:w="335"/>
        <w:gridCol w:w="335"/>
        <w:gridCol w:w="336"/>
        <w:gridCol w:w="109"/>
        <w:gridCol w:w="109"/>
        <w:gridCol w:w="109"/>
        <w:gridCol w:w="490"/>
        <w:gridCol w:w="490"/>
        <w:gridCol w:w="491"/>
        <w:gridCol w:w="109"/>
        <w:gridCol w:w="109"/>
        <w:gridCol w:w="109"/>
        <w:gridCol w:w="308"/>
        <w:gridCol w:w="308"/>
        <w:gridCol w:w="406"/>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Remaining Vesting</w:t>
              <w:br/>
              <w:t>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br/>
              <w:t>Exercisable</w:t>
            </w:r>
          </w:p>
        </w:tc>
      </w:tr>
      <w:tr>
        <w:trPr/>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$106.83 – $199.75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$200.41 – $216.18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$220.13 – $231.70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$235.52 – $251.88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$252.50 – $261.27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$263.21 – $286.86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$288.37 – $319.55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3,182 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300" w:after="283"/>
        <w:jc w:val="left"/>
        <w:rPr/>
      </w:pPr>
      <w:r>
        <w:rPr>
          <w:rFonts w:ascii="Times New Roman;sans-serif" w:hAnsi="Times New Roman;sans-serif"/>
          <w:b w:val="false"/>
          <w:color w:val="000000"/>
          <w:sz w:val="20"/>
        </w:rPr>
        <w:t>The aggregate intrinsic value of stock options exercisable at</w:t>
      </w:r>
      <w:r>
        <w:rPr>
          <w:color w:val="000000"/>
          <w:shd w:fill="FFFFFF" w:val="clear"/>
        </w:rPr>
        <w:t xml:space="preserve"> </w:t>
      </w:r>
      <w:r>
        <w:rPr>
          <w:rFonts w:ascii="Times New Roman;sans-serif" w:hAnsi="Times New Roman;sans-serif"/>
          <w:b w:val="false"/>
          <w:color w:val="000000"/>
          <w:sz w:val="20"/>
          <w:shd w:fill="FFFFFF" w:val="clear"/>
        </w:rPr>
        <w:t>December 31, 2023 was $379.1 million. The weighted average remaining contractual term of options exercisable at December 31, 2023 was 3.0 years.</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 awards granted was estimated using the Black-Scholes option pricing model with the following weighted-average assumptions for grants or modifications during the years ended December 31 as follows:</w:t>
      </w:r>
    </w:p>
    <w:tbl>
      <w:tblPr>
        <w:tblW w:w="5771" w:type="dxa"/>
        <w:jc w:val="center"/>
        <w:tblInd w:w="0" w:type="dxa"/>
        <w:tblLayout w:type="fixed"/>
        <w:tblCellMar>
          <w:top w:w="28" w:type="dxa"/>
          <w:left w:w="28" w:type="dxa"/>
          <w:bottom w:w="28" w:type="dxa"/>
          <w:right w:w="28" w:type="dxa"/>
        </w:tblCellMar>
      </w:tblPr>
      <w:tblGrid>
        <w:gridCol w:w="755"/>
        <w:gridCol w:w="662"/>
        <w:gridCol w:w="667"/>
        <w:gridCol w:w="109"/>
        <w:gridCol w:w="109"/>
        <w:gridCol w:w="109"/>
        <w:gridCol w:w="307"/>
        <w:gridCol w:w="309"/>
        <w:gridCol w:w="271"/>
        <w:gridCol w:w="109"/>
        <w:gridCol w:w="109"/>
        <w:gridCol w:w="109"/>
        <w:gridCol w:w="307"/>
        <w:gridCol w:w="309"/>
        <w:gridCol w:w="271"/>
        <w:gridCol w:w="109"/>
        <w:gridCol w:w="109"/>
        <w:gridCol w:w="109"/>
        <w:gridCol w:w="307"/>
        <w:gridCol w:w="309"/>
        <w:gridCol w:w="316"/>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bl>
    <w:p>
      <w:pPr>
        <w:pStyle w:val="TextBody"/>
        <w:bidi w:val="0"/>
        <w:spacing w:lineRule="auto" w:line="256" w:before="300" w:after="283"/>
        <w:jc w:val="left"/>
        <w:rPr/>
      </w:pPr>
      <w:r>
        <w:rPr>
          <w:rFonts w:ascii="Times New Roman;sans-serif" w:hAnsi="Times New Roman;sans-serif"/>
          <w:b w:val="false"/>
          <w:color w:val="000000"/>
          <w:sz w:val="20"/>
        </w:rPr>
        <w:t xml:space="preserve">The weighted-average remaining contractual term for options outstanding </w:t>
      </w:r>
      <w:r>
        <w:rPr>
          <w:rFonts w:ascii="Times New Roman;sans-serif" w:hAnsi="Times New Roman;sans-serif"/>
          <w:b w:val="false"/>
          <w:color w:val="000000"/>
          <w:sz w:val="20"/>
          <w:shd w:fill="FFFFFF" w:val="clear"/>
        </w:rPr>
        <w:t>was 3.7 years at December 31, 2023</w:t>
      </w:r>
      <w:r>
        <w:rPr>
          <w:rFonts w:ascii="Times New Roman;sans-serif" w:hAnsi="Times New Roman;sans-serif"/>
          <w:b w:val="false"/>
          <w:color w:val="000000"/>
          <w:sz w:val="20"/>
        </w:rPr>
        <w:t>.</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options granted with market based vesting conditions was estimated using the Monte Carlo simulation valuation model with the following assumptions during the year ended December 31, 2021 as follows. There were no performance options granted with market based vesting conditions in 2023 or 2022.</w:t>
      </w:r>
    </w:p>
    <w:tbl>
      <w:tblPr>
        <w:tblW w:w="3452" w:type="dxa"/>
        <w:jc w:val="center"/>
        <w:tblInd w:w="0" w:type="dxa"/>
        <w:tblLayout w:type="fixed"/>
        <w:tblCellMar>
          <w:top w:w="28" w:type="dxa"/>
          <w:left w:w="28" w:type="dxa"/>
          <w:bottom w:w="28" w:type="dxa"/>
          <w:right w:w="28" w:type="dxa"/>
        </w:tblCellMar>
      </w:tblPr>
      <w:tblGrid>
        <w:gridCol w:w="755"/>
        <w:gridCol w:w="662"/>
        <w:gridCol w:w="667"/>
        <w:gridCol w:w="109"/>
        <w:gridCol w:w="109"/>
        <w:gridCol w:w="109"/>
        <w:gridCol w:w="307"/>
        <w:gridCol w:w="309"/>
        <w:gridCol w:w="27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Restricted Stock</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number of shares of restricted stock awards and restricted stock units outstanding for the following periods (shares in thousands):</w:t>
      </w:r>
    </w:p>
    <w:p>
      <w:pPr>
        <w:pStyle w:val="TextBody"/>
        <w:bidi w:val="0"/>
        <w:spacing w:lineRule="auto" w:line="256" w:before="180" w:after="283"/>
        <w:jc w:val="center"/>
        <w:rPr>
          <w:color w:val="000000"/>
        </w:rPr>
      </w:pPr>
      <w:r>
        <w:rPr>
          <w:color w:val="000000"/>
        </w:rPr>
        <w:t> </w:t>
      </w:r>
    </w:p>
    <w:tbl>
      <w:tblPr>
        <w:tblW w:w="5416" w:type="dxa"/>
        <w:jc w:val="center"/>
        <w:tblInd w:w="0" w:type="dxa"/>
        <w:tblLayout w:type="fixed"/>
        <w:tblCellMar>
          <w:top w:w="28" w:type="dxa"/>
          <w:left w:w="28" w:type="dxa"/>
          <w:bottom w:w="28" w:type="dxa"/>
          <w:right w:w="28" w:type="dxa"/>
        </w:tblCellMar>
      </w:tblPr>
      <w:tblGrid>
        <w:gridCol w:w="1065"/>
        <w:gridCol w:w="935"/>
        <w:gridCol w:w="940"/>
        <w:gridCol w:w="109"/>
        <w:gridCol w:w="109"/>
        <w:gridCol w:w="109"/>
        <w:gridCol w:w="269"/>
        <w:gridCol w:w="271"/>
        <w:gridCol w:w="196"/>
        <w:gridCol w:w="109"/>
        <w:gridCol w:w="109"/>
        <w:gridCol w:w="109"/>
        <w:gridCol w:w="211"/>
        <w:gridCol w:w="721"/>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total fair value of restricted stock awards and restricted stock units vested was $66.6 million, $34.4 million and $20.2 million for the years ended December 31, 2023, 2022 and 2021,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7. Acquisitions and Equity Method Investments</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2023 Acquisitions</w:t>
      </w:r>
    </w:p>
    <w:p>
      <w:pPr>
        <w:pStyle w:val="TextBody"/>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the Company acquired 100% of Global Reach, a U.K.-based cross-border payments provider, for approximately $102.9 million, net of cash. In February 2023, the Company acquired the remainder of Mina Digital Limited ("Mina"), a cloud-based electric vehicle ("EV") charging software platform. In February 2023, the Company also acquired 100% of Business Gateway AG, a European-based service, maintenance and repair technology provider. In September 2023, the Company acquired 100% of PayByPhone Technologies, Inc., the world's second largest mobile parking operator, for approximately $301.6 million, net of cash. Each of these 2023 acquisitions provide incremental geographic expansion of our products, with PayByPhone specifically intended to progress the Company's broader strategy to transform our vehicle payments business. Results from these acquisitions have been included in the Company's consolidated results from the respective date of each acquisition.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purchase price of these acquisitions was approximately $436.7 million (inclusive of the $8.5 million previously-held equity method investment in Mina), net of cash of $117 million. The Company financed the acquisitions using a combination of available cash and borrowings under its existing credit facility. Any noncompete agreements signed in conjunction with these acquisitions were accounted for separately from the business acquisition.</w:t>
      </w:r>
    </w:p>
    <w:p>
      <w:pPr>
        <w:pStyle w:val="TextBody"/>
        <w:bidi w:val="0"/>
        <w:spacing w:lineRule="auto" w:line="288" w:before="120" w:after="283"/>
        <w:jc w:val="left"/>
        <w:rPr/>
      </w:pPr>
      <w:r>
        <w:rPr>
          <w:rFonts w:ascii="Times New Roman;sans-serif" w:hAnsi="Times New Roman;sans-serif"/>
          <w:b w:val="false"/>
          <w:color w:val="000000"/>
          <w:sz w:val="20"/>
        </w:rPr>
        <w:t>Acq</w:t>
      </w:r>
      <w:r>
        <w:rPr>
          <w:rFonts w:ascii="Times New Roman;sans-serif" w:hAnsi="Times New Roman;sans-serif"/>
          <w:b w:val="false"/>
          <w:color w:val="000000"/>
          <w:sz w:val="20"/>
          <w:shd w:fill="FFFFFF" w:val="clear"/>
        </w:rPr>
        <w:t xml:space="preserve">uisition accounting is preliminary for the 2023 acquisitions as the Company is still completing the valuation for goodwill, intangible assets, income taxes, working capital, and contingencies.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preliminary acquisition accounting, in aggregate, for the 2023 business acquisitions noted above (in thousands):</w:t>
      </w:r>
    </w:p>
    <w:tbl>
      <w:tblPr>
        <w:tblW w:w="4641" w:type="dxa"/>
        <w:jc w:val="center"/>
        <w:tblInd w:w="0" w:type="dxa"/>
        <w:tblLayout w:type="fixed"/>
        <w:tblCellMar>
          <w:top w:w="28" w:type="dxa"/>
          <w:left w:w="28" w:type="dxa"/>
          <w:bottom w:w="28" w:type="dxa"/>
          <w:right w:w="28" w:type="dxa"/>
        </w:tblCellMar>
      </w:tblPr>
      <w:tblGrid>
        <w:gridCol w:w="1249"/>
        <w:gridCol w:w="1099"/>
        <w:gridCol w:w="1102"/>
        <w:gridCol w:w="211"/>
        <w:gridCol w:w="826"/>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 term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purchase price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20" w:after="283"/>
        <w:jc w:val="left"/>
        <w:rPr/>
      </w:pPr>
      <w:r>
        <w:rPr>
          <w:rFonts w:ascii="Times New Roman;sans-serif" w:hAnsi="Times New Roman;sans-serif"/>
          <w:b w:val="false"/>
          <w:color w:val="000000"/>
          <w:sz w:val="20"/>
        </w:rPr>
        <w:t xml:space="preserve">Results from the </w:t>
      </w:r>
      <w:r>
        <w:rPr>
          <w:rFonts w:ascii="Times New Roman;sans-serif" w:hAnsi="Times New Roman;sans-serif"/>
          <w:b w:val="false"/>
          <w:color w:val="000000"/>
          <w:sz w:val="20"/>
          <w:shd w:fill="FFFFFF" w:val="clear"/>
        </w:rPr>
        <w:t xml:space="preserve">Global Reach Group are included in the Company's Corporate Payments segment and the results for Mina Digital Limited, Business Gateway AG and PayByPhone are included in the Company's Vehicle Payments segment.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intangible assets acquired and the related estimated useful lives consisted of the following (in thousands):</w:t>
      </w:r>
    </w:p>
    <w:tbl>
      <w:tblPr>
        <w:tblW w:w="6141" w:type="dxa"/>
        <w:jc w:val="center"/>
        <w:tblInd w:w="0" w:type="dxa"/>
        <w:tblLayout w:type="fixed"/>
        <w:tblCellMar>
          <w:top w:w="28" w:type="dxa"/>
          <w:left w:w="28" w:type="dxa"/>
          <w:bottom w:w="28" w:type="dxa"/>
          <w:right w:w="28" w:type="dxa"/>
        </w:tblCellMar>
      </w:tblPr>
      <w:tblGrid>
        <w:gridCol w:w="907"/>
        <w:gridCol w:w="796"/>
        <w:gridCol w:w="801"/>
        <w:gridCol w:w="669"/>
        <w:gridCol w:w="669"/>
        <w:gridCol w:w="672"/>
        <w:gridCol w:w="109"/>
        <w:gridCol w:w="109"/>
        <w:gridCol w:w="109"/>
        <w:gridCol w:w="211"/>
        <w:gridCol w:w="826"/>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Lives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to 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Technology</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 to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2022 Acquisitions </w:t>
      </w:r>
    </w:p>
    <w:p>
      <w:pPr>
        <w:pStyle w:val="TextBody"/>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2022, the Company completed the acquisition of Levarti, a U.S.-based airline software platform company reported in the Lodging Payments segment, for $23.7 million, net of cash. In August 2022, the Company completed the acquisition of Accrualify, an accounts payable (AP) automation software company reported in the Corporate Payments segment, for $41.2 million, net of cash. In September 2022, the Company completed the acquisition of Plugsurfing, a European EV software and network provider reported in the Vehicle Payments segment, for $75.8 million, net of cash. In November 2022, the Company completed the acquisition of Roomex, a European workforce lodging provider serving the U.K. and German markets reported in the Lodging Payments segment, for approximately $56.8 million, net of cash. Results from these acquisitions have been included in the Company's consolidated results from the respective date of each acquisition.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purchase price of these 2022 acquisitions was approximately $197.2 million, net of cash. The Company financed the acquisitions using a combination of available cash and borrowings under its existing credit facility. In connection with two of these acquisitions, the Company signed noncompete agreements of $1.1 million and $1.2 million with certain parties affiliated with the respective businesses. These noncompete agreements were accounted for separately from the business acquisitions.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final acquisition accounting, in aggregate, for the 2022 business acquisitions noted above (in thousands):</w:t>
      </w:r>
    </w:p>
    <w:tbl>
      <w:tblPr>
        <w:tblW w:w="4641" w:type="dxa"/>
        <w:jc w:val="center"/>
        <w:tblInd w:w="0" w:type="dxa"/>
        <w:tblLayout w:type="fixed"/>
        <w:tblCellMar>
          <w:top w:w="28" w:type="dxa"/>
          <w:left w:w="28" w:type="dxa"/>
          <w:bottom w:w="28" w:type="dxa"/>
          <w:right w:w="28" w:type="dxa"/>
        </w:tblCellMar>
      </w:tblPr>
      <w:tblGrid>
        <w:gridCol w:w="1249"/>
        <w:gridCol w:w="1099"/>
        <w:gridCol w:w="1102"/>
        <w:gridCol w:w="211"/>
        <w:gridCol w:w="826"/>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 term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purchase price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intangible assets acquired and the related estimated useful lives consisted of the following (in thousands):</w:t>
      </w:r>
    </w:p>
    <w:tbl>
      <w:tblPr>
        <w:tblW w:w="6036" w:type="dxa"/>
        <w:jc w:val="center"/>
        <w:tblInd w:w="0" w:type="dxa"/>
        <w:tblLayout w:type="fixed"/>
        <w:tblCellMar>
          <w:top w:w="28" w:type="dxa"/>
          <w:left w:w="28" w:type="dxa"/>
          <w:bottom w:w="28" w:type="dxa"/>
          <w:right w:w="28" w:type="dxa"/>
        </w:tblCellMar>
      </w:tblPr>
      <w:tblGrid>
        <w:gridCol w:w="907"/>
        <w:gridCol w:w="796"/>
        <w:gridCol w:w="801"/>
        <w:gridCol w:w="669"/>
        <w:gridCol w:w="669"/>
        <w:gridCol w:w="672"/>
        <w:gridCol w:w="109"/>
        <w:gridCol w:w="109"/>
        <w:gridCol w:w="109"/>
        <w:gridCol w:w="211"/>
        <w:gridCol w:w="721"/>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Lives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w:t>
            </w:r>
          </w:p>
        </w:tc>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to 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Technology</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Lodging / Supplier Network</w:t>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to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also made investments of $7.8 million in an EV charging payments business and $5.0 million in an EV data analytics business. In September 2022, the Company made an investment of $6.1 million in a U.K.-based EV search and pay mapping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8. Goodwill and Other Intangible Assets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changes in the Company’s goodwill by reportable segment is as follows (in thousands):</w:t>
      </w:r>
    </w:p>
    <w:tbl>
      <w:tblPr>
        <w:tblW w:w="10205" w:type="dxa"/>
        <w:jc w:val="center"/>
        <w:tblInd w:w="0" w:type="dxa"/>
        <w:tblLayout w:type="fixed"/>
        <w:tblCellMar>
          <w:top w:w="28" w:type="dxa"/>
          <w:left w:w="28" w:type="dxa"/>
          <w:bottom w:w="28" w:type="dxa"/>
          <w:right w:w="28" w:type="dxa"/>
        </w:tblCellMar>
      </w:tblPr>
      <w:tblGrid>
        <w:gridCol w:w="408"/>
        <w:gridCol w:w="339"/>
        <w:gridCol w:w="341"/>
        <w:gridCol w:w="109"/>
        <w:gridCol w:w="109"/>
        <w:gridCol w:w="109"/>
        <w:gridCol w:w="217"/>
        <w:gridCol w:w="1008"/>
        <w:gridCol w:w="112"/>
        <w:gridCol w:w="109"/>
        <w:gridCol w:w="109"/>
        <w:gridCol w:w="109"/>
        <w:gridCol w:w="211"/>
        <w:gridCol w:w="829"/>
        <w:gridCol w:w="109"/>
        <w:gridCol w:w="109"/>
        <w:gridCol w:w="109"/>
        <w:gridCol w:w="109"/>
        <w:gridCol w:w="211"/>
        <w:gridCol w:w="750"/>
        <w:gridCol w:w="109"/>
        <w:gridCol w:w="109"/>
        <w:gridCol w:w="109"/>
        <w:gridCol w:w="109"/>
        <w:gridCol w:w="259"/>
        <w:gridCol w:w="760"/>
        <w:gridCol w:w="135"/>
        <w:gridCol w:w="109"/>
        <w:gridCol w:w="109"/>
        <w:gridCol w:w="109"/>
        <w:gridCol w:w="211"/>
        <w:gridCol w:w="723"/>
        <w:gridCol w:w="109"/>
        <w:gridCol w:w="109"/>
        <w:gridCol w:w="109"/>
        <w:gridCol w:w="109"/>
        <w:gridCol w:w="217"/>
        <w:gridCol w:w="1007"/>
        <w:gridCol w:w="178"/>
      </w:tblGrid>
      <w:tr>
        <w:trPr/>
        <w:tc>
          <w:tcPr>
            <w:tcW w:w="40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Acquisitions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Dispositions</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 Accounting</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2,530,391 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2,803,990 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1,906,070 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2,074,736 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Lodging Payments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416,952 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349,280 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5,201,435 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5,644,958 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Reflects the recognition of preliminary goodwill related to acquisitions completed by the Company during the year ended December 31, 2023. </w:t>
            </w:r>
          </w:p>
        </w:tc>
      </w:tr>
      <w:tr>
        <w:trPr/>
        <w:tc>
          <w:tcPr>
            <w:tcW w:w="10205" w:type="dxa"/>
            <w:gridSpan w:val="3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Reflects goodwill derecognized in connection with the disposition of the Company's operations in Russia. See Note 19 for additional information. </w:t>
            </w:r>
          </w:p>
        </w:tc>
      </w:tr>
    </w:tbl>
    <w:tbl>
      <w:tblPr>
        <w:tblW w:w="10205" w:type="dxa"/>
        <w:jc w:val="center"/>
        <w:tblInd w:w="0" w:type="dxa"/>
        <w:tblLayout w:type="fixed"/>
        <w:tblCellMar>
          <w:top w:w="28" w:type="dxa"/>
          <w:left w:w="28" w:type="dxa"/>
          <w:bottom w:w="28" w:type="dxa"/>
          <w:right w:w="28" w:type="dxa"/>
        </w:tblCellMar>
      </w:tblPr>
      <w:tblGrid>
        <w:gridCol w:w="500"/>
        <w:gridCol w:w="429"/>
        <w:gridCol w:w="432"/>
        <w:gridCol w:w="109"/>
        <w:gridCol w:w="109"/>
        <w:gridCol w:w="109"/>
        <w:gridCol w:w="228"/>
        <w:gridCol w:w="1056"/>
        <w:gridCol w:w="117"/>
        <w:gridCol w:w="109"/>
        <w:gridCol w:w="109"/>
        <w:gridCol w:w="109"/>
        <w:gridCol w:w="211"/>
        <w:gridCol w:w="826"/>
        <w:gridCol w:w="109"/>
        <w:gridCol w:w="109"/>
        <w:gridCol w:w="109"/>
        <w:gridCol w:w="109"/>
        <w:gridCol w:w="109"/>
        <w:gridCol w:w="109"/>
        <w:gridCol w:w="428"/>
        <w:gridCol w:w="1255"/>
        <w:gridCol w:w="223"/>
        <w:gridCol w:w="109"/>
        <w:gridCol w:w="109"/>
        <w:gridCol w:w="109"/>
        <w:gridCol w:w="211"/>
        <w:gridCol w:w="767"/>
        <w:gridCol w:w="109"/>
        <w:gridCol w:w="109"/>
        <w:gridCol w:w="109"/>
        <w:gridCol w:w="109"/>
        <w:gridCol w:w="227"/>
        <w:gridCol w:w="1053"/>
        <w:gridCol w:w="171"/>
      </w:tblGrid>
      <w:tr>
        <w:trPr/>
        <w:tc>
          <w:tcPr>
            <w:tcW w:w="500"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Acquisition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2,475,243 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2,530,391 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1,888,875 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1,906,070 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416,044 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348,930 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5,078,978 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8,849 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5,201,435 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3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2023 and 2022, approximately $985.9 million and $945.0 million of the Company’s goodwill is deductible for tax purposes, respectively. Acquisition accounting adjustments recorded in 2023 and 2022 are a result of the Company completing its acquisition accounting and working capital adjustments for certain prior year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consisted of the following at December 31 (in thousands):</w:t>
      </w:r>
    </w:p>
    <w:tbl>
      <w:tblPr>
        <w:tblW w:w="12257" w:type="dxa"/>
        <w:jc w:val="center"/>
        <w:tblInd w:w="0" w:type="dxa"/>
        <w:tblLayout w:type="fixed"/>
        <w:tblCellMar>
          <w:top w:w="28" w:type="dxa"/>
          <w:left w:w="28" w:type="dxa"/>
          <w:bottom w:w="28" w:type="dxa"/>
          <w:right w:w="28" w:type="dxa"/>
        </w:tblCellMar>
      </w:tblPr>
      <w:tblGrid>
        <w:gridCol w:w="469"/>
        <w:gridCol w:w="373"/>
        <w:gridCol w:w="374"/>
        <w:gridCol w:w="109"/>
        <w:gridCol w:w="109"/>
        <w:gridCol w:w="109"/>
        <w:gridCol w:w="300"/>
        <w:gridCol w:w="300"/>
        <w:gridCol w:w="301"/>
        <w:gridCol w:w="109"/>
        <w:gridCol w:w="109"/>
        <w:gridCol w:w="109"/>
        <w:gridCol w:w="211"/>
        <w:gridCol w:w="976"/>
        <w:gridCol w:w="109"/>
        <w:gridCol w:w="109"/>
        <w:gridCol w:w="109"/>
        <w:gridCol w:w="109"/>
        <w:gridCol w:w="211"/>
        <w:gridCol w:w="991"/>
        <w:gridCol w:w="109"/>
        <w:gridCol w:w="109"/>
        <w:gridCol w:w="109"/>
        <w:gridCol w:w="109"/>
        <w:gridCol w:w="211"/>
        <w:gridCol w:w="976"/>
        <w:gridCol w:w="109"/>
        <w:gridCol w:w="109"/>
        <w:gridCol w:w="109"/>
        <w:gridCol w:w="109"/>
        <w:gridCol w:w="211"/>
        <w:gridCol w:w="976"/>
        <w:gridCol w:w="109"/>
        <w:gridCol w:w="109"/>
        <w:gridCol w:w="109"/>
        <w:gridCol w:w="109"/>
        <w:gridCol w:w="211"/>
        <w:gridCol w:w="991"/>
        <w:gridCol w:w="109"/>
        <w:gridCol w:w="109"/>
        <w:gridCol w:w="109"/>
        <w:gridCol w:w="109"/>
        <w:gridCol w:w="211"/>
        <w:gridCol w:w="976"/>
        <w:gridCol w:w="154"/>
      </w:tblGrid>
      <w:tr>
        <w:trPr/>
        <w:tc>
          <w:tcPr>
            <w:tcW w:w="46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Avg Useful</w:t>
              <w:b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Amount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and vendor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(1,511,173)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1,590,044 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trademarks—indefinite lived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(1,836,160)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3,748,353 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(1,617,379)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2,130,974 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 = Not Applicable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foreign exchange rates resulted in $32.4 million and $18.4 million decreases to the carrying values of other intangible assets in the years ended December 31, 2023 and 2022, respectively. Amortization expense related to intangible assets for the years ended December 31, 2023, 2022, and 2021 was $225.4 million, $227.2 million, and $205.5 million, respectively. Due to rebranding activity during the year ended December 31, 2022, the Company reassessed the useful lives of certain trademarks. This resulted in a reclassification of $45.6 million from indefinite to finite-lived assets as of December 31, 2022. At the time of change in estimate, which was applied prospectively, the Company tested these trademarks for impairment, which resulted in no impairment charge.</w:t>
      </w:r>
    </w:p>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estimated amortization of intangible assets at December 31, 2023 is as follows (in thousands):</w:t>
      </w:r>
    </w:p>
    <w:tbl>
      <w:tblPr>
        <w:tblW w:w="2464" w:type="dxa"/>
        <w:jc w:val="center"/>
        <w:tblInd w:w="0" w:type="dxa"/>
        <w:tblLayout w:type="fixed"/>
        <w:tblCellMar>
          <w:top w:w="28" w:type="dxa"/>
          <w:left w:w="28" w:type="dxa"/>
          <w:bottom w:w="28" w:type="dxa"/>
          <w:right w:w="28" w:type="dxa"/>
        </w:tblCellMar>
      </w:tblPr>
      <w:tblGrid>
        <w:gridCol w:w="342"/>
        <w:gridCol w:w="300"/>
        <w:gridCol w:w="304"/>
        <w:gridCol w:w="109"/>
        <w:gridCol w:w="109"/>
        <w:gridCol w:w="109"/>
        <w:gridCol w:w="211"/>
        <w:gridCol w:w="82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360" w:after="283"/>
        <w:jc w:val="left"/>
        <w:rPr>
          <w:rFonts w:ascii="Times New Roman;sans-serif" w:hAnsi="Times New Roman;sans-serif"/>
          <w:b/>
          <w:color w:val="000000"/>
          <w:sz w:val="20"/>
        </w:rPr>
      </w:pPr>
      <w:r>
        <w:rPr>
          <w:rFonts w:ascii="Times New Roman;sans-serif" w:hAnsi="Times New Roman;sans-serif"/>
          <w:b/>
          <w:color w:val="000000"/>
          <w:sz w:val="20"/>
        </w:rPr>
        <w:t>9. Property, Plant and Equipment</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consisted of the following at December 31 (in thousands):</w:t>
      </w:r>
    </w:p>
    <w:tbl>
      <w:tblPr>
        <w:tblW w:w="7383" w:type="dxa"/>
        <w:jc w:val="center"/>
        <w:tblInd w:w="0" w:type="dxa"/>
        <w:tblLayout w:type="fixed"/>
        <w:tblCellMar>
          <w:top w:w="28" w:type="dxa"/>
          <w:left w:w="28" w:type="dxa"/>
          <w:bottom w:w="28" w:type="dxa"/>
          <w:right w:w="28" w:type="dxa"/>
        </w:tblCellMar>
      </w:tblPr>
      <w:tblGrid>
        <w:gridCol w:w="1118"/>
        <w:gridCol w:w="982"/>
        <w:gridCol w:w="989"/>
        <w:gridCol w:w="109"/>
        <w:gridCol w:w="109"/>
        <w:gridCol w:w="109"/>
        <w:gridCol w:w="325"/>
        <w:gridCol w:w="325"/>
        <w:gridCol w:w="326"/>
        <w:gridCol w:w="109"/>
        <w:gridCol w:w="109"/>
        <w:gridCol w:w="109"/>
        <w:gridCol w:w="211"/>
        <w:gridCol w:w="826"/>
        <w:gridCol w:w="109"/>
        <w:gridCol w:w="109"/>
        <w:gridCol w:w="109"/>
        <w:gridCol w:w="109"/>
        <w:gridCol w:w="211"/>
        <w:gridCol w:w="826"/>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Useful Lives</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Card-reading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 to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 to 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related to property and equipment for the years ended December 31, 2023, 2022, and 2021 was $110.0 million, $92.0 million, and $75.6 million, respectively. Amortization expense includes $77.5 million, $61.3 million, and $46.7 million for capitalized computer software costs for the years ended December 31, 2023, 2022, and 2021, respectively. At December 31, 2023 and 2022, the Company had unamortized computer software costs of $268.9 million and $213.3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Write-offs of property, plant and equipment were immaterial for each of the years ended December 31, 2023, 2022, and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240" w:after="283"/>
        <w:jc w:val="left"/>
        <w:rPr>
          <w:rFonts w:ascii="Times New Roman;sans-serif" w:hAnsi="Times New Roman;sans-serif"/>
          <w:b/>
          <w:color w:val="000000"/>
          <w:sz w:val="20"/>
        </w:rPr>
      </w:pPr>
      <w:r>
        <w:rPr>
          <w:rFonts w:ascii="Times New Roman;sans-serif" w:hAnsi="Times New Roman;sans-serif"/>
          <w:b/>
          <w:color w:val="000000"/>
          <w:sz w:val="20"/>
        </w:rPr>
        <w:t>10. Accrued Expenses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 at December 31 (in thousands):</w:t>
      </w:r>
    </w:p>
    <w:p>
      <w:pPr>
        <w:pStyle w:val="TextBody"/>
        <w:bidi w:val="0"/>
        <w:spacing w:lineRule="auto" w:line="256" w:before="180" w:after="283"/>
        <w:jc w:val="center"/>
        <w:rPr>
          <w:color w:val="000000"/>
        </w:rPr>
      </w:pPr>
      <w:r>
        <w:rPr>
          <w:color w:val="000000"/>
        </w:rPr>
        <w:t> </w:t>
      </w:r>
    </w:p>
    <w:tbl>
      <w:tblPr>
        <w:tblW w:w="5601" w:type="dxa"/>
        <w:jc w:val="center"/>
        <w:tblInd w:w="0" w:type="dxa"/>
        <w:tblLayout w:type="fixed"/>
        <w:tblCellMar>
          <w:top w:w="28" w:type="dxa"/>
          <w:left w:w="28" w:type="dxa"/>
          <w:bottom w:w="28" w:type="dxa"/>
          <w:right w:w="28" w:type="dxa"/>
        </w:tblCellMar>
      </w:tblPr>
      <w:tblGrid>
        <w:gridCol w:w="945"/>
        <w:gridCol w:w="830"/>
        <w:gridCol w:w="835"/>
        <w:gridCol w:w="109"/>
        <w:gridCol w:w="109"/>
        <w:gridCol w:w="109"/>
        <w:gridCol w:w="211"/>
        <w:gridCol w:w="826"/>
        <w:gridCol w:w="109"/>
        <w:gridCol w:w="109"/>
        <w:gridCol w:w="109"/>
        <w:gridCol w:w="109"/>
        <w:gridCol w:w="211"/>
        <w:gridCol w:w="826"/>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commissions/rebates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Other accrued expenses include several types of amounts due to our merchants, vendors, and other third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240" w:after="180"/>
        <w:jc w:val="left"/>
        <w:rPr>
          <w:rFonts w:ascii="Times New Roman;sans-serif" w:hAnsi="Times New Roman;sans-serif"/>
          <w:b/>
          <w:color w:val="000000"/>
          <w:sz w:val="20"/>
        </w:rPr>
      </w:pPr>
      <w:r>
        <w:rPr>
          <w:rFonts w:ascii="Times New Roman;sans-serif" w:hAnsi="Times New Roman;sans-serif"/>
          <w:b/>
          <w:color w:val="000000"/>
          <w:sz w:val="20"/>
        </w:rPr>
        <w:t>11. Debt</w:t>
      </w:r>
    </w:p>
    <w:p>
      <w:pPr>
        <w:pStyle w:val="TextBody"/>
        <w:bidi w:val="0"/>
        <w:spacing w:lineRule="auto" w:line="256" w:before="180" w:after="283"/>
        <w:jc w:val="left"/>
        <w:rPr/>
      </w:pPr>
      <w:r>
        <w:rPr>
          <w:rFonts w:ascii="Times New Roman;sans-serif" w:hAnsi="Times New Roman;sans-serif"/>
          <w:b w:val="false"/>
          <w:color w:val="000000"/>
          <w:sz w:val="20"/>
        </w:rPr>
        <w:t>The Company’s debt instruments at December 31 consist primarily of term notes, revolving lines of credit and a Securitization Facility as follows (in thousands):</w:t>
      </w:r>
      <w:r>
        <w:rPr>
          <w:color w:val="000000"/>
        </w:rPr>
        <w:t xml:space="preserve">  </w:t>
      </w:r>
    </w:p>
    <w:tbl>
      <w:tblPr>
        <w:tblW w:w="8360" w:type="dxa"/>
        <w:jc w:val="center"/>
        <w:tblInd w:w="0" w:type="dxa"/>
        <w:tblLayout w:type="fixed"/>
        <w:tblCellMar>
          <w:top w:w="28" w:type="dxa"/>
          <w:left w:w="28" w:type="dxa"/>
          <w:bottom w:w="28" w:type="dxa"/>
          <w:right w:w="28" w:type="dxa"/>
        </w:tblCellMar>
      </w:tblPr>
      <w:tblGrid>
        <w:gridCol w:w="1834"/>
        <w:gridCol w:w="1615"/>
        <w:gridCol w:w="1620"/>
        <w:gridCol w:w="109"/>
        <w:gridCol w:w="109"/>
        <w:gridCol w:w="109"/>
        <w:gridCol w:w="211"/>
        <w:gridCol w:w="976"/>
        <w:gridCol w:w="109"/>
        <w:gridCol w:w="109"/>
        <w:gridCol w:w="109"/>
        <w:gridCol w:w="109"/>
        <w:gridCol w:w="211"/>
        <w:gridCol w:w="976"/>
        <w:gridCol w:w="154"/>
      </w:tblGrid>
      <w:tr>
        <w:trPr/>
        <w:tc>
          <w:tcPr>
            <w:tcW w:w="1834"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note payable (a), net of discounts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2,956,053 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 note payable (a), net of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 facilities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obligations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notes payable, credit agreements, and other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Facility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7,036,894 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2,126,749 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2,314,056 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4,722,838 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7,036,894 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68" w:before="0" w:after="0"/>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(a)The Company is party to a $6.4 billion Credit Agreement (the "Credit Agreement"), with Bank of America, N.A., as administrative agent, swing line lender and letter of credit issuer, and a syndicate of financial institutions (the "Lenders"), which has been amended multiple times. The Credit Agreement provides for senior secured credit facilities (collectively, the "Credit Facility") consisting of a revolving credit facility in the amount of $1.5 billion, a term loan A facility in the amount of $3.0 billion and a term loan B facility in the amount of $1.9 billion as of December 31, 2023. The revolving credit facility consists of (a) a revolving A credit facility in the amount of $1 billion with sublimits for letters of credit and swing line loans and (b) a revolving B facility in the amount of $500 million with borrowings in U.S. dollars, euros, British pounds, Japanese yen or other currency as agreed in advance and a sublimit for swing line loans. The Credit Agreement also includes an accordion feature for borrowing an additional $750 million in term loan A, term loan B, revolving A or revolving B facility debt and an unlimited amount when the leverage ratio on a pro-forma basis is less than 3.75 to 1.00. Proceeds from the credit facilities may be used for working capital purposes, acquisitions, and other general corporate purposes.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24, 2022, the Company entered into the twelfth amendment to the Credit Agreement. The amendment replaced the then-existing term loan A with the $3 billion term loan A described above and the then-existing revolving credit facility with the $1.5 billion revolving credit facility described above, resulting in net increases of $273 million and $215 million to the capacities of the term loan A and revolving credit facility, respectively. In addition, the amendment replaced LIBOR for USD borrowings with the Secured Overnight Financing Rate ("SOFR") plus a SOFR adjustment of 0.10% for the term loan A and the revolving Credit Facility and extended the maturity date. The maturity date for the new term loan A and revolving credit facilities A and B is June 24, 2027. The term loan B has a maturity date of April 30, 2028. </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 2023, the Company entered into the thirteenth amendment to the Credit Facility. The amendment replaced LIBOR on the term B loan with the Secured Overnight Financing Rate ("SOFR"), plus a SOFR adjustment of 0.10%.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2024, the Company entered into the fourteenth amendment to its Credit Agreement. The amendment a) increased the capacity on the revolving credit facility by $275.0 million and b) increased the term loan A commitments by $325.0 million. The Company used the term loan A proceeds to pay down existing borrowings under the revolving credit facility. As a result, the transaction was leverage neutral and results in a $600 million increase in the Company’s availability under the revolving credit facility. The interest rates and maturity terms remain consistent with the existing credit facilities.</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amounts outstanding under the Credit Agreement accrues as follows: For loans denominated in U.S. dollars, based on SOFR plus a SOFR adjustment of 0.10%, in British pounds, based on the SONIA plus a SONIA adjustment of 0.0326%, in euros, based on the Euro Interbank Offered Rate (“EURIBOR”), or in Japanese yen, at the Tokyo Interbank Offer Rate (“TIBOR”) plus a margin based on a leverage ratio (as defined in the agreement), or our option (for U.S. dollar borrowings only), the Base Rate (defined as the rate equal to the highest of (a) the Federal Funds Rate plus 0.50%, (b) the prime rate announced by Bank of America, N.A., or (c) SOFR plus 1.00% plus a margin based on a leverage ratio). In addition, the Company pays a quarterly commitment fee at a rate per annum ranging from 0.25% to 0.30% of the daily unused portion of the credit facility.</w:t>
      </w:r>
    </w:p>
    <w:p>
      <w:pPr>
        <w:pStyle w:val="TextBody"/>
        <w:bidi w:val="0"/>
        <w:spacing w:lineRule="auto" w:line="288" w:before="180" w:after="283"/>
        <w:jc w:val="left"/>
        <w:rPr/>
      </w:pPr>
      <w:r>
        <w:rPr>
          <w:rFonts w:ascii="Times New Roman;sans-serif" w:hAnsi="Times New Roman;sans-serif"/>
          <w:b w:val="false"/>
          <w:color w:val="000000"/>
          <w:sz w:val="20"/>
        </w:rPr>
        <w:t>The interest rates at December 31, 2023 and 2022 are as follows:</w:t>
      </w:r>
      <w:r>
        <w:rPr>
          <w:color w:val="000000"/>
        </w:rPr>
        <w:t> </w:t>
      </w:r>
    </w:p>
    <w:tbl>
      <w:tblPr>
        <w:tblW w:w="5101" w:type="dxa"/>
        <w:jc w:val="center"/>
        <w:tblInd w:w="0" w:type="dxa"/>
        <w:tblLayout w:type="fixed"/>
        <w:tblCellMar>
          <w:top w:w="28" w:type="dxa"/>
          <w:left w:w="28" w:type="dxa"/>
          <w:bottom w:w="28" w:type="dxa"/>
          <w:right w:w="28" w:type="dxa"/>
        </w:tblCellMar>
      </w:tblPr>
      <w:tblGrid>
        <w:gridCol w:w="1146"/>
        <w:gridCol w:w="1005"/>
        <w:gridCol w:w="1014"/>
        <w:gridCol w:w="255"/>
        <w:gridCol w:w="256"/>
        <w:gridCol w:w="271"/>
        <w:gridCol w:w="109"/>
        <w:gridCol w:w="109"/>
        <w:gridCol w:w="109"/>
        <w:gridCol w:w="255"/>
        <w:gridCol w:w="256"/>
        <w:gridCol w:w="316"/>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B</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 A &amp; B (USD)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 B (GBP)</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Unused credit facility fee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N/A = Not Applicable</w:t>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loans are payable in quarterly installments due on the last business day of each March, June, September, and December with the final principal payment due on the respective maturity date. Borrowings on the revolving line of credit are repayable at the maturity of the facility. Borrowings on the domestic swing line of credit are due on demand, and borrowings on the foreign swing line of credit are due no later than twenty business days after such loan is made.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unamortized debt discounts and debt issuance costs of $19.0 million and $23.9 million related to the term loans as of December 31, 2023 and December 31, 2022, respectively, recorded in notes payable and other obligations, net of current portion within the Consolidated Balance Sheets.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unamortized debt issuance costs of $3.6 million and $4.6 million related to the revolving credit facility as of December 31, 2023 and December 31, 2022, respectively, recorded in other assets within the Consolidated Balance Sheets. </w:t>
      </w:r>
    </w:p>
    <w:p>
      <w:pPr>
        <w:pStyle w:val="TextBody"/>
        <w:bidi w:val="0"/>
        <w:spacing w:lineRule="auto" w:line="288" w:before="180" w:after="283"/>
        <w:jc w:val="left"/>
        <w:rPr/>
      </w:pPr>
      <w:r>
        <w:rPr>
          <w:rFonts w:ascii="Times New Roman;sans-serif" w:hAnsi="Times New Roman;sans-serif"/>
          <w:b w:val="false"/>
          <w:color w:val="000000"/>
          <w:sz w:val="20"/>
        </w:rPr>
        <w:t>As a result of the amortization of debt discounts and debt issuance costs, the effective interest rate incurred on the term loans was 6.83% during 2023. Principal payments of $94.0 million were made on the term loans during 2023.</w:t>
      </w:r>
      <w:r>
        <w:rPr>
          <w:color w:val="000000"/>
        </w:rPr>
        <w:t> </w:t>
      </w:r>
    </w:p>
    <w:p>
      <w:pPr>
        <w:pStyle w:val="TextBody"/>
        <w:bidi w:val="0"/>
        <w:spacing w:lineRule="auto" w:line="288" w:before="180" w:after="283"/>
        <w:ind w:left="0" w:right="0" w:hanging="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(b)The Company is party to a $1.7 billion receivables purchase agreement. On March 23, 2022, the Company entered into the tenth amendment to the Securitization Facility. The amendment increased the Securitization Facility commitment from $1.3 billion to $1.6 billion and replaced LIBOR with SOFR plus a SOFR adjustment of 0.10%. On August 18, 2022, the Company entered into the eleventh amendment to the Securitization Facility. The amendment increased the Securitization Facility commitment from $1.6 billion to $1.7 billion, reduced the program fee margin and extended the maturity of the Securitization Facility to August 18, 2025. There is a program fee equal to SOFR plus 0.10% adjustment plus 0.95% or the Commercial Paper Rate plus 0.85% as of December 31, 2023 and December 31, 2022. The program fee was 5.49% plus 0.94% as of December 31, 2023 and 4.48% plus 0.94% as of December 31, 2022. The unused facility fee is payable at a rate of between 0.30% and 0.40% based on utilization as of December 31, 2023 and December 31, 2022. The Company has unamortized debt issuance costs of $2.1 million and $3.2 million related to the revolving Securitization Facility as of December 31, 2023 and December 31, 2022, respectively, recorded in other assets within the Consolidated Balance Sheets.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 </w:t>
      </w:r>
    </w:p>
    <w:p>
      <w:pPr>
        <w:pStyle w:val="TextBody"/>
        <w:bidi w:val="0"/>
        <w:spacing w:lineRule="auto" w:line="288" w:before="180" w:after="283"/>
        <w:ind w:left="0" w:right="0" w:hanging="63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(c)Other obligations includes a credit facility assumed as part of a business acquisition in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in compliance with all financial and non-financial covenants at December 31, 2023. The Company has entered into interest rate swap cash flow contracts with U.S. dollar notional amounts in order to reduce the variability of cash flows in the previously unhedged interest payments associated with $4.0 billion of unspecified variable rate debt. Refer to Note 16 for further details. </w:t>
      </w:r>
    </w:p>
    <w:p>
      <w:pPr>
        <w:pStyle w:val="TextBody"/>
        <w:bidi w:val="0"/>
        <w:spacing w:lineRule="auto" w:line="288" w:before="180" w:after="283"/>
        <w:jc w:val="left"/>
        <w:rPr/>
      </w:pPr>
      <w:r>
        <w:rPr>
          <w:rFonts w:ascii="Times New Roman;sans-serif" w:hAnsi="Times New Roman;sans-serif"/>
          <w:b w:val="false"/>
          <w:color w:val="000000"/>
          <w:sz w:val="20"/>
        </w:rPr>
        <w:t>The contractual maturities of the Company’s total debt at December 31, 2023 were as follows (in thousands):</w:t>
      </w:r>
      <w:r>
        <w:rPr>
          <w:color w:val="000000"/>
        </w:rPr>
        <w:t> </w:t>
      </w:r>
    </w:p>
    <w:tbl>
      <w:tblPr>
        <w:tblW w:w="6347" w:type="dxa"/>
        <w:jc w:val="center"/>
        <w:tblInd w:w="0" w:type="dxa"/>
        <w:tblLayout w:type="fixed"/>
        <w:tblCellMar>
          <w:top w:w="28" w:type="dxa"/>
          <w:left w:w="28" w:type="dxa"/>
          <w:bottom w:w="28" w:type="dxa"/>
          <w:right w:w="28" w:type="dxa"/>
        </w:tblCellMar>
      </w:tblPr>
      <w:tblGrid>
        <w:gridCol w:w="1692"/>
        <w:gridCol w:w="1484"/>
        <w:gridCol w:w="1503"/>
        <w:gridCol w:w="109"/>
        <w:gridCol w:w="109"/>
        <w:gridCol w:w="109"/>
        <w:gridCol w:w="211"/>
        <w:gridCol w:w="976"/>
        <w:gridCol w:w="154"/>
      </w:tblGrid>
      <w:tr>
        <w:trPr/>
        <w:tc>
          <w:tcPr>
            <w:tcW w:w="1692"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discounts and issuance costs included in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5,415,905 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12. Accumulated Other Comprehensive Loss (AOCL)</w:t>
      </w:r>
    </w:p>
    <w:p>
      <w:pPr>
        <w:pStyle w:val="TextBody"/>
        <w:bidi w:val="0"/>
        <w:spacing w:lineRule="auto" w:line="256" w:before="180" w:after="283"/>
        <w:jc w:val="left"/>
        <w:rPr/>
      </w:pPr>
      <w:r>
        <w:rPr>
          <w:rFonts w:ascii="Times New Roman;sans-serif" w:hAnsi="Times New Roman;sans-serif"/>
          <w:b w:val="false"/>
          <w:color w:val="000000"/>
          <w:sz w:val="20"/>
        </w:rPr>
        <w:t>The changes in the components of AOCL, net of tax, for the years ended December 31, 2023, 2022 and 2021 are as follows (in thousands):</w:t>
      </w:r>
      <w:r>
        <w:rPr>
          <w:color w:val="000000"/>
        </w:rPr>
        <w:t> </w:t>
      </w:r>
    </w:p>
    <w:tbl>
      <w:tblPr>
        <w:tblW w:w="10205" w:type="dxa"/>
        <w:jc w:val="center"/>
        <w:tblInd w:w="0" w:type="dxa"/>
        <w:tblLayout w:type="fixed"/>
        <w:tblCellMar>
          <w:top w:w="28" w:type="dxa"/>
          <w:left w:w="28" w:type="dxa"/>
          <w:bottom w:w="28" w:type="dxa"/>
          <w:right w:w="28" w:type="dxa"/>
        </w:tblCellMar>
      </w:tblPr>
      <w:tblGrid>
        <w:gridCol w:w="1146"/>
        <w:gridCol w:w="718"/>
        <w:gridCol w:w="723"/>
        <w:gridCol w:w="109"/>
        <w:gridCol w:w="109"/>
        <w:gridCol w:w="109"/>
        <w:gridCol w:w="314"/>
        <w:gridCol w:w="1524"/>
        <w:gridCol w:w="162"/>
        <w:gridCol w:w="109"/>
        <w:gridCol w:w="109"/>
        <w:gridCol w:w="109"/>
        <w:gridCol w:w="405"/>
        <w:gridCol w:w="1496"/>
        <w:gridCol w:w="209"/>
        <w:gridCol w:w="109"/>
        <w:gridCol w:w="109"/>
        <w:gridCol w:w="109"/>
        <w:gridCol w:w="370"/>
        <w:gridCol w:w="1807"/>
        <w:gridCol w:w="191"/>
        <w:gridCol w:w="159"/>
      </w:tblGrid>
      <w:tr>
        <w:trPr/>
        <w:tc>
          <w:tcPr>
            <w:tcW w:w="1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914" w:type="dxa"/>
            <w:gridSpan w:val="6"/>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Cumulative Foreign Currency Translation</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 Gains on Derivative Instruments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Accumulated Other Comprehensive (Loss) Income</w:t>
            </w:r>
          </w:p>
        </w:tc>
        <w:tc>
          <w:tcPr>
            <w:tcW w:w="159" w:type="dxa"/>
            <w:tcBorders/>
          </w:tcPr>
          <w:p>
            <w:pPr>
              <w:pStyle w:val="TableContents"/>
              <w:bidi w:val="0"/>
              <w:spacing w:before="0" w:after="283"/>
              <w:jc w:val="left"/>
              <w:rPr>
                <w:sz w:val="4"/>
                <w:szCs w:val="4"/>
              </w:rPr>
            </w:pPr>
            <w:r>
              <w:rPr>
                <w:sz w:val="4"/>
                <w:szCs w:val="4"/>
              </w:rPr>
            </w:r>
          </w:p>
        </w:tc>
      </w:tr>
      <w:tr>
        <w:trPr/>
        <w:tc>
          <w:tcPr>
            <w:tcW w:w="2914" w:type="dxa"/>
            <w:gridSpan w:val="6"/>
            <w:vMerge w:val="continue"/>
            <w:tcBorders/>
            <w:tcMar>
              <w:top w:w="0" w:type="dxa"/>
              <w:left w:w="0" w:type="dxa"/>
              <w:bottom w:w="0" w:type="dxa"/>
              <w:right w:w="0" w:type="dxa"/>
            </w:tcMar>
            <w:vAlign w:val="center"/>
          </w:tcPr>
          <w:p>
            <w:pPr>
              <w:pStyle w:val="Normal"/>
              <w:bidi w:val="0"/>
              <w:jc w:val="left"/>
              <w:rPr/>
            </w:pPr>
            <w:r>
              <w:rPr/>
            </w:r>
          </w:p>
        </w:tc>
        <w:tc>
          <w:tcPr>
            <w:tcW w:w="20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211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368" w:type="dxa"/>
            <w:gridSpan w:val="3"/>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(1,296,962)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(66,196)</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(1,363,158)</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(144,543)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49,747 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(144,543)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43,085 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(101,458)</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(1,441,505)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(23,111)</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(1,464,616)</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(77,135)</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32,101 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(45,034)</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(1,518,640)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(1,509,650)</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140,089 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125,105 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5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260,358 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(39,807)</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220,551 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(1,258,282)</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(30,817)</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(1,289,099)</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AOCL that relate to foreign currency translation during the year ended December 31, 2023 are related to the Company's Russia business disposed of during the third quarter of 2023. See Note 19 for additional information regarding the Company's disposition of its Russia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the provision for income taxes is attributable to the following jurisdictions for years ended December 31 (in thousands):</w:t>
      </w:r>
    </w:p>
    <w:tbl>
      <w:tblPr>
        <w:tblW w:w="6113" w:type="dxa"/>
        <w:jc w:val="center"/>
        <w:tblInd w:w="0" w:type="dxa"/>
        <w:tblLayout w:type="fixed"/>
        <w:tblCellMar>
          <w:top w:w="28" w:type="dxa"/>
          <w:left w:w="28" w:type="dxa"/>
          <w:bottom w:w="28" w:type="dxa"/>
          <w:right w:w="28" w:type="dxa"/>
        </w:tblCellMar>
      </w:tblPr>
      <w:tblGrid>
        <w:gridCol w:w="435"/>
        <w:gridCol w:w="381"/>
        <w:gridCol w:w="383"/>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1,108,808 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(benefit) for income taxes for the years ended December 31 consists of the following (in thousands):</w:t>
      </w:r>
    </w:p>
    <w:p>
      <w:pPr>
        <w:pStyle w:val="TextBody"/>
        <w:bidi w:val="0"/>
        <w:spacing w:lineRule="auto" w:line="256" w:before="300" w:after="180"/>
        <w:jc w:val="center"/>
        <w:rPr>
          <w:color w:val="000000"/>
        </w:rPr>
      </w:pPr>
      <w:r>
        <w:rPr>
          <w:color w:val="000000"/>
        </w:rPr>
        <w:t> </w:t>
      </w:r>
    </w:p>
    <w:tbl>
      <w:tblPr>
        <w:tblW w:w="5843" w:type="dxa"/>
        <w:jc w:val="center"/>
        <w:tblInd w:w="0" w:type="dxa"/>
        <w:tblLayout w:type="fixed"/>
        <w:tblCellMar>
          <w:top w:w="28" w:type="dxa"/>
          <w:left w:w="28" w:type="dxa"/>
          <w:bottom w:w="28" w:type="dxa"/>
          <w:right w:w="28" w:type="dxa"/>
        </w:tblCellMar>
      </w:tblPr>
      <w:tblGrid>
        <w:gridCol w:w="498"/>
        <w:gridCol w:w="439"/>
        <w:gridCol w:w="442"/>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differs from amounts computed by applying the U.S. federal tax rate of 21% for 2023, 2022, and 2021, respectively, to income before income taxes for the years ended December 31, 2023, 2022, and 2021 due to the following (in thousands):</w:t>
      </w:r>
    </w:p>
    <w:p>
      <w:pPr>
        <w:pStyle w:val="TextBody"/>
        <w:bidi w:val="0"/>
        <w:spacing w:lineRule="auto" w:line="256" w:before="300" w:after="283"/>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013"/>
        <w:gridCol w:w="699"/>
        <w:gridCol w:w="701"/>
        <w:gridCol w:w="109"/>
        <w:gridCol w:w="109"/>
        <w:gridCol w:w="109"/>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255"/>
        <w:gridCol w:w="256"/>
        <w:gridCol w:w="271"/>
        <w:gridCol w:w="109"/>
        <w:gridCol w:w="109"/>
        <w:gridCol w:w="109"/>
        <w:gridCol w:w="211"/>
        <w:gridCol w:w="826"/>
        <w:gridCol w:w="109"/>
        <w:gridCol w:w="109"/>
        <w:gridCol w:w="109"/>
        <w:gridCol w:w="109"/>
        <w:gridCol w:w="255"/>
        <w:gridCol w:w="256"/>
        <w:gridCol w:w="317"/>
      </w:tblGrid>
      <w:tr>
        <w:trPr/>
        <w:tc>
          <w:tcPr>
            <w:tcW w:w="101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4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Computed “expected”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resulting from: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 differential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tax expense due to uncertain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withholding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indefinite reinvestment - Russia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Sub-part F Income/GILTI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source non-deductible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IRC section 162(m)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 tourism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net equity deduction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that give rise to significant portions of the deferred tax assets and liabilities at December 31 are as follows (in thousands):</w:t>
      </w:r>
    </w:p>
    <w:tbl>
      <w:tblPr>
        <w:tblW w:w="8930" w:type="dxa"/>
        <w:jc w:val="center"/>
        <w:tblInd w:w="0" w:type="dxa"/>
        <w:tblLayout w:type="fixed"/>
        <w:tblCellMar>
          <w:top w:w="28" w:type="dxa"/>
          <w:left w:w="28" w:type="dxa"/>
          <w:bottom w:w="28" w:type="dxa"/>
          <w:right w:w="28" w:type="dxa"/>
        </w:tblCellMar>
      </w:tblPr>
      <w:tblGrid>
        <w:gridCol w:w="2100"/>
        <w:gridCol w:w="1841"/>
        <w:gridCol w:w="1848"/>
        <w:gridCol w:w="109"/>
        <w:gridCol w:w="109"/>
        <w:gridCol w:w="109"/>
        <w:gridCol w:w="211"/>
        <w:gridCol w:w="901"/>
        <w:gridCol w:w="109"/>
        <w:gridCol w:w="109"/>
        <w:gridCol w:w="109"/>
        <w:gridCol w:w="109"/>
        <w:gridCol w:w="211"/>
        <w:gridCol w:w="901"/>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principally due to the 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not currently deductible for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deferral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escheat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before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Intangibles—including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Basis difference in investment in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deferral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Withholding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(671,052)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(526,117)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deferred tax balances are classified in its balance sheets as of December 31 as follows (in thousands):</w:t>
      </w:r>
    </w:p>
    <w:p>
      <w:pPr>
        <w:pStyle w:val="TextBody"/>
        <w:bidi w:val="0"/>
        <w:spacing w:lineRule="auto" w:line="256" w:before="300" w:after="180"/>
        <w:jc w:val="center"/>
        <w:rPr>
          <w:color w:val="000000"/>
        </w:rPr>
      </w:pPr>
      <w:r>
        <w:rPr>
          <w:color w:val="000000"/>
        </w:rPr>
        <w:t> </w:t>
      </w:r>
    </w:p>
    <w:tbl>
      <w:tblPr>
        <w:tblW w:w="6845" w:type="dxa"/>
        <w:jc w:val="center"/>
        <w:tblInd w:w="0" w:type="dxa"/>
        <w:tblLayout w:type="fixed"/>
        <w:tblCellMar>
          <w:top w:w="28" w:type="dxa"/>
          <w:left w:w="28" w:type="dxa"/>
          <w:bottom w:w="28" w:type="dxa"/>
          <w:right w:w="28" w:type="dxa"/>
        </w:tblCellMar>
      </w:tblPr>
      <w:tblGrid>
        <w:gridCol w:w="1340"/>
        <w:gridCol w:w="1180"/>
        <w:gridCol w:w="1184"/>
        <w:gridCol w:w="109"/>
        <w:gridCol w:w="109"/>
        <w:gridCol w:w="109"/>
        <w:gridCol w:w="211"/>
        <w:gridCol w:w="901"/>
        <w:gridCol w:w="109"/>
        <w:gridCol w:w="109"/>
        <w:gridCol w:w="109"/>
        <w:gridCol w:w="109"/>
        <w:gridCol w:w="211"/>
        <w:gridCol w:w="901"/>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deferred tax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deferred tax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(526,117)</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valuation allowances relate to income tax credits, foreign net operating loss carryforwards, state net operating loss carryforwards and state 163(j) limitation on business interest carryforward. The net change in the total valuation allowance for the year ended December 31, 2023 was an increase of $48.6 million. The valuation allowance increase was primarily due to an increase in acquired foreign net operating losses where significant negative evidence on future utilization was considered.</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a net operating loss carryforward for state income tax purposes of approximately $54.0 million that is available to offset future state tax expense, either indefinitely or in some cases subject to expiration in 15 or 20 years. Additionally, the Company had $80.9 million net operating loss carryforwards for foreign income tax purposes that are available to offset future foreign tax expense. Most foreign net operating loss carryforwards will not expire in future years. The Company has provided a valuation allowance against $71.3 million of its deferred tax asset related to the net operating losses as it does not anticipate utilizing the losses in the foreseeable future.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 has foreign tax credits for foreign income purposes in the amount of $84.5 million. The Company has provided a valuation allowance against $84.5 million of the tax credits as it does not anticipate utilizing the credits in the foreseeable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and 2022, the Company had recorded accrued interest and penalties related to the unrecognized tax benefits of $8.1 million and $4.4 million, respectively. Accumulated interest and penalties were $30.7 million and $22.7 million on the Consolidated Balance Sheets at December 31, 2023 and 2022, respectively. In accordance with the Company's accounting policy, interest and penalties related to unrecognized tax benefits are included as a component of income tax expense.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the total amounts of gross unrecognized tax benefits excluding interest and penalties for the years ended December 31, 2023, 2022, and 2021 is as follows (in thousands):</w:t>
      </w:r>
    </w:p>
    <w:tbl>
      <w:tblPr>
        <w:tblW w:w="7608" w:type="dxa"/>
        <w:jc w:val="center"/>
        <w:tblInd w:w="0" w:type="dxa"/>
        <w:tblLayout w:type="fixed"/>
        <w:tblCellMar>
          <w:top w:w="28" w:type="dxa"/>
          <w:left w:w="28" w:type="dxa"/>
          <w:bottom w:w="28" w:type="dxa"/>
          <w:right w:w="28" w:type="dxa"/>
        </w:tblCellMar>
      </w:tblPr>
      <w:tblGrid>
        <w:gridCol w:w="2246"/>
        <w:gridCol w:w="1969"/>
        <w:gridCol w:w="1980"/>
        <w:gridCol w:w="109"/>
        <w:gridCol w:w="109"/>
        <w:gridCol w:w="109"/>
        <w:gridCol w:w="211"/>
        <w:gridCol w:w="721"/>
        <w:gridCol w:w="154"/>
      </w:tblGrid>
      <w:tr>
        <w:trPr/>
        <w:tc>
          <w:tcPr>
            <w:tcW w:w="2246"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at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the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the prior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based on settlement of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based on expiration of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at 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the 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based on tax positions related to the prior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based on settlement of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 for cumulative federal benefit of state tax deductions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due to 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and deductions based on tax positions related to the 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 and deductions based on tax positions related to the prior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 based on settlements of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Deductions based on expiration of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due to 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prior years, the Company included federal benefits of state tax deductions related to unrecognized tax benefits in its tabular reconciliation above. A cumulative adjustment was made in 2022 to remove these amounts from the above tabular disclosure. </w:t>
      </w:r>
    </w:p>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total unrecognized tax benefits of $63.1 million all of which, if recognized, would affect its effective tax rate. It is not anticipated that there are any unrecognized tax benefits that will significantly increase or decrease within the next twelve months.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files numerous consolidated and separate income tax returns in the U.S. federal jurisdiction and various state and foreign jurisdictions. The statute of limitations for the Company’s U.S. federal income tax returns has expired for years prior to 2015. The statute of limitations for most state income tax returns has expired for years prior to 2020. The statute of limitations has expired for years prior to 2018 for the Company’s Mexican income tax returns, and 2018 for the Company’s Luxembourg income tax returns.</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2021, the Organization for Economic Cooperation and Development (“OECD”) enacted model rules for a new global minimum tax framework (“BEPS Pillar Two”), which generally provide for a minimum effective tax rate of 15%. Various governments around the world have enacted, or are in the process of enacting, legislation on this, with certain enactments becoming effective for tax years beginning in January 2024. While we do not anticipate that these rules will have a material effect on our tax provision or effective tax rate, we continue to monitor evolving tax legislation in the jurisdictions in which we operate as such legislation becomes effective.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14. Leases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primarily leases office space, data centers, vehicles, and equipment. Some of our leases contain variable lease payments, typically payments based on an index. The Company’s leases have remaining lease terms of one year to thirty years, some of which include options to extend from one to five years or more. The exercise of lease renewal options is typically at the Company's sole discretion; therefore, the majority of renewals to extend the lease terms are not reasonably certain to exercise and are not included in Right of Use (ROU) assets and lease liabilities. Variable lease payments based on an index or rate are initially measured using the index or rate in effect at lease commencement. Additional payments based on the change in an index or rate are recorded as a period expense when incurred. Lease modifications result in remeasurement of the lease liability as of the modification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include ROU assets, other current liabilities include short-term operating lease liabilities, and other non-current liabilities include long-term lease liabilities at December 31, 2023 and 2022 is as follows (in thousands): </w:t>
      </w:r>
    </w:p>
    <w:tbl>
      <w:tblPr>
        <w:tblW w:w="5015" w:type="dxa"/>
        <w:jc w:val="center"/>
        <w:tblInd w:w="0" w:type="dxa"/>
        <w:tblLayout w:type="fixed"/>
        <w:tblCellMar>
          <w:top w:w="28" w:type="dxa"/>
          <w:left w:w="28" w:type="dxa"/>
          <w:bottom w:w="28" w:type="dxa"/>
          <w:right w:w="28" w:type="dxa"/>
        </w:tblCellMar>
      </w:tblPr>
      <w:tblGrid>
        <w:gridCol w:w="808"/>
        <w:gridCol w:w="709"/>
        <w:gridCol w:w="717"/>
        <w:gridCol w:w="109"/>
        <w:gridCol w:w="109"/>
        <w:gridCol w:w="109"/>
        <w:gridCol w:w="211"/>
        <w:gridCol w:w="721"/>
        <w:gridCol w:w="109"/>
        <w:gridCol w:w="109"/>
        <w:gridCol w:w="109"/>
        <w:gridCol w:w="109"/>
        <w:gridCol w:w="211"/>
        <w:gridCol w:w="721"/>
        <w:gridCol w:w="154"/>
      </w:tblGrid>
      <w:tr>
        <w:trPr/>
        <w:tc>
          <w:tcPr>
            <w:tcW w:w="80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recognize ROU assets and lease liabilities for short-term leases that have a term of twelve months or less. The effect of short-term leases were not material to the ROU assets and lease liabilities.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ASC 842, the Company discounts future lease obligations by the rate implicit in the contract, unless the rate cannot be readily determined. As most of our leases do not provide an implicit rate, the Company uses its incremental borrowing rate based on the information available at the lease commencement date in determining the present value of the lease payments. In determining the borrowing rate, the Company considers the applicable lease terms, the Company's cost of borrowing, and for leases denominated in a foreign currency, the collateralized borrowing rate that the Company would obtain to borrow in the same currency in which the lease is denominated. </w:t>
      </w:r>
    </w:p>
    <w:p>
      <w:pPr>
        <w:pStyle w:val="TextBody"/>
        <w:bidi w:val="0"/>
        <w:spacing w:lineRule="auto" w:line="256" w:before="180" w:after="160"/>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costs for the years ended December 31, 2023, 2022, and 2021 were $29.7 million, $24.1 million, and $22.6 million, respectively. Variable lease costs and short-term lease costs were immaterial for all periods presented.</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supplementary cash and non-cash disclosures for the years ended December 31, 2023, 2022, and 2021 are as follows (in thousands):</w:t>
      </w:r>
    </w:p>
    <w:tbl>
      <w:tblPr>
        <w:tblW w:w="9923" w:type="dxa"/>
        <w:jc w:val="center"/>
        <w:tblInd w:w="0" w:type="dxa"/>
        <w:tblLayout w:type="fixed"/>
        <w:tblCellMar>
          <w:top w:w="28" w:type="dxa"/>
          <w:left w:w="28" w:type="dxa"/>
          <w:bottom w:w="28" w:type="dxa"/>
          <w:right w:w="28" w:type="dxa"/>
        </w:tblCellMar>
      </w:tblPr>
      <w:tblGrid>
        <w:gridCol w:w="2089"/>
        <w:gridCol w:w="1839"/>
        <w:gridCol w:w="1846"/>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208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ROU assets obtained in exchange for new operating lease obligations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r>
    </w:tbl>
    <w:p>
      <w:pPr>
        <w:pStyle w:val="TextBody"/>
        <w:bidi w:val="0"/>
        <w:spacing w:lineRule="auto" w:line="256" w:before="30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as of December 31, 2023 were as follows (in thousands):</w:t>
      </w:r>
    </w:p>
    <w:tbl>
      <w:tblPr>
        <w:tblW w:w="4098" w:type="dxa"/>
        <w:jc w:val="center"/>
        <w:tblInd w:w="0" w:type="dxa"/>
        <w:tblLayout w:type="fixed"/>
        <w:tblCellMar>
          <w:top w:w="28" w:type="dxa"/>
          <w:left w:w="28" w:type="dxa"/>
          <w:bottom w:w="28" w:type="dxa"/>
          <w:right w:w="28" w:type="dxa"/>
        </w:tblCellMar>
      </w:tblPr>
      <w:tblGrid>
        <w:gridCol w:w="972"/>
        <w:gridCol w:w="851"/>
        <w:gridCol w:w="862"/>
        <w:gridCol w:w="109"/>
        <w:gridCol w:w="109"/>
        <w:gridCol w:w="109"/>
        <w:gridCol w:w="211"/>
        <w:gridCol w:w="721"/>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payments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imputed interest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pStyle w:val="TextBody"/>
        <w:bidi w:val="0"/>
        <w:spacing w:lineRule="auto" w:line="25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Derivative Lawsuits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10, 2017, a shareholder derivative complaint was filed against the Company and certain of the Company’s directors and officers in the United States District Court for the Northern District of Georgia ("Federal Derivative Action") seeking recovery from the Company. The District Court dismissed the Federal Derivative Action on October 21, 2020, and the United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States Court of Appeals for the Eleventh Circuit affirmed the dismissal on July 27, 2022, ending the lawsuit. A similar derivative lawsuit that had been filed on January 9, 2019 in the Superior Court of Gwinnett County, Georgia (“State Derivative Action”) was likewise dismissed on October 31, 2022. </w:t>
      </w:r>
    </w:p>
    <w:p>
      <w:pPr>
        <w:pStyle w:val="TextBody"/>
        <w:bidi w:val="0"/>
        <w:spacing w:lineRule="auto" w:line="256" w:before="180" w:after="283"/>
        <w:jc w:val="left"/>
        <w:rPr/>
      </w:pPr>
      <w:r>
        <w:rPr>
          <w:rFonts w:ascii="Times New Roman;sans-serif" w:hAnsi="Times New Roman;sans-serif"/>
          <w:b w:val="false"/>
          <w:color w:val="000000"/>
          <w:sz w:val="20"/>
        </w:rPr>
        <w:t xml:space="preserve">On January 20, 2023, the previous State Derivative Action plaintiffs filed a new derivative lawsuit in the Superior Court of Gwinnett County, Georgia. The new lawsuit, </w:t>
      </w:r>
      <w:r>
        <w:rPr>
          <w:rFonts w:ascii="Times New Roman;sans-serif" w:hAnsi="Times New Roman;sans-serif"/>
          <w:b w:val="false"/>
          <w:i/>
          <w:color w:val="000000"/>
          <w:sz w:val="20"/>
        </w:rPr>
        <w:t>City of Aventura Police Officers’ Retirement Fund, derivatively on behalf of FleetCor Technologies, Inc. v. Ronald F. Clarke and Eric R. Dey</w:t>
      </w:r>
      <w:r>
        <w:rPr>
          <w:rFonts w:ascii="Times New Roman;sans-serif" w:hAnsi="Times New Roman;sans-serif"/>
          <w:b w:val="false"/>
          <w:color w:val="000000"/>
          <w:sz w:val="20"/>
        </w:rPr>
        <w:t xml:space="preserve">, alleges that the defendants breached their fiduciary duties by causing or permitting the Company to engage in unfair or deceptive marketing and billing practices, making false and misleading public statements concerning the Company’s fee charges and financial and business prospects, and making improper sales of stock. The complaint seeks approximately $118 million in monetary damages on behalf of the Company, including contribution by defendants as joint tortfeasors with the Company in unfair and deceptive practices, and disgorgement of incentive pay and stock compensation. On January 24, 2023, the previous Federal Derivative Action plaintiffs filed a similar new derivative lawsuit, </w:t>
      </w:r>
      <w:r>
        <w:rPr>
          <w:rFonts w:ascii="Times New Roman;sans-serif" w:hAnsi="Times New Roman;sans-serif"/>
          <w:b w:val="false"/>
          <w:i/>
          <w:color w:val="000000"/>
          <w:sz w:val="20"/>
        </w:rPr>
        <w:t>Jerrell Whitten, derivatively on behalf of FleetCor Technologies, Inc. v. Ronald F. Clarke and Eric R. Dey, against Mr. Clarke and Mr. Dey</w:t>
      </w:r>
      <w:r>
        <w:rPr>
          <w:color w:val="000000"/>
        </w:rPr>
        <w:t xml:space="preserve"> </w:t>
      </w:r>
      <w:r>
        <w:rPr>
          <w:rFonts w:ascii="Times New Roman;sans-serif" w:hAnsi="Times New Roman;sans-serif"/>
          <w:b w:val="false"/>
          <w:color w:val="000000"/>
          <w:sz w:val="20"/>
        </w:rPr>
        <w:t xml:space="preserve">in Gwinnett County, Georgia. The defendants dispute the allegations in the derivative complaints and intend to vigorously defend against the claims. </w:t>
      </w:r>
    </w:p>
    <w:p>
      <w:pPr>
        <w:pStyle w:val="TextBody"/>
        <w:bidi w:val="0"/>
        <w:spacing w:lineRule="auto" w:line="25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FTC Investigation</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2017, the Federal Trade Commission ("FTC") issued a Notice of Civil Investigative Demand to the Company for the production of documentation and a request for responses to written interrogatories. After discussions with the Company, the FTC proposed in October 2019 to resolve potential claims relating to the Company’s advertising and marketing practices, principally in its U.S. direct fuel card business within its North American Fuel Card business. The parties reached impasse primarily related to what the Company believes are unreasonable demands for redress made by the FTC.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20, 2019, the FTC filed a lawsuit in the Northern District of Georgia against the Company and Ron Clarke. See FTC v. FLEETCOR and Ronald F. Clarke, No. 19-cv-05727 (N.D. Ga.). The complaint alleges the Company and Clarke violated the FTC Act’s prohibitions on unfair and deceptive acts and practices. The complaint seeks among other things injunctive relief, consumer redress, and costs of suit. The Company continues to believe that the FTC’s claims are without merit. On April 17, 2021, the FTC filed a motion for summary judgment. On April 22, 2021, the United States Supreme Court held unanimously in AMG Capital Management v. FTC that the FTC does not have authority under current law to seek monetary redress by means of Section 13(b) of the FTC Act, which is the means by which the FTC has sought such redress in this case. FLEETCOR cross-moved for summary judgment regarding the FTC’s ability to seek monetary or injunctive relief on May 17, 2021. On August 13, 2021, the FTC filed a motion to stay or to voluntarily dismiss without prejudice the case pending in the Northern District of Georgia in favor of a parallel administrative action under Section 5 of the FTC Act that it filed on August 11, 2021 in the FTC’s administrative process. Apart from the jurisdiction and statutory change, the FTC’s administrative complaint makes the same factual allegations as the FTC’s original complaint filed in December 2019. The Company opposed the FTC’s motion for a stay or to voluntarily dismiss, and the court denied the FTC’s motion on February 7, 2022. In the meantime, the FTC’s administrative action is stayed. On August 9, 2022, the District Court for the Northern District of Georgia granted the FTC's motion for summary judgment as to liability for the Company and Ron Clarke, but granted the Company's motion for summary judgment as to the FTC's claim for monetary relief as to both the Company and Ron Clarke. The Company intends to appeal this decision after final judgment is issued. On October 20-21, 2022, the court held a hearing on the scope of injunctive relief. At the conclusion of the hearing, the Court did not enter either the FTC’s proposed order or the Company’s proposed order, and instead suggested that the parties enter mediation. Following mediation, both parties filed proposed orders with the Court. </w:t>
      </w:r>
    </w:p>
    <w:p>
      <w:pPr>
        <w:pStyle w:val="TextBody"/>
        <w:bidi w:val="0"/>
        <w:spacing w:lineRule="auto" w:line="256" w:before="180" w:after="283"/>
        <w:jc w:val="left"/>
        <w:rPr/>
      </w:pPr>
      <w:r>
        <w:rPr>
          <w:rFonts w:ascii="Times New Roman;sans-serif" w:hAnsi="Times New Roman;sans-serif"/>
          <w:b w:val="false"/>
          <w:color w:val="000000"/>
          <w:sz w:val="20"/>
        </w:rPr>
        <w:t>On June 8, 2023, the Court issued an Order for Permanent Injunction and Other Relief. The Company filed its notice of appeal to the United States Court of Appeals for the Eleventh Circuit on August 3, 2023. On August 17, 2023, the FTC Commission ordered that the stay of the parallel Section 5 administrative action will remain in place during the pendency of the Eleventh Circuit appeal. The Company has incurred and continues to incur legal and other fees related to this FTC complaint. Any settlement of this matter, or defense against the lawsuit, could involve costs to the Company, including legal fees, redress, penalties, and remediation expenses.</w:t>
      </w:r>
      <w:r>
        <w:rPr>
          <w:color w:val="000000"/>
        </w:rPr>
        <w:t xml:space="preserve">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Estimating an amount or range of possible losses resulting from litigation proceedings is inherently difficult and requires an extensive degree of judgment, particularly where, as 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16. Derivative Financial Instruments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Currency Derivatives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derivatives to facilitate cross-currency corporate payments by writing derivatives to customers within its cross-border solution. The Company writes derivatives, primarily foreign currency forward contracts, option contracts, and swaps, mostly with small and medium size enterprises that are customers and derives a currency spread from this activity.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transactions associated with the Company's cross-border solution include:</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i/>
          <w:color w:val="000000"/>
          <w:sz w:val="20"/>
        </w:rPr>
        <w:t>Forward contracts</w:t>
      </w:r>
      <w:r>
        <w:rPr>
          <w:rFonts w:ascii="Times New Roman;sans-serif" w:hAnsi="Times New Roman;sans-serif"/>
          <w:b w:val="false"/>
          <w:color w:val="000000"/>
          <w:sz w:val="20"/>
        </w:rPr>
        <w:t xml:space="preserve">, which are commitments to buy or sell at a future date a currency at a contract price and will be settled in cash. </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i/>
          <w:color w:val="000000"/>
          <w:sz w:val="20"/>
        </w:rPr>
        <w:t>Option contracts,</w:t>
      </w:r>
      <w:r>
        <w:rPr>
          <w:color w:val="000000"/>
        </w:rPr>
        <w:t xml:space="preserve"> </w:t>
      </w:r>
      <w:r>
        <w:rPr>
          <w:rFonts w:ascii="Times New Roman;sans-serif" w:hAnsi="Times New Roman;sans-serif"/>
          <w:b w:val="false"/>
          <w:color w:val="000000"/>
          <w:sz w:val="20"/>
        </w:rPr>
        <w:t>which gives the purchaser the right, but not the obligation, to buy or sell within a specified time a currency at a contracted price that may be settled in cash.</w:t>
      </w:r>
    </w:p>
    <w:p>
      <w:pPr>
        <w:pStyle w:val="TextBody"/>
        <w:bidi w:val="0"/>
        <w:spacing w:lineRule="auto" w:line="256" w:before="120" w:after="283"/>
        <w:ind w:left="0" w:right="0" w:hanging="360"/>
        <w:jc w:val="left"/>
        <w:rPr/>
      </w:pPr>
      <w:r>
        <w:rPr>
          <w:color w:val="000000"/>
        </w:rPr>
        <w:t>•</w:t>
      </w:r>
      <w:r>
        <w:rPr>
          <w:rFonts w:ascii="Times New Roman;sans-serif" w:hAnsi="Times New Roman;sans-serif"/>
          <w:b w:val="false"/>
          <w:i/>
          <w:color w:val="000000"/>
          <w:sz w:val="20"/>
        </w:rPr>
        <w:t>Swap contracts,</w:t>
      </w:r>
      <w:r>
        <w:rPr>
          <w:color w:val="000000"/>
        </w:rPr>
        <w:t xml:space="preserve"> </w:t>
      </w:r>
      <w:r>
        <w:rPr>
          <w:rFonts w:ascii="Times New Roman;sans-serif" w:hAnsi="Times New Roman;sans-serif"/>
          <w:b w:val="false"/>
          <w:color w:val="000000"/>
          <w:sz w:val="20"/>
        </w:rPr>
        <w:t xml:space="preserve">which are commitments to settlement in cash at a future date or dates, usually on an overnight basis.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credit risk inherent in derivative agreements represents the possibility that a loss may occur from the nonperformance of a counterparty to the agreements. Concentrations of credit and performance risk may exist with counterparties, which includes customers and banking partners, as we are engaged in similar activities with similar economic characteristics related to fluctuations in foreign currency rates. The Company performs a review of the credit risk of these counterparties at the inception of the contract and on an ongoing basis. The Company also monitors the concentration of its contracts with any individual counterparty against limits at the individual counterparty level. The Company anticipates that the counterparties will be able to fully satisfy their obligations under the agreements, but takes action when doubt arises about the counterparties' ability to perform. These actions may include requiring customers to post or increase collateral, and for all counterparties, if the counterparty does not perform under the term of the contract, the contract may be terminated. The Company does not designate any of its foreign exchange derivatives as hedging instruments in accordance with ASC 815, "Derivatives and Hedging".</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equivalent U.S. dollar notional amount of foreign exchange derivative customer contracts held by the Company as of December 31, 2023 and 2022 (in millions) is presented in the table below. </w:t>
      </w:r>
    </w:p>
    <w:tbl>
      <w:tblPr>
        <w:tblW w:w="5273" w:type="dxa"/>
        <w:jc w:val="center"/>
        <w:tblInd w:w="0" w:type="dxa"/>
        <w:tblLayout w:type="fixed"/>
        <w:tblCellMar>
          <w:top w:w="28" w:type="dxa"/>
          <w:left w:w="28" w:type="dxa"/>
          <w:bottom w:w="28" w:type="dxa"/>
          <w:right w:w="28" w:type="dxa"/>
        </w:tblCellMar>
      </w:tblPr>
      <w:tblGrid>
        <w:gridCol w:w="913"/>
        <w:gridCol w:w="800"/>
        <w:gridCol w:w="806"/>
        <w:gridCol w:w="211"/>
        <w:gridCol w:w="871"/>
        <w:gridCol w:w="109"/>
        <w:gridCol w:w="109"/>
        <w:gridCol w:w="109"/>
        <w:gridCol w:w="109"/>
        <w:gridCol w:w="211"/>
        <w:gridCol w:w="871"/>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Notional </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Foreign exchange contracts: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Forwards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Written options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Purchased options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customer foreign exchange contracts are written in currencies such as the U.S. dollar, Canadian dollar, British pound, euro and Australian dollar.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of derivatives reported in the Consolidated Balance Sheets as of December 31, 2023 and 2022 (in millions):</w:t>
      </w:r>
    </w:p>
    <w:tbl>
      <w:tblPr>
        <w:tblW w:w="10097" w:type="dxa"/>
        <w:jc w:val="center"/>
        <w:tblInd w:w="0" w:type="dxa"/>
        <w:tblLayout w:type="fixed"/>
        <w:tblCellMar>
          <w:top w:w="28" w:type="dxa"/>
          <w:left w:w="28" w:type="dxa"/>
          <w:bottom w:w="28" w:type="dxa"/>
          <w:right w:w="28" w:type="dxa"/>
        </w:tblCellMar>
      </w:tblPr>
      <w:tblGrid>
        <w:gridCol w:w="1232"/>
        <w:gridCol w:w="1084"/>
        <w:gridCol w:w="1089"/>
        <w:gridCol w:w="211"/>
        <w:gridCol w:w="616"/>
        <w:gridCol w:w="109"/>
        <w:gridCol w:w="109"/>
        <w:gridCol w:w="109"/>
        <w:gridCol w:w="109"/>
        <w:gridCol w:w="378"/>
        <w:gridCol w:w="1106"/>
        <w:gridCol w:w="195"/>
        <w:gridCol w:w="109"/>
        <w:gridCol w:w="109"/>
        <w:gridCol w:w="109"/>
        <w:gridCol w:w="211"/>
        <w:gridCol w:w="616"/>
        <w:gridCol w:w="109"/>
        <w:gridCol w:w="109"/>
        <w:gridCol w:w="109"/>
        <w:gridCol w:w="109"/>
        <w:gridCol w:w="378"/>
        <w:gridCol w:w="1106"/>
        <w:gridCol w:w="195"/>
        <w:gridCol w:w="109"/>
        <w:gridCol w:w="109"/>
        <w:gridCol w:w="109"/>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2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 undesignated:</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collateral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derivative assets and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661" w:type="dxa"/>
        <w:jc w:val="center"/>
        <w:tblInd w:w="0" w:type="dxa"/>
        <w:tblLayout w:type="fixed"/>
        <w:tblCellMar>
          <w:top w:w="28" w:type="dxa"/>
          <w:left w:w="28" w:type="dxa"/>
          <w:bottom w:w="28" w:type="dxa"/>
          <w:right w:w="28" w:type="dxa"/>
        </w:tblCellMar>
      </w:tblPr>
      <w:tblGrid>
        <w:gridCol w:w="1232"/>
        <w:gridCol w:w="1084"/>
        <w:gridCol w:w="1089"/>
        <w:gridCol w:w="211"/>
        <w:gridCol w:w="616"/>
        <w:gridCol w:w="109"/>
        <w:gridCol w:w="109"/>
        <w:gridCol w:w="109"/>
        <w:gridCol w:w="109"/>
        <w:gridCol w:w="378"/>
        <w:gridCol w:w="1106"/>
        <w:gridCol w:w="195"/>
        <w:gridCol w:w="109"/>
        <w:gridCol w:w="109"/>
        <w:gridCol w:w="109"/>
        <w:gridCol w:w="211"/>
        <w:gridCol w:w="616"/>
        <w:gridCol w:w="109"/>
        <w:gridCol w:w="109"/>
        <w:gridCol w:w="109"/>
        <w:gridCol w:w="109"/>
        <w:gridCol w:w="371"/>
        <w:gridCol w:w="1083"/>
        <w:gridCol w:w="270"/>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2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Net</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Liabilities</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 undesignated:</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collateral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derivative assets and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derivative assets and liabilities associated with contracts, which include netting terms that the Company believes to be enforceable, have been recorded net within prepaid expenses and other current assets, other assets, other current liabilities and other noncurrent liabilities in the Consolidated Balance Sheets. The Company receives cash from customers as collateral for trade exposures, which is recorded within cash and cash equivalents, restricted cash and customer deposits liability in the Consolidated Balance Sheets. The customer has the right to recall their collateral in the event exposures move in their favor, they perform on all outstanding contracts and have no outstanding amounts due to the Company, or they cease to do business with the Company. The Company has trading lines with several banks, most of which require collateral to be posted if certain mark-to-market (MTM) thresholds are exceeded. Cash collateral posted with banks is recorded within restricted cash and can be recalled in the event that exposures move in the Company’s favor or move below the collateral posting thresholds. The Company does not offset fair value amounts recognized for the right to reclaim cash collateral or the obligation to return cash collateral. Cash flows from the Company's foreign currency derivatives are classified as operating activities within the Consolidated Statements of Cash Flows. The following table presents the fair value of the Company’s derivative assets and liabilities, as well as their classification on the accompanying Consolidated Balance Sheets, as of December 31, 2023 and December 31, 2022 (in millions):</w:t>
      </w:r>
    </w:p>
    <w:tbl>
      <w:tblPr>
        <w:tblW w:w="8193" w:type="dxa"/>
        <w:jc w:val="center"/>
        <w:tblInd w:w="0" w:type="dxa"/>
        <w:tblLayout w:type="fixed"/>
        <w:tblCellMar>
          <w:top w:w="28" w:type="dxa"/>
          <w:left w:w="28" w:type="dxa"/>
          <w:bottom w:w="28" w:type="dxa"/>
          <w:right w:w="28" w:type="dxa"/>
        </w:tblCellMar>
      </w:tblPr>
      <w:tblGrid>
        <w:gridCol w:w="673"/>
        <w:gridCol w:w="592"/>
        <w:gridCol w:w="595"/>
        <w:gridCol w:w="109"/>
        <w:gridCol w:w="109"/>
        <w:gridCol w:w="109"/>
        <w:gridCol w:w="1144"/>
        <w:gridCol w:w="1144"/>
        <w:gridCol w:w="1147"/>
        <w:gridCol w:w="109"/>
        <w:gridCol w:w="109"/>
        <w:gridCol w:w="109"/>
        <w:gridCol w:w="211"/>
        <w:gridCol w:w="616"/>
        <w:gridCol w:w="109"/>
        <w:gridCol w:w="109"/>
        <w:gridCol w:w="109"/>
        <w:gridCol w:w="109"/>
        <w:gridCol w:w="211"/>
        <w:gridCol w:w="616"/>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Value </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Flow Hedges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22, 2019, the Company entered into three interest rate swap cash flow contracts (the "swap contracts"). One contract (which matured in January 2022) had a notional value of $1.0 billion, while the two remaining contracts (with maturity dates in January 2023 and December 2023) each had a notional value of $500 million. The objective of these swap contracts was to reduce the variability of cash flows in the previously unhedged interest payments associated with $2.0 billion of unspecified variable rate debt, the sole source of which is due to changes in the LIBOR benchmark interest rate. At inception, the Company designated these contracts as hedging instruments in accordance with ASC 815, "Derivatives and Hedging."</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January 2023, the Company entered into five receive-variable SOFR, pay-fixed interest rate swap derivative contracts with a cumulative notional U.S. dollar value of $1.5 billion as shown disaggregated in the table below.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May 4, 2023, the Company amended the remaining LIBOR-based interest rate swap with a notional amount of $500 million from one-month term LIBOR of 2.55% to one-month term SOFR of 2.50%, without further changes to the terms of the swap.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applied certain expedients provided in ASU No. 2020-04, Reference Rate Reform (Topic 848), related to changes in critical terms of the hedging relationships due to the reference rate reform, which allowed the change in critical terms without designation of the hedging relationship. This interest rate swap matured in December 2023.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2023, the Company entered into eight additional receive-variable SOFR, pay-fixed interest rate swap derivative contracts with a total notional U.S. dollar value of $2.0 billion as shown disaggregated in the table below. Further, in December 2023, the Company entered into five additional receive-variable SOFR, pay-fixed interest rate swap derivative contracts with a total notional U.S. dollar value of $500 million as shown disaggregated in the table below.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the following outstanding interest rate swap derivatives that qualify as hedging instruments within designated cash flow hedges of variable interest rate risk (in millions):</w:t>
      </w:r>
    </w:p>
    <w:tbl>
      <w:tblPr>
        <w:tblW w:w="4590" w:type="dxa"/>
        <w:jc w:val="center"/>
        <w:tblInd w:w="0" w:type="dxa"/>
        <w:tblLayout w:type="fixed"/>
        <w:tblCellMar>
          <w:top w:w="28" w:type="dxa"/>
          <w:left w:w="28" w:type="dxa"/>
          <w:bottom w:w="28" w:type="dxa"/>
          <w:right w:w="28" w:type="dxa"/>
        </w:tblCellMar>
      </w:tblPr>
      <w:tblGrid>
        <w:gridCol w:w="124"/>
        <w:gridCol w:w="109"/>
        <w:gridCol w:w="484"/>
        <w:gridCol w:w="484"/>
        <w:gridCol w:w="486"/>
        <w:gridCol w:w="109"/>
        <w:gridCol w:w="109"/>
        <w:gridCol w:w="109"/>
        <w:gridCol w:w="334"/>
        <w:gridCol w:w="334"/>
        <w:gridCol w:w="336"/>
        <w:gridCol w:w="109"/>
        <w:gridCol w:w="109"/>
        <w:gridCol w:w="109"/>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Notional Amount</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0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7/31/2026</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1/31/2027</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1/31/2027</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7/31/2027</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7/31/2027</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1/31/2027</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1/31/2027</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1/31/2027</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1/31/2028</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1/31/2028</w:t>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purpose of these contracts is to reduce the variability of cash flows in interest payments associated with the Company's unspecified variable rate debt, the sole source of which is due to changes in the SOFR benchmark interest rate. The Company has designated these derivative instruments as cash flow hedging instruments, which are expected to be highly effective at offsetting changes in cash flows of the related underlying exposure. As a result, changes in fair value of the interest rate swaps are recorded in accumulated other comprehensive loss. For each of these swap contracts, the Company pays a fixed monthly rate and receives one month SOFR. The Company reclassified $39.4 million from accumulated other comprehensive loss resulting in a benefit to interest expense, net for the year ended December 31, 2023 related to the Company's interest rate swap contracts. Cash flows related to the Company's interest rate swap derivatives are classified as operating activities within the Consolidated Statements of Cash Flows, as such cash flows relate to hedged interest payments are recorded in operating activities.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derivatives accounted for as hedging instruments, the Company formally designates and documents, at inception, the financial instrument as a hedge of a specific underlying exposure, the risk management objective and the strategy for undertaking the hedge transaction. The Company formally assesses, both at the inception and at least quarterly thereafter, whether the financial instruments used in hedging transactions are highly effective at offsetting changes in cash flows of the related underlying exposures.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fair value of the Company’s interest rate swap contracts, as well as their classification on the Consolidated Balance Sheets, as of December 31, 2023 and 2022 (in millions). See Note 4 for additional information on the fair value of the Company’s swap contracts.</w:t>
      </w:r>
    </w:p>
    <w:tbl>
      <w:tblPr>
        <w:tblW w:w="9933" w:type="dxa"/>
        <w:jc w:val="center"/>
        <w:tblInd w:w="0" w:type="dxa"/>
        <w:tblLayout w:type="fixed"/>
        <w:tblCellMar>
          <w:top w:w="28" w:type="dxa"/>
          <w:left w:w="28" w:type="dxa"/>
          <w:bottom w:w="28" w:type="dxa"/>
          <w:right w:w="28" w:type="dxa"/>
        </w:tblCellMar>
      </w:tblPr>
      <w:tblGrid>
        <w:gridCol w:w="1380"/>
        <w:gridCol w:w="1213"/>
        <w:gridCol w:w="1217"/>
        <w:gridCol w:w="109"/>
        <w:gridCol w:w="109"/>
        <w:gridCol w:w="109"/>
        <w:gridCol w:w="1144"/>
        <w:gridCol w:w="1144"/>
        <w:gridCol w:w="1147"/>
        <w:gridCol w:w="109"/>
        <w:gridCol w:w="109"/>
        <w:gridCol w:w="109"/>
        <w:gridCol w:w="211"/>
        <w:gridCol w:w="511"/>
        <w:gridCol w:w="109"/>
        <w:gridCol w:w="109"/>
        <w:gridCol w:w="109"/>
        <w:gridCol w:w="109"/>
        <w:gridCol w:w="211"/>
        <w:gridCol w:w="511"/>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Derivatives designated as cash flow hedges: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4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estimated net amount of the existing gains expected to be reclassified into earnings within the next 12 months is approximately $23.6 million. </w:t>
      </w:r>
    </w:p>
    <w:p>
      <w:pPr>
        <w:pStyle w:val="TextBody"/>
        <w:bidi w:val="0"/>
        <w:spacing w:lineRule="auto" w:line="26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Investment Hedge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the Company entered into a cross-currency interest rate swap that is designated as a net investment hedge of our investments in euro-denominated operations. This contract effectively converts $500 million of U.S. dollar equivalent to an obligation denominated in euro, and partially offsets the impact of changes in currency rates on our euro-denominated net investmentsts. This contract also creates a positive interest differential on the U.S. dollar-denominated portion of the swap, resulting in a 1.96% interest rate savings on the USD notional.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 effectiveness is tested based on changes in fair value of the cross-currency swap due to changes in the USD/euro spot rate. The Company anticipates perfect effectiveness of the designated hedging relationship and records changes in the fair value of the cross-currency interest rate swap associated with changes in the spot rate through accumulated other comprehensive loss. Excluded components associated with the forward differential are recognized directly in earnings as interest expense, net. The Company recognized a benefit of $9.0 million in interest expense, net for the year ended December 31, 2023 related to these excluded components. The cross-currency interest rate swap designated as a net investment hedge is recorded in other current liabilities at a fair value of $14.5 million as of December 31, 2023. Upon settlement, cash flows attributable to derivatives designated as net investment hedges will be classified as investing activities in the Consolidated Statements of Cash Flows.</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terminated its existing net investment hedge on February 1, 2024, which resulted in net cash payments totaling $3.9 million. The loss on the net investment hedge will remain in accumulated other comprehensive loss and will only be reclassified into earnings if and when the underlying euro-denominated net investment is sold or liquidated.</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Subsequently, on February 2, 2024, the Company entered into four new cross-currency interest rate swaps that are designated as net investment hedges of the Company's investments in euro-denominated operations. These contracts effectively convert an aggregate $500 million of U.S. dollar equivalent to an obligation denominated in euro, and partially offset the impact of changes in currency rates on our euro-denominated net investments. These contracts also create a positive interest differential on the U.S. dollar-denominated portion of the swap, resulting in a 1.55% interest rate savings on the USD notional.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17. Earnings Per Share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reports basic and diluted earnings per share. Basic earnings per share is computed by dividing net income attributable to shareholders of the Company by the weighted average number of common shares outstanding during the reported period. Diluted earnings per share reflect the potential dilution related to equity-based incentives using the treasury stock method.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 and reconciliation of basic and diluted earnings per share for the years ended December 31 (in thousands, except per share data) follows:</w:t>
      </w:r>
    </w:p>
    <w:tbl>
      <w:tblPr>
        <w:tblW w:w="8048" w:type="dxa"/>
        <w:jc w:val="center"/>
        <w:tblInd w:w="0" w:type="dxa"/>
        <w:tblLayout w:type="fixed"/>
        <w:tblCellMar>
          <w:top w:w="28" w:type="dxa"/>
          <w:left w:w="28" w:type="dxa"/>
          <w:bottom w:w="28" w:type="dxa"/>
          <w:right w:w="28" w:type="dxa"/>
        </w:tblCellMar>
      </w:tblPr>
      <w:tblGrid>
        <w:gridCol w:w="1297"/>
        <w:gridCol w:w="1136"/>
        <w:gridCol w:w="1151"/>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75,598 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82,060 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3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share for the years ended December 31, 2023, 2022 and 2021 excludes the effect of 2.0 million, 2.3 million and 1.4 million shares, respectively, of common stock that may be issued upon the exercise of employee stock options because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3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such effect would be antidilutive. Diluted earnings per share also excludes the effect of performance-based restricted stock for which the performance criteria have not yet been achieved, which was immaterial for 2023, 2022, and 2021.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360" w:after="283"/>
        <w:jc w:val="left"/>
        <w:rPr>
          <w:rFonts w:ascii="Times New Roman;sans-serif" w:hAnsi="Times New Roman;sans-serif"/>
          <w:b/>
          <w:color w:val="000000"/>
          <w:sz w:val="20"/>
        </w:rPr>
      </w:pPr>
      <w:r>
        <w:rPr>
          <w:rFonts w:ascii="Times New Roman;sans-serif" w:hAnsi="Times New Roman;sans-serif"/>
          <w:b/>
          <w:color w:val="000000"/>
          <w:sz w:val="20"/>
        </w:rPr>
        <w:t>18. Segments</w:t>
      </w:r>
    </w:p>
    <w:p>
      <w:pPr>
        <w:pStyle w:val="TextBody"/>
        <w:bidi w:val="0"/>
        <w:spacing w:lineRule="auto" w:line="25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reports information about its operating segments in accordance with the authoritative guidance related to segments. In the fourth quarter of 2023, in order to align with recent changes in the Company's strategy and resulting organizational structure and management reporting, the Company updated its segment structure into six operating segments, which were combined into three reportable segments: Vehicle Payments, Corporate Payments (includes aggregation with Cross-Border operating segment), Lodging Payments and an Other category (which combines Gift and Payroll Card operating segments). We manage and report our operating results through these three reportable segments consistent with how the CODM allocates resources, assesses performance and reviews financial information. The presentation of segment information has been recast for the prior periods to align with this segment presentation for the years ended December 31, 2023, 2022 and 2021.</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segment results are as follows as of and for the years ended December 31 (in thousands):</w:t>
      </w:r>
    </w:p>
    <w:tbl>
      <w:tblPr>
        <w:tblW w:w="9653" w:type="dxa"/>
        <w:jc w:val="center"/>
        <w:tblInd w:w="0" w:type="dxa"/>
        <w:tblLayout w:type="fixed"/>
        <w:tblCellMar>
          <w:top w:w="28" w:type="dxa"/>
          <w:left w:w="28" w:type="dxa"/>
          <w:bottom w:w="28" w:type="dxa"/>
          <w:right w:w="28" w:type="dxa"/>
        </w:tblCellMar>
      </w:tblPr>
      <w:tblGrid>
        <w:gridCol w:w="1716"/>
        <w:gridCol w:w="1507"/>
        <w:gridCol w:w="1516"/>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2023</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Lodging Payments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3,427,129 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2,833,736 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1,242,556 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(excluding goodwill and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60"/>
        <w:jc w:val="left"/>
        <w:rPr/>
      </w:pPr>
      <w:r>
        <w:rPr>
          <w:rFonts w:ascii="Times New Roman;sans-serif" w:hAnsi="Times New Roman;sans-serif"/>
          <w:b w:val="false"/>
          <w:color w:val="000000"/>
          <w:sz w:val="12"/>
        </w:rPr>
        <w:t>1</w:t>
      </w:r>
      <w:r>
        <w:rPr>
          <w:rFonts w:ascii="Times New Roman;sans-serif" w:hAnsi="Times New Roman;sans-serif"/>
          <w:b w:val="false"/>
          <w:color w:val="000000"/>
          <w:sz w:val="20"/>
        </w:rPr>
        <w:t xml:space="preserve">Results from Global Reach Group acquired in the first quarter of 2023 are reported in the Corporate Payments segment from the date of acquisition. Results from Mina Digital Limited, Business Gateway AG and PayByPhone acquired during 2023 are reported in the Vehicle Payments segment, from the date of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segment results are as follows for the quarterly periods in 2023 and 2022 (in thousands):</w:t>
      </w:r>
    </w:p>
    <w:tbl>
      <w:tblPr>
        <w:tblW w:w="8591" w:type="dxa"/>
        <w:jc w:val="left"/>
        <w:tblInd w:w="0" w:type="dxa"/>
        <w:tblLayout w:type="fixed"/>
        <w:tblCellMar>
          <w:top w:w="28" w:type="dxa"/>
          <w:left w:w="28" w:type="dxa"/>
          <w:bottom w:w="28" w:type="dxa"/>
          <w:right w:w="28" w:type="dxa"/>
        </w:tblCellMar>
      </w:tblPr>
      <w:tblGrid>
        <w:gridCol w:w="961"/>
        <w:gridCol w:w="844"/>
        <w:gridCol w:w="84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Fiscal Quarters Year Ended December 31, 2023</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First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Second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Third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Fourth</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937,320 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424,051 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91" w:type="dxa"/>
        <w:jc w:val="left"/>
        <w:tblInd w:w="0" w:type="dxa"/>
        <w:tblLayout w:type="fixed"/>
        <w:tblCellMar>
          <w:top w:w="28" w:type="dxa"/>
          <w:left w:w="28" w:type="dxa"/>
          <w:bottom w:w="28" w:type="dxa"/>
          <w:right w:w="28" w:type="dxa"/>
        </w:tblCellMar>
      </w:tblPr>
      <w:tblGrid>
        <w:gridCol w:w="961"/>
        <w:gridCol w:w="844"/>
        <w:gridCol w:w="84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Fiscal Quarters Year Ended December 31, 2022</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First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Second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Third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Fourth</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883,610 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Vehicle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Lodging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long-lived assets by major geography (excluding goodwill, other intangible assets and investments) at December 31 (in thousands).</w:t>
      </w:r>
    </w:p>
    <w:tbl>
      <w:tblPr>
        <w:tblW w:w="9680" w:type="dxa"/>
        <w:jc w:val="center"/>
        <w:tblInd w:w="0" w:type="dxa"/>
        <w:tblLayout w:type="fixed"/>
        <w:tblCellMar>
          <w:top w:w="28" w:type="dxa"/>
          <w:left w:w="28" w:type="dxa"/>
          <w:bottom w:w="28" w:type="dxa"/>
          <w:right w:w="28" w:type="dxa"/>
        </w:tblCellMar>
      </w:tblPr>
      <w:tblGrid>
        <w:gridCol w:w="2423"/>
        <w:gridCol w:w="2130"/>
        <w:gridCol w:w="2136"/>
        <w:gridCol w:w="109"/>
        <w:gridCol w:w="109"/>
        <w:gridCol w:w="109"/>
        <w:gridCol w:w="211"/>
        <w:gridCol w:w="826"/>
        <w:gridCol w:w="109"/>
        <w:gridCol w:w="109"/>
        <w:gridCol w:w="109"/>
        <w:gridCol w:w="109"/>
        <w:gridCol w:w="211"/>
        <w:gridCol w:w="826"/>
        <w:gridCol w:w="154"/>
      </w:tblGrid>
      <w:tr>
        <w:trPr/>
        <w:tc>
          <w:tcPr>
            <w:tcW w:w="2423"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(excluding goodwill, other intangible assets, and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(country of domicile)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Brazil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180"/>
        <w:jc w:val="left"/>
        <w:rPr/>
      </w:pPr>
      <w:r>
        <w:rPr>
          <w:rFonts w:ascii="Times New Roman;sans-serif" w:hAnsi="Times New Roman;sans-serif"/>
          <w:b w:val="false"/>
          <w:color w:val="000000"/>
          <w:sz w:val="20"/>
          <w:shd w:fill="FFFFFF" w:val="clear"/>
        </w:rPr>
        <w:t>More</w:t>
      </w:r>
      <w:r>
        <w:rPr>
          <w:color w:val="000000"/>
        </w:rPr>
        <w:t xml:space="preserve"> </w:t>
      </w:r>
      <w:r>
        <w:rPr>
          <w:rFonts w:ascii="Times New Roman;sans-serif" w:hAnsi="Times New Roman;sans-serif"/>
          <w:b w:val="false"/>
          <w:color w:val="000000"/>
          <w:sz w:val="20"/>
        </w:rPr>
        <w:t>than 10% of ou</w:t>
      </w:r>
      <w:r>
        <w:rPr>
          <w:rFonts w:ascii="Times New Roman;sans-serif" w:hAnsi="Times New Roman;sans-serif"/>
          <w:b w:val="false"/>
          <w:color w:val="000000"/>
          <w:sz w:val="20"/>
          <w:shd w:fill="FFFFFF" w:val="clear"/>
        </w:rPr>
        <w:t xml:space="preserve">r consolidated revenues in 2023, 2022 and 2021 were derived through our relationship with our open-loop network partner in our Vehicle Payments segment. </w:t>
      </w:r>
    </w:p>
    <w:p>
      <w:pPr>
        <w:pStyle w:val="TextBody"/>
        <w:bidi w:val="0"/>
        <w:spacing w:before="18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19. Russia Disposition</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2023, the Company signed definitive documents to sell its Russia business to a third party. At June 30, 2023, the Company concluded that the sale was not considered probable due to continued uncertainty regarding regulatory approvals and ongoing discussions regarding the nature and timing of deal completion. As such, the assets and liabilities associated with the Company's Russian business were not classified as held for sale prior to the completion of the transaction. The Russia business was historically reported within the Company's Vehicle Payments segment and did not meet the criteria to be presented as discontinued operations. The Company completed the sale of its Russia business on August 15, 2023.</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sale included the entirety of the Company's operations in Russia and resulted in a complete exit from the Russia market. The Company received total proceeds, net of cash disposed and net of a $5.6 million foreign exchange loss upon conversion of the ruble-denominated proceeds to U.S. dollars, of $197.0 million, which have been recorded within investing activities in the accompanying Consolidated Statements of Cash Flows. In connection with the sale, the Company recorded a net gain on disposal of $13.7 million during the year ended December 31, 2023, which represents the proceeds received less the derecognition of the related net assets, the reclassification of accumulated foreign currency translation losses, and the foreign exchange loss upon conversion of the ruble-denominated proceeds to U.S. dollars. The net gain is included within other (income) expense, net in the accompanying Consolidated Statements of Income.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Exclusive of the impact of disposition, the business in Russia accounted for approximately $62.0 million and $84.7 million of the Company's consolidated income before income taxes for years ended December 31, 2023 and 2022, respectively. The Company's assets in Russia were approximately 3.2% of consolidated assets at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20. Restatement of Previous Unaudited Interim Financial Statements (Unaudited)</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preparation of the Company's financial statements as of and for the year ended December 31, 2023, the Company determined that there were errors related to the accounting for certain balance sheet accounts in the unaudited consolidated financial statements for the quarterly periods ended March 31, 2023, June 30, 2023 and September 30, 2023 (the "Restated Periods"). Such errors did not impact any previously filed audited financial statements.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SEC Staff Accounting Bulletin No. 99, "Materiality," and SEC Staff Accounting Bulletin No. 108, "Considering the Effects of Prior Year Misstatements when Quantifying Misstatements in Current Year Financial Statements," the Company determined that the errors were material to the unaudited interim consolidated financial statements for the Restated Periods. Specifically, such errors pertained only to the consolidated balance sheets (and the related effects on the consolidated statements of cash flows) and were related to (1) the recognition of certain cash balances held in custodial accounts for the benefit of (FBO) customers entered into in the first quarter of 2023 as restricted cash and customer deposits based on the Company's determination that it exercises control over such funds and (2) a correction to the Company's accounts receivable and accounts payable balances related to an incorrect classification of certain unbilled accounts receivable balances. </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this determination, the Audit Committee of the Company’s Board of Directors, in consultation with the Company's management, concluded that the Company’s previously issued condensed consolidated financial statements and related disclosures for the Restated Periods should no longer be relied upon due to these errors contained in such interim financial statements and should be restated.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restate the unaudited financial information and summarize the effect of the restatement on each impacted financial statement line item, including subtotals, as of the dates, and for the periods, indicated (in thousands):</w:t>
      </w:r>
    </w:p>
    <w:tbl>
      <w:tblPr>
        <w:tblW w:w="9128" w:type="dxa"/>
        <w:jc w:val="left"/>
        <w:tblInd w:w="0" w:type="dxa"/>
        <w:tblLayout w:type="fixed"/>
        <w:tblCellMar>
          <w:top w:w="28" w:type="dxa"/>
          <w:left w:w="28" w:type="dxa"/>
          <w:bottom w:w="28" w:type="dxa"/>
          <w:right w:w="28" w:type="dxa"/>
        </w:tblCellMar>
      </w:tblPr>
      <w:tblGrid>
        <w:gridCol w:w="1640"/>
        <w:gridCol w:w="1440"/>
        <w:gridCol w:w="1449"/>
        <w:gridCol w:w="109"/>
        <w:gridCol w:w="109"/>
        <w:gridCol w:w="109"/>
        <w:gridCol w:w="196"/>
        <w:gridCol w:w="961"/>
        <w:gridCol w:w="109"/>
        <w:gridCol w:w="109"/>
        <w:gridCol w:w="109"/>
        <w:gridCol w:w="109"/>
        <w:gridCol w:w="196"/>
        <w:gridCol w:w="736"/>
        <w:gridCol w:w="109"/>
        <w:gridCol w:w="109"/>
        <w:gridCol w:w="109"/>
        <w:gridCol w:w="109"/>
        <w:gridCol w:w="196"/>
        <w:gridCol w:w="961"/>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Restated</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Condensed Consolidated Balance Sheet as of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2,367,855 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2,992,792 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6,358,972 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6,907,592 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5,380,050 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5,380,050 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2,197,587 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2,197,587 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14,587,923 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15,136,543 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Current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1,906,461 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1,481,004 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2,814,700 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6,203,545 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6,752,165 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Notes payable and other obligations,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4,700,550 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4,700,550 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5,502,518 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5,502,518 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3,109,065 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3,109,065 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7,425,604 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7,425,604 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(7,652,809)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(7,652,809)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2,881,860 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2,881,860 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14,587,923 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15,136,543 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94"/>
        <w:gridCol w:w="1840"/>
        <w:gridCol w:w="1851"/>
        <w:gridCol w:w="109"/>
        <w:gridCol w:w="109"/>
        <w:gridCol w:w="109"/>
        <w:gridCol w:w="196"/>
        <w:gridCol w:w="871"/>
        <w:gridCol w:w="109"/>
        <w:gridCol w:w="109"/>
        <w:gridCol w:w="109"/>
        <w:gridCol w:w="109"/>
        <w:gridCol w:w="196"/>
        <w:gridCol w:w="736"/>
        <w:gridCol w:w="109"/>
        <w:gridCol w:w="109"/>
        <w:gridCol w:w="109"/>
        <w:gridCol w:w="109"/>
        <w:gridCol w:w="196"/>
        <w:gridCol w:w="871"/>
        <w:gridCol w:w="155"/>
      </w:tblGrid>
      <w:tr>
        <w:trPr/>
        <w:tc>
          <w:tcPr>
            <w:tcW w:w="2094"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Restated</w:t>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Condensed Consolidated Statement of Cash Flows for the 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214,835 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Changes in operating assets and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372,342 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188,376 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877,665 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(159,027)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(159,027)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from revolver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1,964,000 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revolver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(2,490,000)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on swing line of credit,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310,719 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(217,715)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(217,715)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currency exchange rates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530,221 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2,289,180 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2,269,401 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2,819,401 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before="0" w:after="0"/>
        <w:jc w:val="left"/>
        <w:rPr/>
      </w:pPr>
      <w:r>
        <w:rPr/>
      </w:r>
    </w:p>
    <w:tbl>
      <w:tblPr>
        <w:tblW w:w="8993" w:type="dxa"/>
        <w:jc w:val="left"/>
        <w:tblInd w:w="0" w:type="dxa"/>
        <w:tblLayout w:type="fixed"/>
        <w:tblCellMar>
          <w:top w:w="28" w:type="dxa"/>
          <w:left w:w="28" w:type="dxa"/>
          <w:bottom w:w="28" w:type="dxa"/>
          <w:right w:w="28" w:type="dxa"/>
        </w:tblCellMar>
      </w:tblPr>
      <w:tblGrid>
        <w:gridCol w:w="1591"/>
        <w:gridCol w:w="1397"/>
        <w:gridCol w:w="1406"/>
        <w:gridCol w:w="109"/>
        <w:gridCol w:w="109"/>
        <w:gridCol w:w="109"/>
        <w:gridCol w:w="196"/>
        <w:gridCol w:w="961"/>
        <w:gridCol w:w="109"/>
        <w:gridCol w:w="109"/>
        <w:gridCol w:w="109"/>
        <w:gridCol w:w="109"/>
        <w:gridCol w:w="196"/>
        <w:gridCol w:w="736"/>
        <w:gridCol w:w="109"/>
        <w:gridCol w:w="109"/>
        <w:gridCol w:w="109"/>
        <w:gridCol w:w="109"/>
        <w:gridCol w:w="196"/>
        <w:gridCol w:w="961"/>
        <w:gridCol w:w="154"/>
      </w:tblGrid>
      <w:tr>
        <w:trPr/>
        <w:tc>
          <w:tcPr>
            <w:tcW w:w="159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Restated</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Condensed Consolidated Balance Sheet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1,456,992 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1,729,272 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3,005,927 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3,005,927 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6,923,569 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7,185,999 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5,473,603 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5,473,603 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2,107,081 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2,107,081 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15,178,653 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15,441,083 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Current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1,679,702 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2,013,236 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2,742,952 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6,435,890 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6,698,320 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Notes payable and other obligations,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4,678,258 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4,678,258 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5,479,327 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5,479,327 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3,176,562 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7,665,306 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7,665,306 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(7,578,432)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(7,578,432)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3,263,436 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3,263,436 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15,178,653 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262,430 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15,441,083 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95"/>
        <w:gridCol w:w="1839"/>
        <w:gridCol w:w="1851"/>
        <w:gridCol w:w="109"/>
        <w:gridCol w:w="109"/>
        <w:gridCol w:w="109"/>
        <w:gridCol w:w="196"/>
        <w:gridCol w:w="871"/>
        <w:gridCol w:w="109"/>
        <w:gridCol w:w="109"/>
        <w:gridCol w:w="109"/>
        <w:gridCol w:w="109"/>
        <w:gridCol w:w="196"/>
        <w:gridCol w:w="736"/>
        <w:gridCol w:w="109"/>
        <w:gridCol w:w="109"/>
        <w:gridCol w:w="109"/>
        <w:gridCol w:w="109"/>
        <w:gridCol w:w="196"/>
        <w:gridCol w:w="871"/>
        <w:gridCol w:w="155"/>
      </w:tblGrid>
      <w:tr>
        <w:trPr/>
        <w:tc>
          <w:tcPr>
            <w:tcW w:w="209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Restated</w:t>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Condensed Consolidated Statement of Cash Flows for the six months ended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454,537 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Changes in operating assets and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(355,722)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611,073 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389,072 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1,098,960 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(201,215)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(201,215)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from revolver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4,351,000 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revolver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(4,817,000)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on swing line of credit,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255,750 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(241,811)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(241,811)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currency exchange rates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694,335 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2,289,180 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2,711,235 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2,983,515 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tbl>
      <w:tblPr>
        <w:tblW w:w="9413" w:type="dxa"/>
        <w:jc w:val="left"/>
        <w:tblInd w:w="0" w:type="dxa"/>
        <w:tblLayout w:type="fixed"/>
        <w:tblCellMar>
          <w:top w:w="28" w:type="dxa"/>
          <w:left w:w="28" w:type="dxa"/>
          <w:bottom w:w="28" w:type="dxa"/>
          <w:right w:w="28" w:type="dxa"/>
        </w:tblCellMar>
      </w:tblPr>
      <w:tblGrid>
        <w:gridCol w:w="1743"/>
        <w:gridCol w:w="1531"/>
        <w:gridCol w:w="1540"/>
        <w:gridCol w:w="109"/>
        <w:gridCol w:w="109"/>
        <w:gridCol w:w="109"/>
        <w:gridCol w:w="196"/>
        <w:gridCol w:w="961"/>
        <w:gridCol w:w="109"/>
        <w:gridCol w:w="109"/>
        <w:gridCol w:w="109"/>
        <w:gridCol w:w="109"/>
        <w:gridCol w:w="196"/>
        <w:gridCol w:w="736"/>
        <w:gridCol w:w="109"/>
        <w:gridCol w:w="109"/>
        <w:gridCol w:w="109"/>
        <w:gridCol w:w="109"/>
        <w:gridCol w:w="196"/>
        <w:gridCol w:w="961"/>
        <w:gridCol w:w="154"/>
      </w:tblGrid>
      <w:tr>
        <w:trPr/>
        <w:tc>
          <w:tcPr>
            <w:tcW w:w="1743"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Restated</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Condensed Consolidated Balance Sheet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1,702,040 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2,578,601 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2,983,704 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2,983,704 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6,860,258 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7,264,345 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5,553,546 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5,553,546 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2,164,999 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15,264,467 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15,668,554 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Current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1,895,280 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2,264,072 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3,059,628 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3,059,628 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6,738,219 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404,087 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7,142,306 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Notes payable and other obligations,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4,637,211 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4,637,211 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5,466,797 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5,466,797 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3,227,476 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3,227,476 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7,936,802 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7,936,802 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(8,104,827)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(8,104,827)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3,059,451 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3,059,451 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15,264,467 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404,087 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15,668,554 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95"/>
        <w:gridCol w:w="1839"/>
        <w:gridCol w:w="1851"/>
        <w:gridCol w:w="109"/>
        <w:gridCol w:w="109"/>
        <w:gridCol w:w="109"/>
        <w:gridCol w:w="196"/>
        <w:gridCol w:w="871"/>
        <w:gridCol w:w="109"/>
        <w:gridCol w:w="109"/>
        <w:gridCol w:w="109"/>
        <w:gridCol w:w="109"/>
        <w:gridCol w:w="196"/>
        <w:gridCol w:w="736"/>
        <w:gridCol w:w="109"/>
        <w:gridCol w:w="109"/>
        <w:gridCol w:w="109"/>
        <w:gridCol w:w="109"/>
        <w:gridCol w:w="196"/>
        <w:gridCol w:w="871"/>
        <w:gridCol w:w="155"/>
      </w:tblGrid>
      <w:tr>
        <w:trPr/>
        <w:tc>
          <w:tcPr>
            <w:tcW w:w="209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Restated</w:t>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Condensed Consolidated Statement of Cash Flows for the nine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726,033 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Changes in operating assets and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(732,813)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customer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832,667 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558,743 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1,384,630 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(429,914)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disposal of business, net of cash disposed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(112,757)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(345,646)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(345,646)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(546,910)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from revolver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revolver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(6,770,000)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on swing line of credit,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180,723 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139,728 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(501,459)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(501,459)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currency exchange rates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(30,431)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507,094 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2,289,180 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2,315,513 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480,761 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2,796,274 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no impact to the previously filed Consolidated Statements of Income and Consolidated Statements of Comprehensive Income, or any line item therein, for the Restated Periods. The as-filed Statements of Income have been provided below for reference.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4"/>
        <w:gridCol w:w="791"/>
        <w:gridCol w:w="796"/>
        <w:gridCol w:w="109"/>
        <w:gridCol w:w="109"/>
        <w:gridCol w:w="109"/>
        <w:gridCol w:w="226"/>
        <w:gridCol w:w="851"/>
        <w:gridCol w:w="126"/>
        <w:gridCol w:w="109"/>
        <w:gridCol w:w="109"/>
        <w:gridCol w:w="109"/>
        <w:gridCol w:w="226"/>
        <w:gridCol w:w="851"/>
        <w:gridCol w:w="126"/>
        <w:gridCol w:w="109"/>
        <w:gridCol w:w="109"/>
        <w:gridCol w:w="109"/>
        <w:gridCol w:w="226"/>
        <w:gridCol w:w="851"/>
        <w:gridCol w:w="126"/>
        <w:gridCol w:w="109"/>
        <w:gridCol w:w="109"/>
        <w:gridCol w:w="109"/>
        <w:gridCol w:w="196"/>
        <w:gridCol w:w="871"/>
        <w:gridCol w:w="109"/>
        <w:gridCol w:w="109"/>
        <w:gridCol w:w="109"/>
        <w:gridCol w:w="109"/>
        <w:gridCol w:w="205"/>
        <w:gridCol w:w="912"/>
        <w:gridCol w:w="167"/>
      </w:tblGrid>
      <w:tr>
        <w:trPr/>
        <w:tc>
          <w:tcPr>
            <w:tcW w:w="91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r>
      <w:tr>
        <w:trPr/>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Condensed Consolidated Statements of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Three Months Ended </w:t>
            </w:r>
          </w:p>
          <w:p>
            <w:pPr>
              <w:pStyle w:val="TableContents"/>
              <w:bidi w:val="0"/>
              <w:spacing w:lineRule="auto" w:line="240"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Three Months Ended </w:t>
            </w:r>
          </w:p>
          <w:p>
            <w:pPr>
              <w:pStyle w:val="TableContents"/>
              <w:bidi w:val="0"/>
              <w:spacing w:lineRule="auto" w:line="240"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Three Months Ended </w:t>
            </w:r>
          </w:p>
          <w:p>
            <w:pPr>
              <w:pStyle w:val="TableContents"/>
              <w:bidi w:val="0"/>
              <w:spacing w:lineRule="auto" w:line="240"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Six Months Ended</w:t>
            </w:r>
          </w:p>
          <w:p>
            <w:pPr>
              <w:pStyle w:val="TableContents"/>
              <w:bidi w:val="0"/>
              <w:spacing w:lineRule="auto" w:line="240" w:before="0" w:after="0"/>
              <w:jc w:val="center"/>
              <w:rPr>
                <w:color w:val="000000"/>
              </w:rPr>
            </w:pPr>
            <w:r>
              <w:rPr>
                <w:color w:val="000000"/>
              </w:rPr>
              <w:t> </w:t>
            </w:r>
            <w:r>
              <w:rPr>
                <w:rFonts w:ascii="Times New Roman;sans-serif" w:hAnsi="Times New Roman;sans-serif"/>
                <w:b w:val="false"/>
                <w:color w:val="000000"/>
                <w:sz w:val="14"/>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Nine Months Ended </w:t>
            </w:r>
          </w:p>
          <w:p>
            <w:pPr>
              <w:pStyle w:val="TableContents"/>
              <w:bidi w:val="0"/>
              <w:spacing w:lineRule="auto" w:line="240"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September 30, 2023</w:t>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901,333 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948,174 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970,892 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1,849,507 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2,820,399 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204,967 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205,265 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208,217 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618,449 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81,592 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253,958 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154,684 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159,356 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147,839 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461,879 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252,658 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375,195 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412,650 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444,977 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1,232,822 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88,285 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256,566 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80,351 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86,080 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74,883 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241,314 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294,844 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326,570 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370,094 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991,508 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98,598 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265,475 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214,835 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239,702 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271,496 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726,033 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9.72 </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73,887 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73,523 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74,483 </w:t>
            </w:r>
          </w:p>
        </w:tc>
        <w:tc>
          <w:tcPr>
            <w:tcW w:w="1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75,001 </w:t>
            </w:r>
          </w:p>
        </w:tc>
        <w:tc>
          <w:tcPr>
            <w:tcW w:w="1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74,604 </w:t>
            </w:r>
          </w:p>
        </w:tc>
        <w:tc>
          <w:tcPr>
            <w:tcW w:w="1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74,763 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74,733 </w:t>
            </w:r>
          </w:p>
        </w:tc>
        <w:tc>
          <w:tcPr>
            <w:tcW w:w="1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283"/>
        <w:jc w:val="center"/>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Management Report on Internal Control over Financial Reporting</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an adequate system of internal control over financial reporting (as defined in Rules 13a-15(f) and 15d-15(f) under the Exchange Act), pursuant to Rule 13a-15(c) of the Exchange Act. Our internal control over financial reporting is designed to provide reasonable assurance regarding the reliability of financial reporting and the preparation of financial statements for external purposes in accordance with GAAP.</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we assessed the effectiveness of our internal control over financial reporting as of December 31, 2023, using the criteria set forth by the Committee of Sponsoring Organizations of the Treadway Commission (COSO) in Internal Control—Integrated Framework (2013).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December 31, 2023, we identified the following material weaknesses in internal controls:</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A material weakness in internal control related to ineffective information technology general controls (ITGCs) in     the area of user access management over certain information technology systems used in the execution of controls that support the Company’s financial reporting processes. Our business process application and manual controls that are dependent on the affected ITGCs were also deemed ineffective because they could have been adversely impacted. We believe that these control deficiencies were the result of challenges in the current year implementation of technology aimed to automate the user access review process. Specifically, these deficiencies pertained to the completeness and accuracy of data used in the automated solution and in existing manual user access control processes that lacked sufficient documentation and formality, as well as insufficient training of information technology personnel responsible for the execution and documentation of ITGCs. The material weakness did not result in any identified misstatements to the financial statements, and there were no changes to previously released financial results. </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A material weakness resulting from ineffective controls over the application of U.S. GAAP guidance related to the balance sheet recognition of customer funds held for the benefit of others leading to the restatement of previously issued 2023 interim consolidated financial statements as further discussed within note 20 to the Consolidated Financial Statements.</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these material weaknesses, the Company’s management concluded that at December 31, 2023, the Company’s internal control over financial reporting was not effective.</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independent registered public accounting firm, Ernst &amp; Young LLP has issued an adverse audit report on the effectiveness of the Company’s internal control over financial reporting as of December 31, 2023, which appears in Item 9A of this Annual Report.</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identification of the material weaknesses, and prior to filing this Annual Report, we performed further analysis and completed additional procedures intended to ensure our consolidated financial statements for the year ended December 31, 2023 were prepared in accordance with GAAP. Based on these procedures and analysis, and notwithstanding the material weaknesses in our internal control over financial reporting, our management has concluded that our consolidated financial statements and related notes thereto included in this Annual Report have been prepared in accordance with GAAP. Our Chief Executive Officer and Chief Financial Officer have certified that, based on each such officer’s knowledge, the financial statements, as well as the other financial information included in this Annual Report, fairly present in all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respects the financial condition, results of operations and cash flows of the Company as of, and for, the periods presented in this Annual Report. In addition, Ernst &amp; Young LLP has issued an unqualified opinion on our financial statements, which is included in Item 8 of this Annual Report, and we have developed a remediation plan for the material weaknesses, which are described below. </w:t>
      </w:r>
    </w:p>
    <w:p>
      <w:pPr>
        <w:pStyle w:val="TextBody"/>
        <w:bidi w:val="0"/>
        <w:spacing w:lineRule="auto" w:line="268" w:before="180" w:after="283"/>
        <w:jc w:val="left"/>
        <w:rPr>
          <w:rFonts w:ascii="Times New Roman;sans-serif" w:hAnsi="Times New Roman;sans-serif"/>
          <w:b/>
          <w:color w:val="000000"/>
          <w:sz w:val="20"/>
        </w:rPr>
      </w:pPr>
      <w:r>
        <w:rPr>
          <w:rFonts w:ascii="Times New Roman;sans-serif" w:hAnsi="Times New Roman;sans-serif"/>
          <w:b/>
          <w:color w:val="000000"/>
          <w:sz w:val="20"/>
        </w:rPr>
        <w:t>Remediation</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Our management has been implementing and continues to implement measures designed to ensure that control deficiencies contributing to the material weakness are remediated, such that these controls are designed, implemented, and operating effectively. The remediation actions include: (i) enhancing the information technology compliance oversight function; (ii) developing a training program addressing ITGCs and policies, including educating control owners concerning the principles and requirements of internal controls, with a focus on those related to user access over information technology systems impacting financial reporting; (iii) developing and maintaining documentation underlying ITGCs to enhance the information evidencing the performance of ITGCs; (iv) developing enhanced integration functionality and controls related to the ongoing implementation of user access information technology system; (v) enhancing the information technology management review and testing plan to monitor ITGCs with a specific focus on systems supporting our financial reporting processes; and (vi) enhancing quarterly reporting on the remediation measures to the Audit Committee of the Board.</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these actions will remediate the material weakness. The material weakness will not be considered remediated, however, until the applicable controls operate for a sufficient period of time and our management has concluded, through testing, that these controls are operating effectively. We expect that the remediation of this material weakness will be completed prior to the end of fiscal 2024.</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As further discussed in note 20 to the Consolidated Financial Statements, management has restated its 2023 interim consolidated financial statements. In addition, management is developing enhanced monitoring and oversight controls in the application of U.S. GAAP guidance pertaining to customer funds held for the benefit of others. We believe that these actions will remediate the material weakness as of March 31, 2024.</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management's evaluation, our management team excluded from its assessment of the effectiveness of our internal control over financial reporting as of December 31, 2023, the internal controls related to four subsidiaries that we acquired during the year ended December 31, 2023, and for which financial results are included in our consolidated financial statements. </w:t>
      </w:r>
    </w:p>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the Company acquired Global Reach, a U.K.-based cross-border payments provider; Mina Digital Limited Solutions, a cloud-based electric vehicle charging software platform; Business Gateway AG, a European-based service, maintenance and repair technology provider; and PayByPhone Technologies, Inc., the world's second largest mobile parking operator. Collectively, we refer to these transactions as the 2023 Acquisitions. These 2023 Acquisitions constituted 3.9% of total assets at December 31, 2023, and 0.9% of revenues, net for the year then ended. This exclusion was in accordance with Securities and Exchange Commission guidance that an assessment of a recently acquired business may be omitted in management's report on internal control over financial reporting the year of acquisition.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Except for the material weaknesses identified above, as of December 31, 2023, there have been no other changes in our internal control over financial reporting (as defined in Rules 13a-15(f) or 15d-15(f) of the Exchange Act) during our fourth quarter ended December 31, 2023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of FLEETCOR Technologies, Inc. and Subsidiaries </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Opinion on Internal Control over Financial Reporting </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FLEETCOR Technologies, Inc.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because of the effect of the material weaknesses described below on the achievement of the objectives of the control criteria, FLEETCOR Technologies, Inc. and subsidiaries (the Company) has not maintained effective internal control over financial reporting as of December 31, 2023, based on the COSO criteria. </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A material weakness in controls related to information technology general controls (ITGCs) in the area of user     access over certain information technology (IT) systems used in the execution of controls that support the Company’s financial reporting processes. As a result, business process application and manual controls that were dependent on the affected ITGCs could have been adversely impacted.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A material weakness in controls over the application of U.S. GAAP guidance related to the recognition of customer funds held for the benefit of others.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indicated in the accompanying Management Report on Internal Control over Financial Reporting, management’s assessment of and conclusion on the effectiveness of internal control over financial reporting did not include the internal controls of the 2023 Acquisitions (as defined by management), which are included in the 2023 consolidated financial statements of the Company and constituted 3.9% of total assets as of December 31, 2023 and 0.9% of revenues, net for the year then ended. Our audit of internal control over financial reporting of the Company also did not include an evaluation of the internal control over financial reporting of the 2023 Acquisitions.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31, 2023 and 2022, the related consolidated statements of income, comprehensive income, stockholders' equity and cash flows for each of the three years in the period ended December 31, 2023, and the related notes. These material weaknesses were considered in determining the nature, timing and extent of audit tests applied in our audit of the 2023 consolidated financial statements, and this report does not affect our report dated February 29, 2024 which expressed an unqualified opinion thereon.</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Definition and Limitations of Internal Control Over Financial Reporting </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Atlanta, Georgia </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Rule 10b5-1 Trading Plans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no director or executive officer of the Company adopted, modified or terminated any contract, instruction or written plan for the purchase or sale of Company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283"/>
        <w:jc w:val="center"/>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56" w:before="180" w:after="283"/>
        <w:jc w:val="left"/>
        <w:rPr/>
      </w:pPr>
      <w:r>
        <w:rPr>
          <w:rFonts w:ascii="Times New Roman;sans-serif" w:hAnsi="Times New Roman;sans-serif"/>
          <w:b w:val="false"/>
          <w:color w:val="000000"/>
          <w:sz w:val="20"/>
        </w:rPr>
        <w:t>A list of our executive officers and biographical information appears in Part I, Item X of this Form 10-K. Information about our directors may be found under the caption “Director Nominees” and “Continuing Directors” in our Proxy Statement for the Annual Meeting of Shareholders to be held</w:t>
      </w:r>
      <w:r>
        <w:rPr>
          <w:color w:val="000000"/>
          <w:shd w:fill="FFFFFF" w:val="clear"/>
        </w:rPr>
        <w:t xml:space="preserve"> </w:t>
      </w:r>
      <w:r>
        <w:rPr>
          <w:rFonts w:ascii="Times New Roman;sans-serif" w:hAnsi="Times New Roman;sans-serif"/>
          <w:b w:val="false"/>
          <w:color w:val="000000"/>
          <w:sz w:val="20"/>
          <w:shd w:fill="FFFFFF" w:val="clear"/>
        </w:rPr>
        <w:t>June 6, 2024 (th</w:t>
      </w:r>
      <w:r>
        <w:rPr>
          <w:rFonts w:ascii="Times New Roman;sans-serif" w:hAnsi="Times New Roman;sans-serif"/>
          <w:b w:val="false"/>
          <w:color w:val="000000"/>
          <w:sz w:val="20"/>
        </w:rPr>
        <w:t>e “Proxy Statement”). Information about our Audit Committee may be found under the caption “Board Meetings and Committees” in the Proxy Statement. The foregoing information is incorporated herein by reference.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the Proxy Statement set forth under the caption “Delinquent Section 16(a) Reports” is incorporated herein by reference.</w:t>
      </w:r>
    </w:p>
    <w:p>
      <w:pPr>
        <w:pStyle w:val="TextBody"/>
        <w:bidi w:val="0"/>
        <w:spacing w:lineRule="auto" w:line="256" w:before="180" w:after="283"/>
        <w:jc w:val="left"/>
        <w:rPr/>
      </w:pPr>
      <w:r>
        <w:rPr>
          <w:rFonts w:ascii="Times New Roman;sans-serif" w:hAnsi="Times New Roman;sans-serif"/>
          <w:b w:val="false"/>
          <w:color w:val="000000"/>
          <w:sz w:val="20"/>
        </w:rPr>
        <w:t>We have ado</w:t>
      </w:r>
      <w:r>
        <w:rPr>
          <w:rFonts w:ascii="Times New Roman;sans-serif" w:hAnsi="Times New Roman;sans-serif"/>
          <w:b w:val="false"/>
          <w:color w:val="000000"/>
          <w:sz w:val="20"/>
          <w:shd w:fill="FFFFFF" w:val="clear"/>
        </w:rPr>
        <w:t>pted the FLEETCOR Code of Business Conduct and Ethics (the “code of ethics”), which applies to our Chief Executive Officer, Chief Financial Officer, Chief Accounting Officer and C</w:t>
      </w:r>
      <w:r>
        <w:rPr>
          <w:rFonts w:ascii="Times New Roman;sans-serif" w:hAnsi="Times New Roman;sans-serif"/>
          <w:b w:val="false"/>
          <w:color w:val="000000"/>
          <w:sz w:val="20"/>
        </w:rPr>
        <w:t>orporate Controller, and other finance organization employees. The code of ethics is publicly available on our website at www.fleetcor.com under Investor Relations. If we make any substantive amendments to the code of ethics or grant any waiver, including any implicit waiver, from a provision of the code to our Chief Executive Officer, Chief Financial Officer, or Chief Accounting Officer, we will disclose the nature of the amendment or waiver on that website or in a report on Form 8-K.</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283"/>
        <w:jc w:val="center"/>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the Proxy Statement set forth under the captions “Director Compensation,” “2023 Named Executive Officer Compensation,” “Compensation Committee Report,” and “Compensation Committee Interlocks and Insider Participation” is incorporated herein by reference.</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w:t>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AND RELATED STOCKHOLDER MATTERS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the Proxy Statement set forth under the captions “Information Regarding Beneficial Ownership of Principal Shareholders, Directors, and Management” and “Equity Compensation Plan Information” is incorporated herein by reference.</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w:t>
      </w:r>
    </w:p>
    <w:p>
      <w:pPr>
        <w:pStyle w:val="TextBody"/>
        <w:bidi w:val="0"/>
        <w:spacing w:lineRule="auto" w:line="256" w:before="0" w:after="0"/>
        <w:jc w:val="center"/>
        <w:rPr>
          <w:rFonts w:ascii="Times New Roman;sans-serif" w:hAnsi="Times New Roman;sans-serif"/>
          <w:b/>
          <w:color w:val="000000"/>
          <w:sz w:val="20"/>
        </w:rPr>
      </w:pPr>
      <w:r>
        <w:rPr>
          <w:rFonts w:ascii="Times New Roman;sans-serif" w:hAnsi="Times New Roman;sans-serif"/>
          <w:b/>
          <w:color w:val="000000"/>
          <w:sz w:val="20"/>
        </w:rPr>
        <w:t>INDEPENDENCE</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in the Proxy Statement under the captions “Director Independence” and “Certain Relationships and Related-Party Transactions” is incorporated herein by reference.</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180" w:after="283"/>
        <w:jc w:val="center"/>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concerning principal accountant fees and services appears in the Proxy Statement under the headings “Fees Billed by Ernst &amp; Young LLP” and “Policy on Audit Committee Pre-Approval of Audit and Permissible Non-Audit Services of Independent Auditor”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(a) Financial Statements and Schedules</w:t>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are set forth under Item 8 of this Form 10-K, as indexed below. Financial statement schedules have been omitted since they either are not required, not applicable, or the information is otherwise included.</w:t>
      </w:r>
    </w:p>
    <w:p>
      <w:pPr>
        <w:pStyle w:val="TextBody"/>
        <w:bidi w:val="0"/>
        <w:spacing w:lineRule="auto" w:line="256" w:before="180" w:after="283"/>
        <w:jc w:val="left"/>
        <w:rPr/>
      </w:pPr>
      <w:r>
        <w:rPr>
          <w:rFonts w:ascii="Times New Roman;sans-serif" w:hAnsi="Times New Roman;sans-serif"/>
          <w:b/>
          <w:color w:val="000000"/>
          <w:sz w:val="20"/>
        </w:rPr>
        <w:t>Index to Financial Statements</w:t>
      </w:r>
      <w:r>
        <w:rPr>
          <w:color w:val="000000"/>
        </w:rPr>
        <w:t> </w:t>
      </w:r>
    </w:p>
    <w:tbl>
      <w:tblPr>
        <w:tblW w:w="9466" w:type="dxa"/>
        <w:jc w:val="left"/>
        <w:tblInd w:w="0" w:type="dxa"/>
        <w:tblLayout w:type="fixed"/>
        <w:tblCellMar>
          <w:top w:w="28" w:type="dxa"/>
          <w:left w:w="28" w:type="dxa"/>
          <w:bottom w:w="28" w:type="dxa"/>
          <w:right w:w="28" w:type="dxa"/>
        </w:tblCellMar>
      </w:tblPr>
      <w:tblGrid>
        <w:gridCol w:w="3220"/>
        <w:gridCol w:w="2830"/>
        <w:gridCol w:w="2845"/>
        <w:gridCol w:w="167"/>
        <w:gridCol w:w="167"/>
        <w:gridCol w:w="237"/>
      </w:tblGrid>
      <w:tr>
        <w:trPr/>
        <w:tc>
          <w:tcPr>
            <w:tcW w:w="3220"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52">
              <w:r>
                <w:rPr>
                  <w:rStyle w:val="InternetLink"/>
                  <w:rFonts w:ascii="Times New Roman;sans-serif" w:hAnsi="Times New Roman;sans-serif"/>
                  <w:b w:val="false"/>
                  <w:color w:val="3051F2"/>
                  <w:sz w:val="20"/>
                  <w:u w:val="single"/>
                </w:rPr>
                <w:t>Report of Independent Registered Public Accounting Firm</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52">
              <w:r>
                <w:rPr>
                  <w:rStyle w:val="InternetLink"/>
                  <w:rFonts w:ascii="Times New Roman;sans-serif" w:hAnsi="Times New Roman;sans-serif"/>
                  <w:b w:val="false"/>
                  <w:color w:val="000000"/>
                  <w:sz w:val="20"/>
                </w:rPr>
                <w:t>59</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55">
              <w:r>
                <w:rPr>
                  <w:rStyle w:val="InternetLink"/>
                  <w:rFonts w:ascii="Times New Roman;sans-serif" w:hAnsi="Times New Roman;sans-serif"/>
                  <w:b w:val="false"/>
                  <w:color w:val="000080"/>
                  <w:sz w:val="20"/>
                  <w:u w:val="single"/>
                </w:rPr>
                <w:t xml:space="preserve">Consolidated Balance Sheets at </w:t>
              </w:r>
            </w:hyperlink>
            <w:r>
              <w:rPr>
                <w:rFonts w:ascii="Times New Roman;sans-serif" w:hAnsi="Times New Roman;sans-serif"/>
                <w:b w:val="false"/>
                <w:color w:val="3051F2"/>
                <w:sz w:val="20"/>
                <w:u w:val="single"/>
              </w:rPr>
              <w:t>December 31, 2023</w:t>
            </w:r>
            <w:hyperlink w:anchor="i8f5174e18a84453e86a7ae640d3d9ca6_55">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3051F2"/>
                <w:sz w:val="20"/>
                <w:u w:val="single"/>
              </w:rPr>
              <w:t>2022</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55">
              <w:r>
                <w:rPr>
                  <w:rStyle w:val="InternetLink"/>
                  <w:rFonts w:ascii="Times New Roman;sans-serif" w:hAnsi="Times New Roman;sans-serif"/>
                  <w:b w:val="false"/>
                  <w:color w:val="000000"/>
                  <w:sz w:val="20"/>
                </w:rPr>
                <w:t>61</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58">
              <w:r>
                <w:rPr>
                  <w:rStyle w:val="InternetLink"/>
                  <w:rFonts w:ascii="Times New Roman;sans-serif" w:hAnsi="Times New Roman;sans-serif"/>
                  <w:b w:val="false"/>
                  <w:color w:val="000080"/>
                  <w:sz w:val="20"/>
                  <w:u w:val="single"/>
                </w:rPr>
                <w:t>Consolidated Statements of Income for the Years En</w:t>
              </w:r>
            </w:hyperlink>
            <w:hyperlink w:anchor="i8f5174e18a84453e86a7ae640d3d9ca6_58">
              <w:r>
                <w:rPr>
                  <w:rStyle w:val="InternetLink"/>
                  <w:rFonts w:ascii="Times New Roman;sans-serif" w:hAnsi="Times New Roman;sans-serif"/>
                  <w:b w:val="false"/>
                  <w:color w:val="000080"/>
                  <w:sz w:val="20"/>
                  <w:u w:val="single"/>
                </w:rPr>
                <w:t xml:space="preserve">ded </w:t>
              </w:r>
            </w:hyperlink>
            <w:r>
              <w:rPr>
                <w:rFonts w:ascii="Times New Roman;sans-serif" w:hAnsi="Times New Roman;sans-serif"/>
                <w:b w:val="false"/>
                <w:color w:val="3051F2"/>
                <w:sz w:val="20"/>
                <w:u w:val="single"/>
              </w:rPr>
              <w:t>December 31, 2023</w:t>
            </w:r>
            <w:hyperlink w:anchor="i8f5174e18a84453e86a7ae640d3d9ca6_58">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3051F2"/>
                <w:sz w:val="20"/>
                <w:u w:val="single"/>
              </w:rPr>
              <w:t>2022</w:t>
            </w:r>
            <w:hyperlink w:anchor="i8f5174e18a84453e86a7ae640d3d9ca6_58">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3051F2"/>
                <w:sz w:val="20"/>
                <w:u w:val="single"/>
              </w:rPr>
              <w:t>2021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58">
              <w:r>
                <w:rPr>
                  <w:rStyle w:val="InternetLink"/>
                  <w:rFonts w:ascii="Times New Roman;sans-serif" w:hAnsi="Times New Roman;sans-serif"/>
                  <w:b w:val="false"/>
                  <w:color w:val="000000"/>
                  <w:sz w:val="20"/>
                </w:rPr>
                <w:t>62</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61">
              <w:r>
                <w:rPr>
                  <w:rStyle w:val="InternetLink"/>
                  <w:rFonts w:ascii="Times New Roman;sans-serif" w:hAnsi="Times New Roman;sans-serif"/>
                  <w:b w:val="false"/>
                  <w:color w:val="000080"/>
                  <w:sz w:val="20"/>
                  <w:u w:val="single"/>
                </w:rPr>
                <w:t>Consolidated Statements of Comprehensive Income for the Y</w:t>
              </w:r>
            </w:hyperlink>
            <w:hyperlink w:anchor="i8f5174e18a84453e86a7ae640d3d9ca6_61">
              <w:r>
                <w:rPr>
                  <w:rStyle w:val="InternetLink"/>
                  <w:rFonts w:ascii="Times New Roman;sans-serif" w:hAnsi="Times New Roman;sans-serif"/>
                  <w:b w:val="false"/>
                  <w:color w:val="000080"/>
                  <w:sz w:val="20"/>
                  <w:u w:val="single"/>
                </w:rPr>
                <w:t xml:space="preserve">ears Ended </w:t>
              </w:r>
            </w:hyperlink>
            <w:r>
              <w:rPr>
                <w:rFonts w:ascii="Times New Roman;sans-serif" w:hAnsi="Times New Roman;sans-serif"/>
                <w:b w:val="false"/>
                <w:color w:val="3051F2"/>
                <w:sz w:val="20"/>
                <w:u w:val="single"/>
              </w:rPr>
              <w:t>December 31, 2023</w:t>
            </w:r>
            <w:hyperlink w:anchor="i8f5174e18a84453e86a7ae640d3d9ca6_61">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3051F2"/>
                <w:sz w:val="20"/>
                <w:u w:val="single"/>
              </w:rPr>
              <w:t>2022</w:t>
            </w:r>
            <w:hyperlink w:anchor="i8f5174e18a84453e86a7ae640d3d9ca6_61">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3051F2"/>
                <w:sz w:val="20"/>
                <w:u w:val="single"/>
              </w:rPr>
              <w:t>2021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61">
              <w:r>
                <w:rPr>
                  <w:rStyle w:val="InternetLink"/>
                  <w:rFonts w:ascii="Times New Roman;sans-serif" w:hAnsi="Times New Roman;sans-serif"/>
                  <w:b w:val="false"/>
                  <w:color w:val="000000"/>
                  <w:sz w:val="20"/>
                </w:rPr>
                <w:t>63</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64">
              <w:r>
                <w:rPr>
                  <w:rStyle w:val="InternetLink"/>
                  <w:rFonts w:ascii="Times New Roman;sans-serif" w:hAnsi="Times New Roman;sans-serif"/>
                  <w:b w:val="false"/>
                  <w:color w:val="000080"/>
                  <w:sz w:val="20"/>
                  <w:u w:val="single"/>
                </w:rPr>
                <w:t>Consolidated Statements of Stockholders’ Equity for the Yea</w:t>
              </w:r>
            </w:hyperlink>
            <w:hyperlink w:anchor="i8f5174e18a84453e86a7ae640d3d9ca6_64">
              <w:r>
                <w:rPr>
                  <w:rStyle w:val="InternetLink"/>
                  <w:rFonts w:ascii="Times New Roman;sans-serif" w:hAnsi="Times New Roman;sans-serif"/>
                  <w:b w:val="false"/>
                  <w:color w:val="000080"/>
                  <w:sz w:val="20"/>
                  <w:u w:val="single"/>
                </w:rPr>
                <w:t xml:space="preserve">rs Ended </w:t>
              </w:r>
            </w:hyperlink>
            <w:r>
              <w:rPr>
                <w:rFonts w:ascii="Times New Roman;sans-serif" w:hAnsi="Times New Roman;sans-serif"/>
                <w:b w:val="false"/>
                <w:color w:val="3051F2"/>
                <w:sz w:val="20"/>
                <w:u w:val="single"/>
              </w:rPr>
              <w:t>December 31, 2023</w:t>
            </w:r>
            <w:hyperlink w:anchor="i8f5174e18a84453e86a7ae640d3d9ca6_64">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3051F2"/>
                <w:sz w:val="20"/>
                <w:u w:val="single"/>
              </w:rPr>
              <w:t xml:space="preserve">2022 </w:t>
            </w:r>
            <w:hyperlink w:anchor="i8f5174e18a84453e86a7ae640d3d9ca6_64">
              <w:r>
                <w:rPr>
                  <w:rStyle w:val="InternetLink"/>
                  <w:rFonts w:ascii="Times New Roman;sans-serif" w:hAnsi="Times New Roman;sans-serif"/>
                  <w:b w:val="false"/>
                  <w:color w:val="000080"/>
                  <w:sz w:val="20"/>
                  <w:u w:val="single"/>
                </w:rPr>
                <w:t xml:space="preserve">and </w:t>
              </w:r>
            </w:hyperlink>
            <w:r>
              <w:rPr>
                <w:rFonts w:ascii="Times New Roman;sans-serif" w:hAnsi="Times New Roman;sans-serif"/>
                <w:b w:val="false"/>
                <w:color w:val="3051F2"/>
                <w:sz w:val="20"/>
                <w:u w:val="single"/>
              </w:rPr>
              <w:t>2021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64">
              <w:r>
                <w:rPr>
                  <w:rStyle w:val="InternetLink"/>
                  <w:rFonts w:ascii="Times New Roman;sans-serif" w:hAnsi="Times New Roman;sans-serif"/>
                  <w:b w:val="false"/>
                  <w:color w:val="000000"/>
                  <w:sz w:val="20"/>
                </w:rPr>
                <w:t>64</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67">
              <w:r>
                <w:rPr>
                  <w:rStyle w:val="InternetLink"/>
                  <w:rFonts w:ascii="Times New Roman;sans-serif" w:hAnsi="Times New Roman;sans-serif"/>
                  <w:b w:val="false"/>
                  <w:color w:val="000080"/>
                  <w:sz w:val="20"/>
                  <w:u w:val="single"/>
                </w:rPr>
                <w:t>Consolidated Statements of Cash Flows for the Years En</w:t>
              </w:r>
            </w:hyperlink>
            <w:hyperlink w:anchor="i8f5174e18a84453e86a7ae640d3d9ca6_67">
              <w:r>
                <w:rPr>
                  <w:rStyle w:val="InternetLink"/>
                  <w:rFonts w:ascii="Times New Roman;sans-serif" w:hAnsi="Times New Roman;sans-serif"/>
                  <w:b w:val="false"/>
                  <w:color w:val="000080"/>
                  <w:sz w:val="20"/>
                  <w:u w:val="single"/>
                </w:rPr>
                <w:t xml:space="preserve">ded </w:t>
              </w:r>
            </w:hyperlink>
            <w:r>
              <w:rPr>
                <w:rFonts w:ascii="Times New Roman;sans-serif" w:hAnsi="Times New Roman;sans-serif"/>
                <w:b w:val="false"/>
                <w:color w:val="3051F2"/>
                <w:sz w:val="20"/>
                <w:u w:val="single"/>
              </w:rPr>
              <w:t>December 31, 2023</w:t>
            </w:r>
            <w:hyperlink w:anchor="i8f5174e18a84453e86a7ae640d3d9ca6_67">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3051F2"/>
                <w:sz w:val="20"/>
                <w:u w:val="single"/>
              </w:rPr>
              <w:t>2022</w:t>
            </w:r>
            <w:hyperlink w:anchor="i8f5174e18a84453e86a7ae640d3d9ca6_67">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3051F2"/>
                <w:sz w:val="20"/>
                <w:u w:val="single"/>
              </w:rPr>
              <w:t>2021</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67">
              <w:r>
                <w:rPr>
                  <w:rStyle w:val="InternetLink"/>
                  <w:rFonts w:ascii="Times New Roman;sans-serif" w:hAnsi="Times New Roman;sans-serif"/>
                  <w:b w:val="false"/>
                  <w:color w:val="000000"/>
                  <w:sz w:val="20"/>
                </w:rPr>
                <w:t>65</w:t>
              </w:r>
            </w:hyperlink>
          </w:p>
        </w:tc>
      </w:tr>
      <w:tr>
        <w:trPr/>
        <w:tc>
          <w:tcPr>
            <w:tcW w:w="8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f5174e18a84453e86a7ae640d3d9ca6_70">
              <w:r>
                <w:rPr>
                  <w:rStyle w:val="InternetLink"/>
                  <w:rFonts w:ascii="Times New Roman;sans-serif" w:hAnsi="Times New Roman;sans-serif"/>
                  <w:b w:val="false"/>
                  <w:color w:val="3051F2"/>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f5174e18a84453e86a7ae640d3d9ca6_70">
              <w:r>
                <w:rPr>
                  <w:rStyle w:val="InternetLink"/>
                  <w:rFonts w:ascii="Times New Roman;sans-serif" w:hAnsi="Times New Roman;sans-serif"/>
                  <w:b w:val="false"/>
                  <w:color w:val="000000"/>
                  <w:sz w:val="20"/>
                </w:rPr>
                <w:t>66</w:t>
              </w:r>
            </w:hyperlink>
          </w:p>
        </w:tc>
      </w:tr>
    </w:tbl>
    <w:p>
      <w:pPr>
        <w:pStyle w:val="TextBody"/>
        <w:bidi w:val="0"/>
        <w:spacing w:lineRule="auto" w:line="256" w:before="180" w:after="283"/>
        <w:jc w:val="left"/>
        <w:rPr>
          <w:rFonts w:ascii="Times New Roman;sans-serif" w:hAnsi="Times New Roman;sans-serif"/>
          <w:b/>
          <w:color w:val="000000"/>
          <w:sz w:val="20"/>
        </w:rPr>
      </w:pPr>
      <w:r>
        <w:rPr>
          <w:rFonts w:ascii="Times New Roman;sans-serif" w:hAnsi="Times New Roman;sans-serif"/>
          <w:b/>
          <w:color w:val="000000"/>
          <w:sz w:val="20"/>
        </w:rPr>
        <w:t>(b) Exhibit Listing</w:t>
      </w:r>
    </w:p>
    <w:tbl>
      <w:tblPr>
        <w:tblW w:w="10205" w:type="dxa"/>
        <w:jc w:val="left"/>
        <w:tblInd w:w="0" w:type="dxa"/>
        <w:tblLayout w:type="fixed"/>
        <w:tblCellMar>
          <w:top w:w="28" w:type="dxa"/>
          <w:left w:w="28" w:type="dxa"/>
          <w:bottom w:w="28" w:type="dxa"/>
          <w:right w:w="28" w:type="dxa"/>
        </w:tblCellMar>
      </w:tblPr>
      <w:tblGrid>
        <w:gridCol w:w="305"/>
        <w:gridCol w:w="268"/>
        <w:gridCol w:w="269"/>
        <w:gridCol w:w="2847"/>
        <w:gridCol w:w="2692"/>
        <w:gridCol w:w="3824"/>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3.1</w:t>
              </w:r>
            </w:hyperlink>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Amended and Restated Certificate of Incorporation of FLEETCOR Technologies, Inc. (incorporated by reference to Exhibit 3.1 to the registrant’s Current Report on Form 8-K, File No. 001-35004, filed with the SEC on June 14, 2022) </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3.2</w:t>
              </w:r>
            </w:hyperlink>
          </w:p>
        </w:tc>
        <w:tc>
          <w:tcPr>
            <w:tcW w:w="93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of FLEETCOR Technologies, Inc. (incorporated by reference to Exhibit 3.2 to the registrant's Form 8-K, File No. 001-35004, filed with the SEC on June 14, 2022)</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3051F2"/>
                  <w:sz w:val="20"/>
                  <w:u w:val="single"/>
                </w:rPr>
                <w:t>4.1</w:t>
              </w:r>
            </w:hyperlink>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Stock Certificate for Common Stock (incorporated by reference to Exhibit 4.1 to Amendment No. 3 to the registrant’s Registration Statement on Form S-1, File No. 333-166092, filed with the SEC on June 29, 2010)</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3051F2"/>
                  <w:sz w:val="20"/>
                  <w:u w:val="single"/>
                </w:rPr>
                <w:t>4.2</w:t>
              </w:r>
            </w:hyperlink>
          </w:p>
        </w:tc>
        <w:tc>
          <w:tcPr>
            <w:tcW w:w="93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Description of FLEETCOR Technologies, Inc. Common Stock Registered under Section 12 of the Securities Exchange Act (incorporated by reference to Exhibit 4.2 to the registrant’s Form 10-K, File No. 001-35004, filed with the SEC on March 2, 2020)</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3051F2"/>
                  <w:sz w:val="20"/>
                  <w:u w:val="single"/>
                </w:rPr>
                <w:t>10.1*</w:t>
              </w:r>
            </w:hyperlink>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Indemnity Agreement entered into between FLEETCOR and its directors and executive officers (incorporated by reference to Exhibit 10.1 to Amendment No. 3 to the registrant’s Registration Statement on Form S-1, File No. 333-166092, filed with the SEC on June 29, 2010)</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10.2*</w:t>
              </w:r>
            </w:hyperlink>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Incentive Stock Option Award Agreement pursuant to the FLEETCOR Technologies, Inc. Amended and Restated Stock Incentive Plan (incorporated by reference to Exhibit 10.7 to Amendment No. 1 to the registrant’s Registration Statement on Form S-1, File No. 333-166092, filed with the SEC on May 20, 2010)</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10.3*</w:t>
              </w:r>
            </w:hyperlink>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Non-Qualified Stock Option Award Agreement pursuant to the FLEETCOR Technologies, Inc. Amended and Restated Stock Incentive Plan (incorporated by reference to Exhibit 10.8 to Amendment No. 1 to the registrant’s Registration Statement on Form S-1, File No. 333-166092, filed with the SEC on May 20, 2010)</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10.4*</w:t>
              </w:r>
            </w:hyperlink>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Performance Share Restricted Stock Agreement pursuant to the FLEETCOR Technologies, Inc. Amended and Restated Stock Incentive Plan (incorporated by reference to Exhibit 10.9 to Amendment No. 1 to the registrant’s Registration Statement on Form S-1, File No. 333-166092, filed with the SEC on May 20, 2010)</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10.5*</w:t>
              </w:r>
            </w:hyperlink>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FLEETCOR Technologies, Inc. Annual Executive Bonus Program (incorporated by reference to Exhibit 10.12 to Amendment No. 2 to the registrant’s Registration Statement on Form S-1, File No. 333-166092, filed with the SEC on June 8, 2010)</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10.6*</w:t>
              </w:r>
            </w:hyperlink>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Noncompetition, Nondisclosure and Developments Agreement, dated September 25, 2000, between Fleetman, Inc. and Ronald F. Clarke (incorporated by reference to Exhibit 10.12 to Amendment No. 2 to the registrant’s Registration Statement on Form S-1, File No. 333-166092, filed with the SEC on June 8, 2010)</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7"/>
        <w:gridCol w:w="191"/>
        <w:gridCol w:w="194"/>
        <w:gridCol w:w="3042"/>
        <w:gridCol w:w="2711"/>
        <w:gridCol w:w="3850"/>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42"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3850" w:type="dxa"/>
            <w:tcBorders/>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10.7</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Sixth Amended and Restated Registration Rights Agreement, dated April 1, 2009, between FLEETCOR Technologies, Inc. and each of the stockholders party thereto (incorporated by reference to Exhibit 10.17 to Amendment No. 2 to the registrant’s Registration Statement on Form S-1, File No. 333-166092, filed with the SEC on June 8, 2010)</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10.8</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Sixth Amended and Restated Registration Rights Agreement (incorporated by reference to Exhibit No. 10.17 to the registrant’s form 10-K, File No. 001-35004. with the SEC on March 25, 2011)</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10.9</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Indemnity Agreement to be entered into between FLEETCOR and representatives of its major stockholders (incorporated by reference to Exhibit 10.37 to Amendment No. 3 to the registrant’s Registration Statement on Form S-1, File No. 333-166092, filed with the SEC on June 29, 2010)</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10.10</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Director Restricted Stock Grant Agreement pursuant to the FLEETCOR Technologies, Inc. 2010 Equity Compensation Plan (incorporated by reference to Exhibit 10.38 to Amendment No. 6 to the registrant’s Registration Statement on Form S-1, File No. 333-166092, filed with the SEC on November 30, 2010)</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10.11*</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Employee Performance Share Restricted Stock Agreement pursuant to the FLEETCOR Technologies, Inc. 2010 Equity Compensation Plan (incorporated by reference to Exhibit 10.39 to Amendment No. 6 to the registrant’s Registration Statement on Form S-1, File No. 333-166092, filed with the SEC on November 30, 2010)</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10.12*</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Employee Incentive Stock Option Award Agreement pursuant to the FLEETCOR Technologies, Inc. 2010 Equity Compensation Plan (incorporated by reference to Exhibit 10.40 to Amendment No. 6 to the registrant’s Registration Statement on Form S-1, File No. 333-166092, filed with the SEC on November 30, 2010)</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10.13*</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Employee Non-Qualified Stock Option Award Agreement pursuant to the FLEETCOR Technologies, Inc. 2010 Equity Compensation Plan (incorporated by reference to Exhibit 10.41 to Amendment No. 6 to the registrant’s Registration Statement on Form S-1, File No. 333-166092, filed with the SEC on November 30, 2010)</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10.14</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Director Non-Qualified Stock Option Award Agreement pursuant to the FLEETCOR Technologies, Inc. 2010 Equity Compensation Plan (incorporated by reference to Exhibit 10.42 to Amendment No. 6 to the registrant’s Registration Statement on Form S-1, File No. 333-166092, filed with the SEC on November 30, 2010)</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10.15*</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Employee Noncompetition, Nondisclosure and Developments Agreement, dated November 29, 2010, between FLEETCOR Technologies, Inc. and Ronald F. Clarke (incorporated by reference to Exhibit No. 10.43 to Amendment No. 6 to the registrant’s Registration Statement on Form S-1, File No. 333-166092, filed with the SEC on November 30, 2010)</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10.16</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Arrangement Agreement Among FLEETCOR Luxembourg Holdings2 S.À.R.L, FLEETCOR Technologies, Inc. and CTF Technologies, Inc. (incorporated by reference to Exhibit 10.1 to the registrant’s Form 10-Q, File No. 001-35004, filed with the SEC on May 10, 2012)</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10.17</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FLEETCOR Technologies, Inc. 2010 Equity Compensation Plan, as amended and restated effective April 13, 2022 </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"http://www.sec.gov/Archives/edgar/data/1175454/000119312514147981/d634148ddef14a.htm" \l "toc634148_19"</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10.18</w:t>
            </w:r>
            <w:r>
              <w:rPr>
                <w:rStyle w:val="InternetLink"/>
                <w:sz w:val="20"/>
                <w:u w:val="single"/>
                <w:b w:val="false"/>
                <w:rFonts w:ascii="Times New Roman;sans-serif" w:hAnsi="Times New Roman;sans-serif"/>
                <w:color w:val="0000FF"/>
              </w:rPr>
              <w:fldChar w:fldCharType="end"/>
            </w:r>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FLEETCOR Technologies, Inc. Section 162(M) Performance—Based Program (incorporated by reference to Annex A to the registrant’s Proxy Statement, File No. 001-35004, filed with the SEC on April 18, 2014)</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10.19*</w:t>
              </w:r>
            </w:hyperlink>
          </w:p>
          <w:p>
            <w:pPr>
              <w:pStyle w:val="TableContents"/>
              <w:bidi w:val="0"/>
              <w:spacing w:before="0" w:after="0"/>
              <w:jc w:val="left"/>
              <w:rPr/>
            </w:pPr>
            <w:r>
              <w:rPr/>
            </w:r>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FLEETCOR Technologies, Inc. Amended and Restated 2010 Equity Compensation Plan, Key Employee Performance-Based Stock Option Certification to Ronald F. Clarke, dated September 30, 2021(incorporated by reference to Exhibit 10.4 to the registrant's Form 10-Q, File No. 001-35004, filed with the SEC on November 9, 2021)</w:t>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10.20</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Agreement, dated October 24, 2014, among FLEETCOR Technologies Operating Company, LLC, as Borrower, FLEETCOR Technologies, Inc., as Parent, FLEETCOR Technologies Operating Company, LLC, as a borrower and guarantor, certain of the our foreign subsidiaries as borrowers, Bank of America, N.A., as administrative agent, swing line lender and L/C issuer and a syndicate of financial institutions (incorporated by reference to Exhibit No. 10.4 to the registrant’s Form 10-Q, File No. 001-35004, filed with the SEC on November 10, 2014)</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10.21</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Amended and Restated Receivables Purchase Agreement, dated November 14, 2014, by and among FLEETCOR Technologies, Inc. and PNC Bank, National Association, as administrator for a group of purchasers and purchaser agents, and certain other parties (incorporated by reference to Exhibit No. 10.1 to the registrant’s Form 8-K, File No. 001-35004, filed with the SEC on November 17, 2014)</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10.22</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Performance Guaranty dated as of November 14, 2014 made by FLEETCOR Technologies, Inc. and FLEETCOR Technologies Operating Company, LLC, in favor of PNC Bank, National Association, as administrator under the Fifth Amended and Restated Receivables Purchase Agreement (incorporated by reference to Exhibit 10.32 to the registrant’s Form 10-K, File No. 001-35004, filed with the SEC on March 2, 2015)</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8"/>
        <w:gridCol w:w="191"/>
        <w:gridCol w:w="193"/>
        <w:gridCol w:w="2908"/>
        <w:gridCol w:w="2771"/>
        <w:gridCol w:w="3924"/>
      </w:tblGrid>
      <w:tr>
        <w:trPr/>
        <w:tc>
          <w:tcPr>
            <w:tcW w:w="2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908"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4" w:type="dxa"/>
            <w:tcBorders/>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10.23</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Purchase and Sale Agreement dated as of November 14, 2014, among various entities listed on Schedule I thereto, as originators, and FLEETCOR Funding LLC (incorporated by reference to Exhibit 10.33 to the registrant’s Form 10-K, File No. 001-35004, filed with the SEC on March 2, 2015)</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10.24</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Purchase and Sale Agreement dated as of November 14, 2014, among Comdata TN, Inc. and Comdata Network, Inc. of California, as the sellers, and Comdata Inc., as the buyer (incorporated by reference to Exhibit 10.34 to the registrant’s Form 10-K, File No. 001-35004, filed with the SEC on March 2, 2015)</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10.25</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 Rights Agreement, dated November 14, 2014, between FLEETCOR Technologies, Inc. and Ceridian LLC (incorporated by reference to Exhibit 10.35 to the registrant’s Form 10-K, File No. 001-35004, filed with the SEC on March 2, 2015)</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10.26*</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Offer Letter, dated July 29, 2014, between FLEETCOR Technologies, Inc. and Armando Lins Netto (incorporated by reference to Exhibit 10.1 to the registrant’s Form 10-Q, File No. 001-35004, filed with the SEC on May 11, 2015)</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10.27</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the Fifth Amended and Restated Receivables Purchase Agreement, dated as of November 5, 2015, by and among FLEETCOR Funding LLC, FLEETCOR Technologies Operating Company, LLC and PNC Bank, National Association, as administrator for a group of purchasers and purchaser agents, and certain other parties (incorporated by reference to Exhibit 10.2 to the registrant’s Form 10-Q, File No. 001-35004, filed with the SEC on November 9, 2015)</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10.28*</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agreement on confidentiality, work product, non-competition, and non-solicitation (incorporated by reference to Exhibit 10.38 to the registrant's Form 10-K, File No. 001-35004, filed with the SEC on February 29, 2016)</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10.29</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the Fifth Amended and Restated Receivables Purchase Agreement, dated as of December 1, 2015, by and among FLEETCOR Funding LLC, FLEETCOR Technologies Operating Company, LLC and PNC Bank, National Association, as administrator for a group of purchasers and purchaser agents, and certain other parties (incorporated by reference to Exhibit 10.39 to the registrant's Form 10-K, File No. 001-35004, filed with the SEC on February 29, 2016)</w:t>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20"/>
                  <w:u w:val="single"/>
                </w:rPr>
                <w:t>10.30</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Amendment to Credit Agreement and Lender Joinder Agreement, dated as of August 22, 2016, by and among FLEETCOR Funding LLC, FLEETCOR Technologies Operating Company, LLC and PNC Bank, National Association, as administrator for a group of purchasers and purchaser agents, and certain other parties (incorporated by reference to Exhibit 10.1 to the registrant’s Form 10-Q, File No. 001-35004, filed with the SEC on November 9, 2016)</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20"/>
                  <w:u w:val="single"/>
                </w:rPr>
                <w:t>10.31</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Amendment to Credit Agreement, dated as of January 2017, among FLEETCOR Technologies Operating Company, LLC, as the Company, FLEETCOR Technologies, Inc., as the Parent, the designated borrowers party hereto, the other guarantors party hereto, Bank of America, N.A., as administrative agent, swing line lender and l/c issuer, and the other lenders party hereto and Merrill Lynch, Pierce, Fenner &amp; Smith Incorporated, as sole lead arranger and sole bookrunner (incorporated by reference to Exhibit 10.41 to the registrant's Form 10-K, File No. 001-35004, filed with the SEC on March 1, 2017)</w:t>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20"/>
                  <w:u w:val="single"/>
                </w:rPr>
                <w:t>10.32</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Amendment to Credit Agreement, dated as of August 2, 2017, among FLEETCOR Technologies Operating Company, LLC, as the Company, FLEETCOR Technologies, Inc., as the Parent, the designated borrowers party hereto, the other guarantors party hereto, Bank of America, N.A., as administrative agent, swing line lender and l/c issuer, and the other lenders party hereto, and Merrill Lynch, Pierce, Fenner &amp; Smith Incorporated, as sole lead arranger and sole bookrunner (incorporated by reference to Exhibit 10.1 to the registrant’s Form 10-Q, File No. 001-35004, filed with the SEC on August 8, 2017)</w:t>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20"/>
                  <w:u w:val="single"/>
                </w:rPr>
                <w:t>10.33</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Third Amendment to Fifth Amended and Restated Receivables Purchase Agreement, dated as of November 14, 2017, by and among FLEETCOR Funding LLC, FLEETCOR Technologies Operating Company, LLC, PNC Bank, National Association, as administrator for a group of purchasers and purchase agents, and certain other parties (incorporated by reference to Exhibit 10.43 to the registrant's Form 10-K, File No. 001-35004, filed with the SEC on March 1, 2018) </w:t>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20"/>
                  <w:u w:val="single"/>
                </w:rPr>
                <w:t>10.35</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Amendment to Credit Agreement, dated August 30, 2018, among FleetCor Technologies Operating Company, LLC, FleetCor Technologies Operating Company, LLC, FleetCor Technologies, Inc., the designated borrowers party thereto, Cambridge Mercantile Corp. (U.S.A.), the other guarantors party thereto, Bank of America, N.A., as administrative agent, swing line lender and l/c issuer, and the other lenders party thereto (incorporated by reference to Exhibit 10.2 to the registrant's Form 10-Q, File No. 001-35004, filed with the SEC on November 8, 2018)</w:t>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20"/>
                  <w:u w:val="single"/>
                </w:rPr>
                <w:t>10.36</w:t>
              </w:r>
            </w:hyperlink>
          </w:p>
        </w:tc>
        <w:tc>
          <w:tcPr>
            <w:tcW w:w="96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Fourth Amendment to Fifth Amended and Restated Receivables Purchase Agreement, dated August 30, 2018, by and among FleetCor Funding LLC, FleetCor Technologies Operating Company, LLC, PNC Bank, National Association as administrator for a group of purchasers and purchaser agents, and certain other parties thereto (incorporated by reference to exhibit 10.3 to the registrant's Form 10-Q, File No. 001-35004, filed with the SEC on November 8, 2018)</w:t>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2817"/>
        <w:gridCol w:w="2817"/>
        <w:gridCol w:w="398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398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20"/>
                  <w:u w:val="single"/>
                </w:rPr>
                <w:t>10.37</w:t>
              </w:r>
            </w:hyperlink>
          </w:p>
        </w:tc>
        <w:tc>
          <w:tcPr>
            <w:tcW w:w="9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Amendment to Credit Agreement, dated as of December 19, 2018, among FLEETCOR Technologies Operating Company, LLC, as the Company, FLEETCOR Technologies, Inc., as the Parent, the designated borrowers party hereto, Bank of America, N.A., as administrative agent, swing line lender and L/C issuer, and the other lenders party hereto Merrill Lynch, Pierce, Fenner &amp; Smith Incorporated, as sole lead arranger and sole bookrunner (incorporated by reference to exhibit 10.47 to the registrant's Form 10-K, File No. 001-35004, filed with the SEC on March 1, 2019)</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20"/>
                  <w:u w:val="single"/>
                </w:rPr>
                <w:t>10.38</w:t>
              </w:r>
            </w:hyperlink>
          </w:p>
        </w:tc>
        <w:tc>
          <w:tcPr>
            <w:tcW w:w="9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Fifth Amendment to the Fifth Amended and Restated Receivables Purchase Agreement, dated December 19, 2018 by and among FleetCor Funding LLC, FleetCor Technologies Operating Company, LLC, PNC Bank, National Association as administrator for a group of purchasers and purchaser agents, and certain other parties thereto (incorporated by reference to exhibit 10.3 to the registrant's Form 10-Q, File No. 001-35004, filed with the SEC on May 10, 2019)</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ans-serif" w:hAnsi="Times New Roman;sans-serif"/>
                  <w:b w:val="false"/>
                  <w:color w:val="0000FF"/>
                  <w:sz w:val="20"/>
                  <w:u w:val="single"/>
                </w:rPr>
                <w:t>10.39</w:t>
              </w:r>
            </w:hyperlink>
          </w:p>
        </w:tc>
        <w:tc>
          <w:tcPr>
            <w:tcW w:w="9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Sixth Amendment to the Fifth Amended and Restated Receivables Purchase Agreement, dated February 8, 2019 by and among FleetCor Funding LLC, FleetCor Technologies Operating Company, LLC, PNC Bank, National Association as administrator for a group of purchasers and purchaser agents, and certain other parties thereto (incorporated by reference to exhibit 10.4 to the registrant's Form 10-Q, File No. 001-35004, filed with the SEC on May 10, 2019)</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ans-serif" w:hAnsi="Times New Roman;sans-serif"/>
                  <w:b w:val="false"/>
                  <w:color w:val="0000FF"/>
                  <w:sz w:val="20"/>
                  <w:u w:val="single"/>
                </w:rPr>
                <w:t>10.40</w:t>
              </w:r>
            </w:hyperlink>
          </w:p>
        </w:tc>
        <w:tc>
          <w:tcPr>
            <w:tcW w:w="9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Sixth Amendment to Credit Agreement, dated as of August 2, 2019, among FLEETCOR Technologies Operating Company, LLC, as the Company, FLEETCOR Technologies, Inc., as the Parent, the designated borrowers party hereto, Bank of America, N.A., as administrative agent, swing line lender and L/C issuer, and the other lenders party hereto Merrill Lynch, Pierce, Fenner &amp; Smith Incorporated, as sole lead arranger and sole bookrunner (incorporated by reference to Exhibit 10.5 to the registrant's Form 10-Q, File No. 001-35004, filed with the SEC on August 9, 2019)</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ans-serif" w:hAnsi="Times New Roman;sans-serif"/>
                  <w:b w:val="false"/>
                  <w:color w:val="0000FF"/>
                  <w:sz w:val="20"/>
                  <w:u w:val="single"/>
                </w:rPr>
                <w:t>10.41</w:t>
              </w:r>
            </w:hyperlink>
          </w:p>
        </w:tc>
        <w:tc>
          <w:tcPr>
            <w:tcW w:w="9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Seventh Amendment to Credit Agreement, dated as of November 14, 2019, among FLEETCOR Technologies</w:t>
              <w:br/>
              <w:t>Operating Company, LLC, as the Company, FLEETCOR Technologies, Inc., as the Parent, the designated borrowers party hereto, Bank of America, N.A., as administrative agent, swing line lender and L/C issuer, and the other lenders party hereto Merrill Lynch, Pierce, Fenner &amp; Smith Incorporated, as sole lead arranger and sole bookrunner (incorporated by reference to Exhibit 10.53 to the registrant's Form 10-k, File No. 001-35004, filed with the SEC on March 2, 2020)</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ans-serif" w:hAnsi="Times New Roman;sans-serif"/>
                  <w:b w:val="false"/>
                  <w:color w:val="0000FF"/>
                  <w:sz w:val="20"/>
                  <w:u w:val="single"/>
                </w:rPr>
                <w:t>10.42</w:t>
              </w:r>
            </w:hyperlink>
          </w:p>
        </w:tc>
        <w:tc>
          <w:tcPr>
            <w:tcW w:w="9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Eighth Amendment to Credit Agreement, dated as of April 24, 2020, among FLEETCOR Technologies Operating Company, LLC, as the Company, FLEETCOR Technologies, Inc., as the Parent, the designated borrowers party hereto, Bank of America, N.A., as administrative agent, swing line lender and L/C issuer, and the other borrowers hereto Merrill Lynch, Pierce, Fenner &amp; Smith Incorporated, as sole lead arranger and sole bookrunner (incorporated by reference to Exhibit 10.1 to the registrant's Form 10-Q, File No. 001-35004, filed with the SEC on May 11, 2020)</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ans-serif" w:hAnsi="Times New Roman;sans-serif"/>
                  <w:b w:val="false"/>
                  <w:color w:val="0000FF"/>
                  <w:sz w:val="20"/>
                  <w:u w:val="single"/>
                </w:rPr>
                <w:t>10.44</w:t>
              </w:r>
            </w:hyperlink>
          </w:p>
        </w:tc>
        <w:tc>
          <w:tcPr>
            <w:tcW w:w="9619"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Seventh Amendment to the Fifth Amended and Restated Receivables Purchase Agreement, dated November 13, 2020 by and among FleetCor Funding LLC, FleetCor Technologies Operating Company, LLC, PNC Bank, National Association as administrator for a group of purchasers and purchaser agents, and certain other parties thereto (incorporated by reference to Exhibit 10.53 to the registrant's Form 10-k, File No. 001-35004, filed with the SEC on March 2, 2020)</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ans-serif" w:hAnsi="Times New Roman;sans-serif"/>
                  <w:b w:val="false"/>
                  <w:color w:val="0000FF"/>
                  <w:sz w:val="20"/>
                  <w:u w:val="single"/>
                </w:rPr>
                <w:t>10.45</w:t>
              </w:r>
            </w:hyperlink>
          </w:p>
        </w:tc>
        <w:tc>
          <w:tcPr>
            <w:tcW w:w="9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Eighth Amendment to the Fifth Amended and Restated Receivables Purchase Agreement, dated March 29, 2021 by and among FleetCor Funding LLC, FleetCor Technologies Operating Company, LLC, PNC Bank, National Association as administrator for a group of purchasers and purchaser agents, and certain other parties thereto (incorporated by reference to Exhibit 10.1 to the registrant's Form 10-Q, File No. 001-35004, filed with the SEC on May 10, 2021)</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ans-serif" w:hAnsi="Times New Roman;sans-serif"/>
                  <w:b w:val="false"/>
                  <w:color w:val="0000FF"/>
                  <w:sz w:val="20"/>
                  <w:u w:val="single"/>
                </w:rPr>
                <w:t>10.52</w:t>
              </w:r>
            </w:hyperlink>
          </w:p>
        </w:tc>
        <w:tc>
          <w:tcPr>
            <w:tcW w:w="9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Ninth Amendment to Credit Agreement, dated as of April 30, 2021 among FLEETCOR Technologies Operating Company, LLC, as the Company, FLEETCOR Technologies, Inc., as the Parent, the designated borrowers party hereto, Bank of America, N.A., as administrative agent, swing line lender and L/C issuer, and the other borrowers hereto (incorporated by reference to Exhibit 10.2 to the registrant's Form 10-Q, File No. 001-35004, filed with the SEC on May 10, 2021)</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ans-serif" w:hAnsi="Times New Roman;sans-serif"/>
                  <w:b w:val="false"/>
                  <w:color w:val="0000FF"/>
                  <w:sz w:val="20"/>
                  <w:u w:val="single"/>
                </w:rPr>
                <w:t>10.53</w:t>
              </w:r>
            </w:hyperlink>
          </w:p>
        </w:tc>
        <w:tc>
          <w:tcPr>
            <w:tcW w:w="9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Ninth Amendment to the Fifth Amended and Restated Receivables Purchase Agreement, dated September 15, 2021 by and among FleetCor Funding LLC, FleetCor Technologies Operating Company, LLC, PNC Bank, National Association as administrator for a group of purchasers and purchaser agents, and certain other parties thereto (incorporated by reference to Exhibit 10.3 to the registrant's Form 10-Q, File No. 001-35004, filed with the SEC on November 9, 2021)</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ans-serif" w:hAnsi="Times New Roman;sans-serif"/>
                  <w:b w:val="false"/>
                  <w:color w:val="0000FF"/>
                  <w:sz w:val="20"/>
                  <w:u w:val="single"/>
                </w:rPr>
                <w:t>10.54</w:t>
              </w:r>
            </w:hyperlink>
          </w:p>
        </w:tc>
        <w:tc>
          <w:tcPr>
            <w:tcW w:w="9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Tenth Amendment to Credit Agreement, dated as of November 16, 2021 among FLEETCOR Technologies Operating Company, LLC, as the Company, FLEETCOR Technologies, Inc., as the Parent, the designated borrowers party hereto, Bank of America, N.A., as administrative agent, swing line lender and L/C issuer, and the other borrowers hereto (incorporated by reference to Exhibit 10.54 to the registrant's on Form 10-K, File No. 001-35004, filed with the SEC on March 1, 2022)</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5"/>
        <w:gridCol w:w="197"/>
        <w:gridCol w:w="200"/>
        <w:gridCol w:w="2867"/>
        <w:gridCol w:w="2781"/>
        <w:gridCol w:w="3935"/>
      </w:tblGrid>
      <w:tr>
        <w:trPr/>
        <w:tc>
          <w:tcPr>
            <w:tcW w:w="22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5" w:type="dxa"/>
            <w:tcBorders/>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ans-serif" w:hAnsi="Times New Roman;sans-serif"/>
                  <w:b w:val="false"/>
                  <w:color w:val="0000FF"/>
                  <w:sz w:val="20"/>
                  <w:u w:val="single"/>
                </w:rPr>
                <w:t>10.55</w:t>
              </w:r>
            </w:hyperlink>
          </w:p>
        </w:tc>
        <w:tc>
          <w:tcPr>
            <w:tcW w:w="9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Eleventh Amendment to Credit Agreement, dated as of December 22, 2021 among FLEETCOR Technologies Operating Company, LLC, as the Company, FLEETCOR Technologies, Inc., as the Parent, the designated borrowers party hereto, Bank of America, N.A., as administrative agent, swing line lender and L/C issuer, and the other borrowers hereto (incorporated by reference to Exhibit 10.55 to the registrant's Form 10-K, File No. 001-35004, filed with the SEC on March 1, 2022)</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ans-serif" w:hAnsi="Times New Roman;sans-serif"/>
                  <w:b w:val="false"/>
                  <w:color w:val="0000FF"/>
                  <w:sz w:val="20"/>
                  <w:u w:val="single"/>
                </w:rPr>
                <w:t>10.56</w:t>
              </w:r>
            </w:hyperlink>
          </w:p>
        </w:tc>
        <w:tc>
          <w:tcPr>
            <w:tcW w:w="9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Tenth Amendment to the Fifth Amended and Restated Receivables Purchase Agreement, dated March 23, 2022 by and among by and among FleetCor Funding LLC, FleetCor Technologies Operating Company, LLC, PNC Bank, National Association as administrator for a group of purchasers and purchaser agents, and certain other parties thereto (incorporated by reference to Exhibit 10.1 to the registrant's Form 10-Q, File No. 001-35004, filed with the SEC on May 9, 2022)</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10.57</w:t>
              </w:r>
            </w:hyperlink>
          </w:p>
        </w:tc>
        <w:tc>
          <w:tcPr>
            <w:tcW w:w="9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Twelfth Amendment to the Credit Agreement, dated as of June 24, 2022 among FLEETCOR Technologies Operating Company, LLC, as the Company, FLEETCOR Technologies, Inc., as the Parent, Cambridge Mercantile Corp. (USA) as the additional borrower, Bank of America, N.A., as administrative agent, a domestic swing line lender, the foreign swing line lender and the L/C issuer, and the other lenders party hereto (incorporated by reference to Exhibit 10.2 to the Registrant's Quarterly Report on Form 10-Q, File No. 001-35004, filed with the SEC on August 9, 2022)</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10.58</w:t>
              </w:r>
            </w:hyperlink>
          </w:p>
        </w:tc>
        <w:tc>
          <w:tcPr>
            <w:tcW w:w="9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Offer letter, dated May 23, 2022, between FLEETCOR Technologies, Inc. and Alan King (incorporated by reference to Exhibit 10.3 to the registrant's Form 10-Q, File No. 001-35004, filed with the SEC on August 9, 2022)</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10.59</w:t>
              </w:r>
            </w:hyperlink>
          </w:p>
        </w:tc>
        <w:tc>
          <w:tcPr>
            <w:tcW w:w="9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Eleventh Amendment to the Fifth Amended and Restated Receivables Purchase Agreement, dated August 18, 2022 by and among by and among FleetCor Funding LLC, FleetCor Technologies Operating Company, LLC, PNC Bank, National Association as administrator for a group of purchasers and purchaser agents, and certain other parties thereto (incorporated by reference to Exhibit 10.4 to the registrant's Form 10-Q, File No. 001-35004, filed with the SEC on November 8, 2022)</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10.60</w:t>
              </w:r>
            </w:hyperlink>
          </w:p>
        </w:tc>
        <w:tc>
          <w:tcPr>
            <w:tcW w:w="9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Cooperation Agreement, dated as of March 15, 2023, by and among FLEETCOR Technologies, Inc., D.E. Shaw Oculus Portfolios, L.L.C. and D.E. Shaw Valence Portfolios, L.L.C. (incorporated by reference to Exhibit 10.1 to the Registrant’s Current Report on Form 8-K, File No. 001-35004, filed with the SEC on March 20, 2023)</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ans-serif" w:hAnsi="Times New Roman;sans-serif"/>
                  <w:b w:val="false"/>
                  <w:color w:val="0000FF"/>
                  <w:sz w:val="20"/>
                  <w:u w:val="single"/>
                </w:rPr>
                <w:t>10.61</w:t>
              </w:r>
            </w:hyperlink>
          </w:p>
        </w:tc>
        <w:tc>
          <w:tcPr>
            <w:tcW w:w="9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Offer letter, dated February 24, 2023, between FLEETCOR Technologies, Inc. and Tom Panther (incorporated by reference to Exhibit 10.2 to the registrant's Form 10-Q, File No. 001-35004, filed with the SEC on May 10, 2023)</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ans-serif" w:hAnsi="Times New Roman;sans-serif"/>
                  <w:b w:val="false"/>
                  <w:color w:val="0000FF"/>
                  <w:sz w:val="20"/>
                  <w:u w:val="single"/>
                </w:rPr>
                <w:t>10.62</w:t>
              </w:r>
            </w:hyperlink>
          </w:p>
        </w:tc>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Thirteenth Amendment to the Credit Agreement, dated as of May 3, 2023 among FLEETCOR Technologies Operating Company, LLC, as the Company, FLEETCOR Technologies, Inc., as the Parent, Cambridge Mercantile Corp. (USA) as the additional borrower, Bank of America, N.A., as administrative agent, a domestic swing line lender, the foreign swing line lender and the L/C issuer, and the other lenders party thereto (incorporated by reference to Exhibit 10.3 to the registrant's Form 10-Q, File No. 001-35004, filed with the SEC on May 10, 2023)</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6312thamendmentto5thar.htm">
              <w:r>
                <w:rPr>
                  <w:rStyle w:val="InternetLink"/>
                  <w:rFonts w:ascii="Times New Roman;sans-serif" w:hAnsi="Times New Roman;sans-serif"/>
                  <w:b w:val="false"/>
                  <w:color w:val="0000FF"/>
                  <w:sz w:val="20"/>
                  <w:u w:val="single"/>
                </w:rPr>
                <w:t>10.63</w:t>
              </w:r>
            </w:hyperlink>
            <w:r>
              <w:rPr>
                <w:rFonts w:ascii="Times New Roman;sans-serif" w:hAnsi="Times New Roman;sans-serif"/>
                <w:b w:val="false"/>
                <w:color w:val="000000"/>
                <w:sz w:val="20"/>
              </w:rPr>
              <w:t>**</w:t>
            </w:r>
          </w:p>
        </w:tc>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Twelfth Amendment to the Fifth Amended and Restated Receivables Purchase Agreement, dated December 20, 2023 by and among by and among FleetCor Funding LLC, FleetCor Technologies Operating Company, LLC, PNC Bank, National Association as administrator for a group of purchasers and purchaser agents, and certain other parties hereto</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6414thamendmenttothecr.htm">
              <w:r>
                <w:rPr>
                  <w:rStyle w:val="InternetLink"/>
                  <w:rFonts w:ascii="Times New Roman;sans-serif" w:hAnsi="Times New Roman;sans-serif"/>
                  <w:b w:val="false"/>
                  <w:color w:val="0000FF"/>
                  <w:sz w:val="20"/>
                  <w:u w:val="single"/>
                </w:rPr>
                <w:t>10.64</w:t>
              </w:r>
            </w:hyperlink>
            <w:r>
              <w:rPr>
                <w:rFonts w:ascii="Times New Roman;sans-serif" w:hAnsi="Times New Roman;sans-serif"/>
                <w:b w:val="false"/>
                <w:color w:val="000000"/>
                <w:sz w:val="20"/>
              </w:rPr>
              <w:t>**</w:t>
            </w:r>
          </w:p>
        </w:tc>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Fourteenth Amendment to the Credit Agreement, dated as of January 31, 2024 among FLEETCOR Technologies Operating Company, LLC, as the Company, FLEETCOR Technologies, Inc., as the Parent, Cambridge Mercantile Corp. (USA) as the additional borrower, Bank of America, N.A., as administrative agent, a domestic swing line lender, the foreign swing line lender and the L/C issuer, and the other lenders party hereto</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11listofsubsidiaries123.htm">
              <w:r>
                <w:rPr>
                  <w:rStyle w:val="InternetLink"/>
                  <w:rFonts w:ascii="Times New Roman;sans-serif" w:hAnsi="Times New Roman;sans-serif"/>
                  <w:b w:val="false"/>
                  <w:color w:val="0000FF"/>
                  <w:sz w:val="20"/>
                  <w:u w:val="single"/>
                </w:rPr>
                <w:t>21.1</w:t>
              </w:r>
            </w:hyperlink>
          </w:p>
        </w:tc>
        <w:tc>
          <w:tcPr>
            <w:tcW w:w="9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 of subsidiaries of FLEETCOR Technologies, Inc.</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31eyconsentexhibit2023.htm">
              <w:r>
                <w:rPr>
                  <w:rStyle w:val="InternetLink"/>
                  <w:rFonts w:ascii="Times New Roman;sans-serif" w:hAnsi="Times New Roman;sans-serif"/>
                  <w:b w:val="false"/>
                  <w:color w:val="0000FF"/>
                  <w:sz w:val="20"/>
                  <w:u w:val="single"/>
                </w:rPr>
                <w:t>23.1</w:t>
              </w:r>
            </w:hyperlink>
          </w:p>
        </w:tc>
        <w:tc>
          <w:tcPr>
            <w:tcW w:w="9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Independent Registered Public Accounting Firm</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q42023.htm">
              <w:r>
                <w:rPr>
                  <w:rStyle w:val="InternetLink"/>
                  <w:rFonts w:ascii="Times New Roman;sans-serif" w:hAnsi="Times New Roman;sans-serif"/>
                  <w:b w:val="false"/>
                  <w:color w:val="000000"/>
                  <w:sz w:val="20"/>
                  <w:u w:val="single"/>
                </w:rPr>
                <w:t>31.1</w:t>
              </w:r>
            </w:hyperlink>
          </w:p>
        </w:tc>
        <w:tc>
          <w:tcPr>
            <w:tcW w:w="9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302</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q42023.htm">
              <w:r>
                <w:rPr>
                  <w:rStyle w:val="InternetLink"/>
                  <w:rFonts w:ascii="Times New Roman;sans-serif" w:hAnsi="Times New Roman;sans-serif"/>
                  <w:b w:val="false"/>
                  <w:color w:val="000000"/>
                  <w:sz w:val="20"/>
                  <w:u w:val="single"/>
                </w:rPr>
                <w:t>31.2</w:t>
              </w:r>
            </w:hyperlink>
          </w:p>
        </w:tc>
        <w:tc>
          <w:tcPr>
            <w:tcW w:w="9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Section 302</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q42023.htm">
              <w:r>
                <w:rPr>
                  <w:rStyle w:val="InternetLink"/>
                  <w:rFonts w:ascii="Times New Roman;sans-serif" w:hAnsi="Times New Roman;sans-serif"/>
                  <w:b w:val="false"/>
                  <w:color w:val="000000"/>
                  <w:sz w:val="20"/>
                  <w:u w:val="single"/>
                </w:rPr>
                <w:t>32.1</w:t>
              </w:r>
            </w:hyperlink>
          </w:p>
        </w:tc>
        <w:tc>
          <w:tcPr>
            <w:tcW w:w="9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Section 906</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2q42023.htm">
              <w:r>
                <w:rPr>
                  <w:rStyle w:val="InternetLink"/>
                  <w:rFonts w:ascii="Times New Roman;sans-serif" w:hAnsi="Times New Roman;sans-serif"/>
                  <w:b w:val="false"/>
                  <w:color w:val="000000"/>
                  <w:sz w:val="20"/>
                  <w:u w:val="single"/>
                </w:rPr>
                <w:t>32.2</w:t>
              </w:r>
            </w:hyperlink>
          </w:p>
        </w:tc>
        <w:tc>
          <w:tcPr>
            <w:tcW w:w="9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Section 906</w:t>
            </w:r>
          </w:p>
        </w:tc>
      </w:tr>
      <w:tr>
        <w:trPr/>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71fleetcortechnologiesi.htm">
              <w:r>
                <w:rPr>
                  <w:rStyle w:val="InternetLink"/>
                  <w:rFonts w:ascii="Times New Roman;sans-serif" w:hAnsi="Times New Roman;sans-serif"/>
                  <w:b w:val="false"/>
                  <w:color w:val="000000"/>
                  <w:sz w:val="20"/>
                  <w:u w:val="single"/>
                </w:rPr>
                <w:t>97.1</w:t>
              </w:r>
            </w:hyperlink>
            <w:r>
              <w:rPr>
                <w:rFonts w:ascii="Times New Roman;sans-serif" w:hAnsi="Times New Roman;sans-serif"/>
                <w:b w:val="false"/>
                <w:color w:val="000000"/>
                <w:sz w:val="20"/>
              </w:rPr>
              <w:t>*</w:t>
            </w:r>
          </w:p>
        </w:tc>
        <w:tc>
          <w:tcPr>
            <w:tcW w:w="95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FLEETCOR Technologies, Inc. Compensation Recoupment Policy, effective as of October 23, 2023</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for the registrant formatted in XBRL (Extensible Business Reporting Language): (i) the Consolidated Balance Sheets, (ii) the Consolidated Statements of Income, (iii) the Consolidated Statements of Comprehensive Income; (iv) the Consolidated Statements of Stockholders' Equity; (v) the Consolidated Statements of Cash Flows and (vi) the Notes to Consolidated Financial Statements</w:t>
            </w:r>
          </w:p>
        </w:tc>
      </w:tr>
      <w:tr>
        <w:trPr/>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and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before="0" w:after="0"/>
        <w:jc w:val="left"/>
        <w:rPr/>
      </w:pPr>
      <w:r>
        <w:rPr/>
      </w:r>
    </w:p>
    <w:tbl>
      <w:tblPr>
        <w:tblW w:w="6146" w:type="dxa"/>
        <w:jc w:val="left"/>
        <w:tblInd w:w="0" w:type="dxa"/>
        <w:tblLayout w:type="fixed"/>
        <w:tblCellMar>
          <w:top w:w="28" w:type="dxa"/>
          <w:left w:w="28" w:type="dxa"/>
          <w:bottom w:w="28" w:type="dxa"/>
          <w:right w:w="28" w:type="dxa"/>
        </w:tblCellMar>
      </w:tblPr>
      <w:tblGrid>
        <w:gridCol w:w="124"/>
        <w:gridCol w:w="109"/>
        <w:gridCol w:w="109"/>
        <w:gridCol w:w="1699"/>
        <w:gridCol w:w="1699"/>
        <w:gridCol w:w="24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Identifies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 in the City of Atlanta, State of Georgia, on February 29, 2024.</w:t>
      </w:r>
    </w:p>
    <w:tbl>
      <w:tblPr>
        <w:tblW w:w="5000" w:type="dxa"/>
        <w:jc w:val="right"/>
        <w:tblInd w:w="0" w:type="dxa"/>
        <w:tblLayout w:type="fixed"/>
        <w:tblCellMar>
          <w:top w:w="28" w:type="dxa"/>
          <w:left w:w="28" w:type="dxa"/>
          <w:bottom w:w="28" w:type="dxa"/>
          <w:right w:w="28" w:type="dxa"/>
        </w:tblCellMar>
      </w:tblPr>
      <w:tblGrid>
        <w:gridCol w:w="321"/>
        <w:gridCol w:w="282"/>
        <w:gridCol w:w="282"/>
        <w:gridCol w:w="282"/>
        <w:gridCol w:w="282"/>
        <w:gridCol w:w="282"/>
        <w:gridCol w:w="950"/>
        <w:gridCol w:w="950"/>
        <w:gridCol w:w="1369"/>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FLEETCOR Technologies, Inc.</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RONALD F. CLARKE</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Ronald F. Clarke</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President and Chief Executive Officer</w:t>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registrant and in the capacities indicated on February 29, 2024.</w:t>
      </w:r>
    </w:p>
    <w:tbl>
      <w:tblPr>
        <w:tblW w:w="9011" w:type="dxa"/>
        <w:jc w:val="left"/>
        <w:tblInd w:w="0" w:type="dxa"/>
        <w:tblLayout w:type="fixed"/>
        <w:tblCellMar>
          <w:top w:w="28" w:type="dxa"/>
          <w:left w:w="28" w:type="dxa"/>
          <w:bottom w:w="28" w:type="dxa"/>
          <w:right w:w="28" w:type="dxa"/>
        </w:tblCellMar>
      </w:tblPr>
      <w:tblGrid>
        <w:gridCol w:w="921"/>
        <w:gridCol w:w="809"/>
        <w:gridCol w:w="819"/>
        <w:gridCol w:w="109"/>
        <w:gridCol w:w="109"/>
        <w:gridCol w:w="109"/>
        <w:gridCol w:w="1785"/>
        <w:gridCol w:w="1785"/>
        <w:gridCol w:w="2565"/>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RONALD F. CLARKE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 of the Board of Directors</w:t>
              <w:br/>
              <w:t>(Principal Executive Officer)</w:t>
            </w:r>
          </w:p>
        </w:tc>
      </w:tr>
      <w:tr>
        <w:trPr/>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Ronald F. Clarke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TOM PANTHER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Officer)</w:t>
            </w:r>
          </w:p>
        </w:tc>
      </w:tr>
      <w:tr>
        <w:trPr/>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Tom Panther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ALISSA B. VICKERY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r>
        <w:trPr/>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Alissa B. Vickery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ANNABELLE G. BEXIGA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Annabelle G. Bexiga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JOSEPH W. FARRELLY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Joseph W. Farrelly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M. HAGERTY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Thomas M. Hagerty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RAHUL GUPTA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Rahul Gupta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ARCHIE L. JONES,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Archie L. Jones,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RICHARD MACCHIA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Richard Macchia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HALA G. MODDELMOG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Hala G. Moddelmog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S. SLOAN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Jeffrey S. Sloan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STEVEN T. STULL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Steven T. Stull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GERALD C. THROOP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Gerald C. Throop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i/>
          <w:color w:val="000000"/>
          <w:sz w:val="24"/>
        </w:rPr>
      </w:pPr>
      <w:r>
        <w:rPr>
          <w:rFonts w:ascii="Times New Roman;sans-serif" w:hAnsi="Times New Roman;sans-serif"/>
          <w:b/>
          <w:i/>
          <w:color w:val="000000"/>
          <w:sz w:val="24"/>
        </w:rPr>
        <w:t>Execution Version</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8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TWELFTH AMENDMENT TO FIFTH AMENDED AND RESTATED RECEIVABLES PURCHASE AGREEMENT</w:t>
      </w:r>
    </w:p>
    <w:p>
      <w:pPr>
        <w:pStyle w:val="TextBody"/>
        <w:bidi w:val="0"/>
        <w:spacing w:before="0" w:after="240"/>
        <w:jc w:val="center"/>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This TWELFTH AMENDMENT TO FIFTH AMENDED AND RESTATED RECEIVABLES PURCHASE AGREEMENT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dated as of December 20, 2023, is entered into by and among the following parties:</w:t>
      </w:r>
    </w:p>
    <w:p>
      <w:pPr>
        <w:pStyle w:val="TextBody"/>
        <w:bidi w:val="0"/>
        <w:spacing w:lineRule="auto" w:line="240" w:before="0" w:after="120"/>
        <w:ind w:left="0" w:right="0" w:hanging="720"/>
        <w:jc w:val="both"/>
        <w:rPr/>
      </w:pPr>
      <w:r>
        <w:rPr>
          <w:rFonts w:ascii="Times New Roman;sans-serif" w:hAnsi="Times New Roman;sans-serif"/>
          <w:b w:val="false"/>
          <w:color w:val="000000"/>
          <w:sz w:val="24"/>
        </w:rPr>
        <w:t>(i)FLEETCOR FUNDING LLC, as Seller (the “</w:t>
      </w:r>
      <w:r>
        <w:rPr>
          <w:rFonts w:ascii="Times New Roman;sans-serif" w:hAnsi="Times New Roman;sans-serif"/>
          <w:b w:val="false"/>
          <w:color w:val="000000"/>
          <w:sz w:val="24"/>
          <w:u w:val="single"/>
        </w:rPr>
        <w:t>Seller</w:t>
      </w:r>
      <w:r>
        <w:rPr>
          <w:color w:val="000000"/>
        </w:rPr>
        <w:t>”</w:t>
      </w:r>
      <w:r>
        <w:rPr>
          <w:rFonts w:ascii="Times New Roman;sans-serif" w:hAnsi="Times New Roman;sans-serif"/>
          <w:b w:val="false"/>
          <w:color w:val="000000"/>
          <w:sz w:val="24"/>
        </w:rPr>
        <w:t>);</w:t>
      </w:r>
    </w:p>
    <w:p>
      <w:pPr>
        <w:pStyle w:val="TextBody"/>
        <w:bidi w:val="0"/>
        <w:spacing w:lineRule="auto" w:line="240" w:before="0" w:after="120"/>
        <w:ind w:left="0" w:right="0" w:hanging="720"/>
        <w:jc w:val="both"/>
        <w:rPr/>
      </w:pPr>
      <w:r>
        <w:rPr>
          <w:rFonts w:ascii="Times New Roman;sans-serif" w:hAnsi="Times New Roman;sans-serif"/>
          <w:b w:val="false"/>
          <w:color w:val="000000"/>
          <w:sz w:val="24"/>
        </w:rPr>
        <w:t>(ii)FLEETCOR TECHNOLOGIES OPERATING COMPANY, LLC, as Servicer (the “</w:t>
      </w:r>
      <w:r>
        <w:rPr>
          <w:rFonts w:ascii="Times New Roman;sans-serif" w:hAnsi="Times New Roman;sans-serif"/>
          <w:b w:val="false"/>
          <w:color w:val="000000"/>
          <w:sz w:val="24"/>
          <w:u w:val="single"/>
        </w:rPr>
        <w:t>Servicer</w:t>
      </w:r>
      <w:r>
        <w:rPr>
          <w:color w:val="000000"/>
        </w:rPr>
        <w:t>”</w:t>
      </w:r>
      <w:r>
        <w:rPr>
          <w:rFonts w:ascii="Times New Roman;sans-serif" w:hAnsi="Times New Roman;sans-serif"/>
          <w:b w:val="false"/>
          <w:color w:val="000000"/>
          <w:sz w:val="24"/>
        </w:rPr>
        <w:t>);</w:t>
      </w:r>
    </w:p>
    <w:p>
      <w:pPr>
        <w:pStyle w:val="TextBody"/>
        <w:bidi w:val="0"/>
        <w:spacing w:lineRule="auto" w:line="240" w:before="0" w:after="120"/>
        <w:ind w:left="0" w:right="0" w:hanging="720"/>
        <w:jc w:val="both"/>
        <w:rPr/>
      </w:pPr>
      <w:r>
        <w:rPr>
          <w:rFonts w:ascii="Times New Roman;sans-serif" w:hAnsi="Times New Roman;sans-serif"/>
          <w:b w:val="false"/>
          <w:color w:val="000000"/>
          <w:sz w:val="24"/>
        </w:rPr>
        <w:t>(iii)PNC BANK, NATIONAL ASSOCIATION (“</w:t>
      </w:r>
      <w:r>
        <w:rPr>
          <w:rFonts w:ascii="Times New Roman;sans-serif" w:hAnsi="Times New Roman;sans-serif"/>
          <w:b w:val="false"/>
          <w:color w:val="000000"/>
          <w:sz w:val="24"/>
          <w:u w:val="single"/>
        </w:rPr>
        <w:t>PNC</w:t>
      </w:r>
      <w:r>
        <w:rPr>
          <w:color w:val="000000"/>
        </w:rPr>
        <w:t>”</w:t>
      </w:r>
      <w:r>
        <w:rPr>
          <w:rFonts w:ascii="Times New Roman;sans-serif" w:hAnsi="Times New Roman;sans-serif"/>
          <w:b w:val="false"/>
          <w:color w:val="000000"/>
          <w:sz w:val="24"/>
        </w:rPr>
        <w:t>), as a Committed Purchaser, as the sole Swingline Purchaser and as the Purchaser Agent for its Purchaser Group;</w:t>
      </w:r>
    </w:p>
    <w:p>
      <w:pPr>
        <w:pStyle w:val="TextBody"/>
        <w:bidi w:val="0"/>
        <w:spacing w:lineRule="auto" w:line="240" w:before="0" w:after="120"/>
        <w:ind w:left="0" w:right="0" w:hanging="720"/>
        <w:jc w:val="both"/>
        <w:rPr/>
      </w:pPr>
      <w:r>
        <w:rPr>
          <w:rFonts w:ascii="Times New Roman;sans-serif" w:hAnsi="Times New Roman;sans-serif"/>
          <w:b w:val="false"/>
          <w:color w:val="000000"/>
          <w:sz w:val="24"/>
        </w:rPr>
        <w:t>(iv)WELLS FARGO BANK, NATIONAL ASSOCIATION (“</w:t>
      </w:r>
      <w:r>
        <w:rPr>
          <w:rFonts w:ascii="Times New Roman;sans-serif" w:hAnsi="Times New Roman;sans-serif"/>
          <w:b w:val="false"/>
          <w:color w:val="000000"/>
          <w:sz w:val="24"/>
          <w:u w:val="single"/>
        </w:rPr>
        <w:t>Wells</w:t>
      </w:r>
      <w:r>
        <w:rPr>
          <w:color w:val="000000"/>
        </w:rPr>
        <w:t>”</w:t>
      </w:r>
      <w:r>
        <w:rPr>
          <w:rFonts w:ascii="Times New Roman;sans-serif" w:hAnsi="Times New Roman;sans-serif"/>
          <w:b w:val="false"/>
          <w:color w:val="000000"/>
          <w:sz w:val="24"/>
        </w:rPr>
        <w:t>), as a Committed Purchaser and as the Purchaser Agent for its Purchaser Group;</w:t>
      </w:r>
    </w:p>
    <w:p>
      <w:pPr>
        <w:pStyle w:val="TextBody"/>
        <w:bidi w:val="0"/>
        <w:spacing w:lineRule="auto" w:line="240" w:before="0" w:after="120"/>
        <w:ind w:left="0" w:right="0" w:hanging="720"/>
        <w:jc w:val="both"/>
        <w:rPr/>
      </w:pPr>
      <w:r>
        <w:rPr>
          <w:rFonts w:ascii="Times New Roman;sans-serif" w:hAnsi="Times New Roman;sans-serif"/>
          <w:b w:val="false"/>
          <w:color w:val="000000"/>
          <w:sz w:val="24"/>
        </w:rPr>
        <w:t>(v)REGIONS BANK (“</w:t>
      </w:r>
      <w:r>
        <w:rPr>
          <w:rFonts w:ascii="Times New Roman;sans-serif" w:hAnsi="Times New Roman;sans-serif"/>
          <w:b w:val="false"/>
          <w:color w:val="000000"/>
          <w:sz w:val="24"/>
          <w:u w:val="single"/>
        </w:rPr>
        <w:t>Regions</w:t>
      </w:r>
      <w:r>
        <w:rPr>
          <w:color w:val="000000"/>
        </w:rPr>
        <w:t>”</w:t>
      </w:r>
      <w:r>
        <w:rPr>
          <w:rFonts w:ascii="Times New Roman;sans-serif" w:hAnsi="Times New Roman;sans-serif"/>
          <w:b w:val="false"/>
          <w:color w:val="000000"/>
          <w:sz w:val="24"/>
        </w:rPr>
        <w:t>), as a Committed Purchaser and as the Purchaser Agent for its Purchaser Group;</w:t>
      </w:r>
    </w:p>
    <w:p>
      <w:pPr>
        <w:pStyle w:val="TextBody"/>
        <w:bidi w:val="0"/>
        <w:spacing w:lineRule="auto" w:line="240" w:before="0" w:after="120"/>
        <w:ind w:left="0" w:right="0" w:hanging="720"/>
        <w:jc w:val="both"/>
        <w:rPr/>
      </w:pPr>
      <w:r>
        <w:rPr>
          <w:rFonts w:ascii="Times New Roman;sans-serif" w:hAnsi="Times New Roman;sans-serif"/>
          <w:b w:val="false"/>
          <w:color w:val="000000"/>
          <w:sz w:val="24"/>
        </w:rPr>
        <w:t>(vi)MUFG BANK, LTD. (“</w:t>
      </w:r>
      <w:r>
        <w:rPr>
          <w:rFonts w:ascii="Times New Roman;sans-serif" w:hAnsi="Times New Roman;sans-serif"/>
          <w:b w:val="false"/>
          <w:color w:val="000000"/>
          <w:sz w:val="24"/>
          <w:u w:val="single"/>
        </w:rPr>
        <w:t>MUFG</w:t>
      </w:r>
      <w:r>
        <w:rPr>
          <w:color w:val="000000"/>
        </w:rPr>
        <w:t>”</w:t>
      </w:r>
      <w:r>
        <w:rPr>
          <w:rFonts w:ascii="Times New Roman;sans-serif" w:hAnsi="Times New Roman;sans-serif"/>
          <w:b w:val="false"/>
          <w:color w:val="000000"/>
          <w:sz w:val="24"/>
        </w:rPr>
        <w:t>), as a Committed Purchaser and as the Purchaser Agent for its and Victory’s Purchaser Group;</w:t>
      </w:r>
    </w:p>
    <w:p>
      <w:pPr>
        <w:pStyle w:val="TextBody"/>
        <w:bidi w:val="0"/>
        <w:spacing w:lineRule="auto" w:line="240" w:before="0" w:after="120"/>
        <w:ind w:left="0" w:right="0" w:hanging="720"/>
        <w:jc w:val="both"/>
        <w:rPr/>
      </w:pPr>
      <w:r>
        <w:rPr>
          <w:rFonts w:ascii="Times New Roman;sans-serif" w:hAnsi="Times New Roman;sans-serif"/>
          <w:b w:val="false"/>
          <w:color w:val="000000"/>
          <w:sz w:val="24"/>
        </w:rPr>
        <w:t>(vii)VICTORY RECEIVABLES CORPORATION (“</w:t>
      </w:r>
      <w:r>
        <w:rPr>
          <w:rFonts w:ascii="Times New Roman;sans-serif" w:hAnsi="Times New Roman;sans-serif"/>
          <w:b w:val="false"/>
          <w:color w:val="000000"/>
          <w:sz w:val="24"/>
          <w:u w:val="single"/>
        </w:rPr>
        <w:t>Victory</w:t>
      </w:r>
      <w:r>
        <w:rPr>
          <w:color w:val="000000"/>
        </w:rPr>
        <w:t>”</w:t>
      </w:r>
      <w:r>
        <w:rPr>
          <w:rFonts w:ascii="Times New Roman;sans-serif" w:hAnsi="Times New Roman;sans-serif"/>
          <w:b w:val="false"/>
          <w:color w:val="000000"/>
          <w:sz w:val="24"/>
        </w:rPr>
        <w:t>), as a Conduit Purchaser for MUFG’s Purchaser Group;</w:t>
      </w:r>
    </w:p>
    <w:p>
      <w:pPr>
        <w:pStyle w:val="TextBody"/>
        <w:bidi w:val="0"/>
        <w:spacing w:lineRule="auto" w:line="240" w:before="0" w:after="120"/>
        <w:ind w:left="0" w:right="0" w:hanging="720"/>
        <w:jc w:val="both"/>
        <w:rPr/>
      </w:pPr>
      <w:r>
        <w:rPr>
          <w:rFonts w:ascii="Times New Roman;sans-serif" w:hAnsi="Times New Roman;sans-serif"/>
          <w:b w:val="false"/>
          <w:color w:val="000000"/>
          <w:sz w:val="24"/>
        </w:rPr>
        <w:t>(viii)MIZUHO BANK, LTD. (“</w:t>
      </w:r>
      <w:r>
        <w:rPr>
          <w:rFonts w:ascii="Times New Roman;sans-serif" w:hAnsi="Times New Roman;sans-serif"/>
          <w:b w:val="false"/>
          <w:color w:val="000000"/>
          <w:sz w:val="24"/>
          <w:u w:val="single"/>
        </w:rPr>
        <w:t>Mizuho</w:t>
      </w:r>
      <w:r>
        <w:rPr>
          <w:color w:val="000000"/>
        </w:rPr>
        <w:t>”</w:t>
      </w:r>
      <w:r>
        <w:rPr>
          <w:rFonts w:ascii="Times New Roman;sans-serif" w:hAnsi="Times New Roman;sans-serif"/>
          <w:b w:val="false"/>
          <w:color w:val="000000"/>
          <w:sz w:val="24"/>
        </w:rPr>
        <w:t>), as a Committed Purchaser and as the Purchaser Agent for its Purchaser Group;</w:t>
      </w:r>
    </w:p>
    <w:p>
      <w:pPr>
        <w:pStyle w:val="TextBody"/>
        <w:bidi w:val="0"/>
        <w:spacing w:lineRule="auto" w:line="240" w:before="0" w:after="120"/>
        <w:ind w:left="0" w:right="0" w:hanging="720"/>
        <w:jc w:val="both"/>
        <w:rPr/>
      </w:pPr>
      <w:r>
        <w:rPr>
          <w:rFonts w:ascii="Times New Roman;sans-serif" w:hAnsi="Times New Roman;sans-serif"/>
          <w:b w:val="false"/>
          <w:color w:val="000000"/>
          <w:sz w:val="24"/>
        </w:rPr>
        <w:t>(ix)THE TORONTO-DOMINION BANK (“</w:t>
      </w:r>
      <w:r>
        <w:rPr>
          <w:rFonts w:ascii="Times New Roman;sans-serif" w:hAnsi="Times New Roman;sans-serif"/>
          <w:b w:val="false"/>
          <w:color w:val="000000"/>
          <w:sz w:val="24"/>
          <w:u w:val="single"/>
        </w:rPr>
        <w:t>TD Bank</w:t>
      </w:r>
      <w:r>
        <w:rPr>
          <w:color w:val="000000"/>
        </w:rPr>
        <w:t>”</w:t>
      </w:r>
      <w:r>
        <w:rPr>
          <w:rFonts w:ascii="Times New Roman;sans-serif" w:hAnsi="Times New Roman;sans-serif"/>
          <w:b w:val="false"/>
          <w:color w:val="000000"/>
          <w:sz w:val="24"/>
        </w:rPr>
        <w:t>), as a Committed Purchaser and as the Purchaser Agent for its, GTA Funding’s and Reliant Trust’s Purchaser Group;</w:t>
      </w:r>
    </w:p>
    <w:p>
      <w:pPr>
        <w:pStyle w:val="TextBody"/>
        <w:bidi w:val="0"/>
        <w:spacing w:lineRule="auto" w:line="240" w:before="0" w:after="120"/>
        <w:ind w:left="0" w:right="0" w:hanging="720"/>
        <w:jc w:val="both"/>
        <w:rPr/>
      </w:pPr>
      <w:r>
        <w:rPr>
          <w:rFonts w:ascii="Times New Roman;sans-serif" w:hAnsi="Times New Roman;sans-serif"/>
          <w:b w:val="false"/>
          <w:color w:val="000000"/>
          <w:sz w:val="24"/>
        </w:rPr>
        <w:t>(x)RELIANT TRUST (“</w:t>
      </w:r>
      <w:r>
        <w:rPr>
          <w:rFonts w:ascii="Times New Roman;sans-serif" w:hAnsi="Times New Roman;sans-serif"/>
          <w:b w:val="false"/>
          <w:color w:val="000000"/>
          <w:sz w:val="24"/>
          <w:u w:val="single"/>
        </w:rPr>
        <w:t>Reliant Trust</w:t>
      </w:r>
      <w:r>
        <w:rPr>
          <w:color w:val="000000"/>
        </w:rPr>
        <w:t>”</w:t>
      </w:r>
      <w:r>
        <w:rPr>
          <w:rFonts w:ascii="Times New Roman;sans-serif" w:hAnsi="Times New Roman;sans-serif"/>
          <w:b w:val="false"/>
          <w:color w:val="000000"/>
          <w:sz w:val="24"/>
        </w:rPr>
        <w:t>), as a Conduit Purchaser for TD Bank’s Purchaser Group;</w:t>
      </w:r>
    </w:p>
    <w:p>
      <w:pPr>
        <w:pStyle w:val="TextBody"/>
        <w:bidi w:val="0"/>
        <w:spacing w:lineRule="auto" w:line="240" w:before="0" w:after="120"/>
        <w:ind w:left="0" w:right="0" w:hanging="720"/>
        <w:jc w:val="both"/>
        <w:rPr/>
      </w:pPr>
      <w:r>
        <w:rPr>
          <w:rFonts w:ascii="Times New Roman;sans-serif" w:hAnsi="Times New Roman;sans-serif"/>
          <w:b w:val="false"/>
          <w:color w:val="000000"/>
          <w:sz w:val="24"/>
        </w:rPr>
        <w:t>(xi)GTA FUNDING LLC (“</w:t>
      </w:r>
      <w:r>
        <w:rPr>
          <w:rFonts w:ascii="Times New Roman;sans-serif" w:hAnsi="Times New Roman;sans-serif"/>
          <w:b w:val="false"/>
          <w:color w:val="000000"/>
          <w:sz w:val="24"/>
          <w:u w:val="single"/>
        </w:rPr>
        <w:t>GTA Funding</w:t>
      </w:r>
      <w:r>
        <w:rPr>
          <w:color w:val="000000"/>
        </w:rPr>
        <w:t>”</w:t>
      </w:r>
      <w:r>
        <w:rPr>
          <w:rFonts w:ascii="Times New Roman;sans-serif" w:hAnsi="Times New Roman;sans-serif"/>
          <w:b w:val="false"/>
          <w:color w:val="000000"/>
          <w:sz w:val="24"/>
        </w:rPr>
        <w:t>), as a Conduit Purchaser for TD Bank’s Purchaser Group;</w:t>
      </w:r>
    </w:p>
    <w:p>
      <w:pPr>
        <w:pStyle w:val="TextBody"/>
        <w:bidi w:val="0"/>
        <w:spacing w:lineRule="auto" w:line="240" w:before="0" w:after="120"/>
        <w:ind w:left="0" w:right="0" w:hanging="720"/>
        <w:jc w:val="both"/>
        <w:rPr/>
      </w:pPr>
      <w:r>
        <w:rPr>
          <w:rFonts w:ascii="Times New Roman;sans-serif" w:hAnsi="Times New Roman;sans-serif"/>
          <w:b w:val="false"/>
          <w:color w:val="000000"/>
          <w:sz w:val="24"/>
        </w:rPr>
        <w:t>(xii)THE BANK OF NOVA SCOTIA (“</w:t>
      </w:r>
      <w:r>
        <w:rPr>
          <w:rFonts w:ascii="Times New Roman;sans-serif" w:hAnsi="Times New Roman;sans-serif"/>
          <w:b w:val="false"/>
          <w:color w:val="000000"/>
          <w:sz w:val="24"/>
          <w:u w:val="single"/>
        </w:rPr>
        <w:t>Scotia</w:t>
      </w:r>
      <w:r>
        <w:rPr>
          <w:color w:val="000000"/>
        </w:rPr>
        <w:t>”</w:t>
      </w:r>
      <w:r>
        <w:rPr>
          <w:rFonts w:ascii="Times New Roman;sans-serif" w:hAnsi="Times New Roman;sans-serif"/>
          <w:b w:val="false"/>
          <w:color w:val="000000"/>
          <w:sz w:val="24"/>
        </w:rPr>
        <w:t>), as a Committed Purchaser and as the Purchaser Agent for its and Liberty Street’s Purchaser Group;</w:t>
      </w:r>
    </w:p>
    <w:p>
      <w:pPr>
        <w:pStyle w:val="TextBody"/>
        <w:bidi w:val="0"/>
        <w:spacing w:lineRule="auto" w:line="240" w:before="0" w:after="12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(xiii)LIBERTY STREET FUNDING LLC, as a Conduit Purchaser for Scotia’s Purchaser Group; and</w:t>
      </w:r>
    </w:p>
    <w:p>
      <w:pPr>
        <w:pStyle w:val="TextBody"/>
        <w:bidi w:val="0"/>
        <w:spacing w:lineRule="auto" w:line="240" w:before="0" w:after="240"/>
        <w:ind w:left="0" w:right="0" w:hanging="720"/>
        <w:jc w:val="both"/>
        <w:rPr/>
      </w:pPr>
      <w:r>
        <w:rPr>
          <w:rFonts w:ascii="Times New Roman;sans-serif" w:hAnsi="Times New Roman;sans-serif"/>
          <w:b w:val="false"/>
          <w:color w:val="000000"/>
          <w:sz w:val="24"/>
        </w:rPr>
        <w:t>(xiv)PNC BANK, NATIONAL ASSOCIATION, as Administrator</w:t>
        <w:br/>
        <w:t>(in such capacity, the “</w:t>
      </w:r>
      <w:r>
        <w:rPr>
          <w:rFonts w:ascii="Times New Roman;sans-serif" w:hAnsi="Times New Roman;sans-serif"/>
          <w:b w:val="false"/>
          <w:color w:val="000000"/>
          <w:sz w:val="24"/>
          <w:u w:val="single"/>
        </w:rPr>
        <w:t>Administrator</w:t>
      </w:r>
      <w:r>
        <w:rPr>
          <w:color w:val="000000"/>
        </w:rPr>
        <w:t>”</w:t>
      </w:r>
      <w:r>
        <w:rPr>
          <w:rFonts w:ascii="Times New Roman;sans-serif" w:hAnsi="Times New Roman;sans-serif"/>
          <w:b w:val="false"/>
          <w:color w:val="000000"/>
          <w:sz w:val="24"/>
        </w:rPr>
        <w:t>).</w:t>
      </w:r>
    </w:p>
    <w:p>
      <w:pPr>
        <w:pStyle w:val="TextBody"/>
        <w:bidi w:val="0"/>
        <w:spacing w:before="0" w:after="240"/>
        <w:jc w:val="both"/>
        <w:rPr/>
      </w:pPr>
      <w:r>
        <w:rPr/>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BACKGROUND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A.    The parties hereto are parties to that certain Fifth Amended and Restated Receivables Purchase Agreement dated as of November 14, 2014 (as amended, restated, supplemented or otherwise modified through the date hereof, the “</w:t>
      </w:r>
      <w:r>
        <w:rPr>
          <w:rFonts w:ascii="Times New Roman;sans-serif" w:hAnsi="Times New Roman;sans-serif"/>
          <w:b w:val="false"/>
          <w:color w:val="000000"/>
          <w:sz w:val="24"/>
          <w:u w:val="single"/>
        </w:rPr>
        <w:t xml:space="preserve">Receivables Purchase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628650"/>
                <wp:effectExtent l="0" t="0" r="0" b="0"/>
                <wp:wrapNone/>
                <wp:docPr id="120" name="Frame11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r>
                                    <w:br w:type="page"/>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Capitalized terms used and not otherwise defined herein have the respective meaning assigned to such terms in the Receivables Purchase Agreement.</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parties hereto desire to amend the Receivables Purchase Agreement on the terms and subject to the conditions set forth herein.</w:t>
      </w:r>
    </w:p>
    <w:p>
      <w:pPr>
        <w:pStyle w:val="TextBody"/>
        <w:bidi w:val="0"/>
        <w:spacing w:lineRule="auto" w:line="240" w:before="0" w:after="240"/>
        <w:ind w:left="0" w:right="0" w:firstLine="729"/>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for good and valuable consideration, the receipt and sufficiency of which are hereby acknowledged, the parties hereto hereby agree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1.</w:t>
      </w:r>
      <w:r>
        <w:rPr>
          <w:color w:val="000000"/>
        </w:rPr>
        <w:t xml:space="preserve"> </w:t>
      </w:r>
      <w:r>
        <w:rPr>
          <w:rFonts w:ascii="Times New Roman;sans-serif" w:hAnsi="Times New Roman;sans-serif"/>
          <w:b w:val="false"/>
          <w:color w:val="000000"/>
          <w:sz w:val="24"/>
          <w:u w:val="single"/>
        </w:rPr>
        <w:t>Amendments to the Receivables Purchase Agreement</w:t>
      </w:r>
      <w:r>
        <w:rPr>
          <w:rFonts w:ascii="Times New Roman;sans-serif" w:hAnsi="Times New Roman;sans-serif"/>
          <w:b w:val="false"/>
          <w:color w:val="000000"/>
          <w:sz w:val="24"/>
        </w:rPr>
        <w:t xml:space="preserve">. The Receivables Purchase Agreement is hereby amended to incorporate the changes shown on the marked pages of the Receivables Purchase Agreement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2.</w:t>
      </w:r>
      <w:r>
        <w:rPr>
          <w:rFonts w:ascii="Times New Roman;sans-serif" w:hAnsi="Times New Roman;sans-serif"/>
          <w:b w:val="false"/>
          <w:color w:val="000000"/>
          <w:sz w:val="24"/>
          <w:u w:val="single"/>
        </w:rPr>
        <w:t>Representations and Warranties of the Seller and Servicer</w:t>
      </w:r>
      <w:r>
        <w:rPr>
          <w:rFonts w:ascii="Times New Roman;sans-serif" w:hAnsi="Times New Roman;sans-serif"/>
          <w:b w:val="false"/>
          <w:color w:val="000000"/>
          <w:sz w:val="24"/>
        </w:rPr>
        <w:t>. Each of the Seller and the Servicer hereby represents and warrants, as to itself, to each of the Administrator, each Purchaser and each Purchaser Agent as follows as of the date hereof:</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representations and warranties made by it in the Transaction Documents are true and correct as of the date hereof (unless stated to relate solely to an earlier date, in which case such representations or warranties were true and correct as of such earlier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(b)no event has occurred and is continuing, or would result from the transactions contemplated hereby, that constitutes a Termination Event or an Unmatured Termination Event, and the</w:t>
      </w:r>
      <w:r>
        <w:rPr>
          <w:color w:val="000000"/>
        </w:rPr>
        <w:t xml:space="preserve"> </w:t>
      </w:r>
      <w:r>
        <w:rPr>
          <w:rFonts w:ascii="Times New Roman;sans-serif" w:hAnsi="Times New Roman;sans-serif"/>
          <w:b w:val="false"/>
          <w:color w:val="000000"/>
          <w:sz w:val="24"/>
        </w:rPr>
        <w:t>Facility Termination Date has not occurred;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(c)the execution and delivery by such Person of this Amendment, and the performance of each of its obligations under this Amendment and the Receivables Purchase Agreement, as amended hereby, are within each of its corporate powers and have been duly authorized by all necessary corporate action on its part; and</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(d)this Amendment and the Receivables Purchase Agreement, as amended hereby, are such Person’s valid and legally binding obligations, enforceable in accordance with its terms.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3.</w:t>
      </w:r>
      <w:r>
        <w:rPr>
          <w:rFonts w:ascii="Times New Roman;sans-serif" w:hAnsi="Times New Roman;sans-serif"/>
          <w:b w:val="false"/>
          <w:color w:val="000000"/>
          <w:sz w:val="24"/>
          <w:u w:val="single"/>
        </w:rPr>
        <w:t>Effect of Amendment</w:t>
      </w:r>
      <w:r>
        <w:rPr>
          <w:rFonts w:ascii="Times New Roman;sans-serif" w:hAnsi="Times New Roman;sans-serif"/>
          <w:b w:val="false"/>
          <w:color w:val="000000"/>
          <w:sz w:val="24"/>
        </w:rPr>
        <w:t>. All provisions of the Receivables Purchase Agreement, as expressly amended and modified by this Amendment, shall remain in full force and effect. After this Amendment becomes effective, all references in the Receivables Purchase Agreement (or in any other Transaction Document) to “this Receivables Purchase Agreement”, “this Agreement”, “hereof”, “herein” or words of similar effect referring to the Receivables Purchase Agreement shall be deemed to be references to the Receivables Purchase Agreement as amended by this Amendment. This Amendment shall not be deemed, either expressly or impliedly, to waive, amend or supplement any provision of the Receivables Purchase Agreement other than as set forth herein.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4.</w:t>
      </w:r>
      <w:r>
        <w:rPr>
          <w:rFonts w:ascii="Times New Roman;sans-serif" w:hAnsi="Times New Roman;sans-serif"/>
          <w:b w:val="false"/>
          <w:color w:val="000000"/>
          <w:sz w:val="24"/>
          <w:u w:val="single"/>
        </w:rPr>
        <w:t>Effectiveness</w:t>
      </w:r>
      <w:r>
        <w:rPr>
          <w:rFonts w:ascii="Times New Roman;sans-serif" w:hAnsi="Times New Roman;sans-serif"/>
          <w:b w:val="false"/>
          <w:color w:val="000000"/>
          <w:sz w:val="24"/>
        </w:rPr>
        <w:t xml:space="preserve">. This Amendment shall be effective as of the date hereof and upon satisfaction of the following conditions precedent: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(a)the Administrator’s receipt of counterparts of this Amendment, duly executed by each of the parties hereto; and </w: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(b)the Administrator’s receipt of such other agreements, documents, opinions, and instruments as the Administrator shall request.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628650"/>
                <wp:effectExtent l="0" t="0" r="0" b="0"/>
                <wp:wrapNone/>
                <wp:docPr id="121" name="Frame12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r>
                                    <w:br w:type="page"/>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5.</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 This Amendment shall be binding upon, and inure to the benefit of, the parties hereto and their respective successors and assigns. This Amendment may be executed in any number of counterparts and by different parties on separate counterparts, each of which when so executed shall be deemed to be an original and all of which when taken together shall constitute but one and the same instrument. Delivery of an executed counterpart of a signature page to this Amendment by facsimile or electronic transmission shall be effective as delivery of a manually executed counterpart hereof.</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6.</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AMENDMENT SHALL BE DEEMED TO BE A CONTRACT MADE UNDER AND GOVERNED BY THE INTERNAL LAWS OF THE STATE OF NEW YORK (INCLUDING FOR SUCH PURPOSE SECTIONS 5-1401 AND 5-1402 OF THE GENERAL OBLIGATIONS LAW OF THE STATE OF NEW YORK).</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7.</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one or more of the agreements, provisions or terms of this Amendment shall for any reason whatsoever be held invalid or unenforceable, then such agreements, provisions or terms shall be deemed severable from the remaining agreements, provisions and terms of this Amendment and shall in no way affect the validity or enforceability of the provisions of this Amendment or the Receivables Purchase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SECTION 8.</w:t>
      </w:r>
      <w:r>
        <w:rPr>
          <w:rFonts w:ascii="Times New Roman;sans-serif" w:hAnsi="Times New Roman;sans-serif"/>
          <w:b w:val="false"/>
          <w:color w:val="000000"/>
          <w:sz w:val="24"/>
          <w:u w:val="single"/>
        </w:rPr>
        <w:t>Section Headings</w:t>
      </w:r>
      <w:r>
        <w:rPr>
          <w:rFonts w:ascii="Times New Roman;sans-serif" w:hAnsi="Times New Roman;sans-serif"/>
          <w:b w:val="false"/>
          <w:color w:val="000000"/>
          <w:sz w:val="24"/>
        </w:rPr>
        <w:t>. The various headings of this Amendment are included for convenience only and shall not affect the meaning or interpretation of this Amendment, the Receivables Purchase Agreement or any provision hereof or thereof.</w:t>
      </w:r>
    </w:p>
    <w:p>
      <w:pPr>
        <w:pStyle w:val="TextBody"/>
        <w:bidi w:val="0"/>
        <w:spacing w:before="0" w:after="0"/>
        <w:jc w:val="left"/>
        <w:rPr/>
      </w:pPr>
      <w:r>
        <w:rPr/>
      </w:r>
    </w:p>
    <w:p>
      <w:pPr>
        <w:pStyle w:val="TextBody"/>
        <w:bidi w:val="0"/>
        <w:spacing w:lineRule="auto" w:line="240"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[Signatures begin on next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628650"/>
                <wp:effectExtent l="0" t="0" r="0" b="0"/>
                <wp:wrapNone/>
                <wp:docPr id="122" name="Frame12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2393"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r>
                                    <w:br w:type="page"/>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481.35pt;mso-position-horizontal:left;mso-position-horizontal-relative:text">
                <v:textbox>
                  <w:txbxContent>
                    <w:tbl>
                      <w:tblPr>
                        <w:tblW w:w="2393"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729"/>
        <w:jc w:val="left"/>
        <w:rPr/>
      </w:pPr>
      <w:r>
        <w:rPr/>
      </w:r>
    </w:p>
    <w:p>
      <w:pPr>
        <w:pStyle w:val="TextBody"/>
        <w:bidi w:val="0"/>
        <w:spacing w:lineRule="auto" w:line="240" w:before="0" w:after="240"/>
        <w:ind w:left="0" w:right="0" w:firstLine="729"/>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Amendment by their duly authorized officers as of the date first above written.</w:t>
      </w:r>
    </w:p>
    <w:p>
      <w:pPr>
        <w:pStyle w:val="TextBody"/>
        <w:bidi w:val="0"/>
        <w:spacing w:lineRule="auto" w:line="240" w:before="0" w:after="0"/>
        <w:jc w:val="left"/>
        <w:rPr/>
      </w:pPr>
      <w:r>
        <w:rPr>
          <w:rFonts w:ascii="Times New Roman;sans-serif" w:hAnsi="Times New Roman;sans-serif"/>
          <w:b/>
          <w:color w:val="000000"/>
          <w:sz w:val="24"/>
        </w:rPr>
        <w:t>FLEETCOR FUNDING LLC</w:t>
      </w:r>
      <w:r>
        <w:rPr>
          <w:rFonts w:ascii="Times New Roman;sans-serif" w:hAnsi="Times New Roman;sans-serif"/>
          <w:b w:val="false"/>
          <w:color w:val="000000"/>
          <w:sz w:val="24"/>
        </w:rPr>
        <w:t>, as Seller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480"/>
        <w:jc w:val="left"/>
        <w:rPr/>
      </w:pPr>
      <w:r>
        <w:rPr>
          <w:rFonts w:ascii="Times New Roman;sans-serif" w:hAnsi="Times New Roman;sans-serif"/>
          <w:b/>
          <w:color w:val="000000"/>
          <w:sz w:val="24"/>
        </w:rPr>
        <w:t>FLEETCOR TECHNOLOGIES OPERATING COMPANY, LLC</w:t>
      </w:r>
      <w:r>
        <w:rPr>
          <w:rFonts w:ascii="Times New Roman;sans-serif" w:hAnsi="Times New Roman;sans-serif"/>
          <w:b w:val="false"/>
          <w:color w:val="000000"/>
          <w:sz w:val="24"/>
        </w:rPr>
        <w:t xml:space="preserve">, as Servicer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438785"/>
                <wp:effectExtent l="0" t="0" r="0" b="0"/>
                <wp:wrapNone/>
                <wp:docPr id="123" name="Frame122"/>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lineRule="auto" w:line="240" w:before="0" w:after="0"/>
                              <w:jc w:val="right"/>
                              <w:rPr/>
                            </w:pPr>
                            <w:r>
                              <w:rPr>
                                <w:rFonts w:ascii="Times New Roman;sans-serif" w:hAnsi="Times New Roman;sans-serif"/>
                                <w:b w:val="false"/>
                                <w:color w:val="000000"/>
                                <w:sz w:val="20"/>
                              </w:rPr>
                              <w:t>S-1    </w:t>
                            </w:r>
                            <w:r>
                              <w:rPr>
                                <w:rFonts w:ascii="Times New Roman;sans-serif" w:hAnsi="Times New Roman;sans-serif"/>
                                <w:b w:val="false"/>
                                <w:i/>
                                <w:color w:val="000000"/>
                                <w:sz w:val="20"/>
                              </w:rPr>
                              <w:t>Twelfth Amendment to Fifth Amended and</w:t>
                            </w:r>
                            <w:r>
                              <w:br w:type="page"/>
                            </w:r>
                          </w:p>
                          <w:p>
                            <w:pPr>
                              <w:pStyle w:val="TextBody"/>
                              <w:bidi w:val="0"/>
                              <w:spacing w:lineRule="auto" w:line="240" w:before="0" w:after="0"/>
                              <w:jc w:val="left"/>
                              <w:rPr>
                                <w:color w:val="000000"/>
                              </w:rPr>
                            </w:pPr>
                            <w:r>
                              <w:rPr>
                                <w:color w:val="000000"/>
                              </w:rPr>
                              <w:t>        </w:t>
                            </w:r>
                            <w:r>
                              <w:rPr>
                                <w:rFonts w:ascii="Times New Roman;sans-serif" w:hAnsi="Times New Roman;sans-serif"/>
                                <w:b w:val="false"/>
                                <w:i/>
                                <w:color w:val="000000"/>
                                <w:sz w:val="20"/>
                              </w:rPr>
                              <w:t>Restated Receivables Purchase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right"/>
                        <w:rPr/>
                      </w:pPr>
                      <w:r>
                        <w:rPr>
                          <w:rFonts w:ascii="Times New Roman;sans-serif" w:hAnsi="Times New Roman;sans-serif"/>
                          <w:b w:val="false"/>
                          <w:color w:val="000000"/>
                          <w:sz w:val="20"/>
                        </w:rPr>
                        <w:t>S-1    </w:t>
                      </w:r>
                      <w:r>
                        <w:rPr>
                          <w:rFonts w:ascii="Times New Roman;sans-serif" w:hAnsi="Times New Roman;sans-serif"/>
                          <w:b w:val="false"/>
                          <w:i/>
                          <w:color w:val="000000"/>
                          <w:sz w:val="20"/>
                        </w:rPr>
                        <w:t>Twelfth Amendment to Fifth Amended and</w:t>
                      </w:r>
                    </w:p>
                    <w:p>
                      <w:pPr>
                        <w:pStyle w:val="TextBody"/>
                        <w:bidi w:val="0"/>
                        <w:spacing w:lineRule="auto" w:line="240" w:before="0" w:after="0"/>
                        <w:jc w:val="left"/>
                        <w:rPr>
                          <w:color w:val="000000"/>
                        </w:rPr>
                      </w:pPr>
                      <w:r>
                        <w:rPr>
                          <w:color w:val="000000"/>
                        </w:rPr>
                        <w:t>        </w:t>
                      </w:r>
                      <w:r>
                        <w:rPr>
                          <w:rFonts w:ascii="Times New Roman;sans-serif" w:hAnsi="Times New Roman;sans-serif"/>
                          <w:b w:val="false"/>
                          <w:i/>
                          <w:color w:val="000000"/>
                          <w:sz w:val="20"/>
                        </w:rPr>
                        <w:t>Restated Receivables Purchase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color w:val="000000"/>
          <w:sz w:val="24"/>
        </w:rPr>
        <w:t>PNC BANK, NATIONAL ASSOCIATION</w:t>
      </w:r>
      <w:r>
        <w:rPr>
          <w:rFonts w:ascii="Times New Roman;sans-serif" w:hAnsi="Times New Roman;sans-serif"/>
          <w:b w:val="false"/>
          <w:color w:val="000000"/>
          <w:sz w:val="24"/>
        </w:rPr>
        <w:t>,</w:t>
        <w:br/>
        <w:t>as a Committed Purchaser and as Purchaser Agent for its Purchaser Group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480"/>
        <w:jc w:val="left"/>
        <w:rPr/>
      </w:pPr>
      <w:r>
        <w:rPr>
          <w:rFonts w:ascii="Times New Roman;sans-serif" w:hAnsi="Times New Roman;sans-serif"/>
          <w:b/>
          <w:color w:val="000000"/>
          <w:sz w:val="24"/>
        </w:rPr>
        <w:t>PNC CAPITAL MARKETS LLC</w:t>
      </w:r>
      <w:r>
        <w:rPr>
          <w:rFonts w:ascii="Times New Roman;sans-serif" w:hAnsi="Times New Roman;sans-serif"/>
          <w:b w:val="false"/>
          <w:color w:val="000000"/>
          <w:sz w:val="24"/>
        </w:rPr>
        <w:t>,</w:t>
      </w:r>
    </w:p>
    <w:p>
      <w:pPr>
        <w:pStyle w:val="TextBody"/>
        <w:bidi w:val="0"/>
        <w:spacing w:lineRule="auto" w:line="240" w:before="0" w:after="0"/>
        <w:jc w:val="left"/>
        <w:rPr/>
      </w:pPr>
      <w:r>
        <w:rPr>
          <w:rFonts w:ascii="Times New Roman;sans-serif" w:hAnsi="Times New Roman;sans-serif"/>
          <w:b w:val="false"/>
          <w:color w:val="000000"/>
          <w:sz w:val="24"/>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438785"/>
                <wp:effectExtent l="0" t="0" r="0" b="0"/>
                <wp:wrapNone/>
                <wp:docPr id="124" name="Frame123"/>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lineRule="auto" w:line="240" w:before="0" w:after="0"/>
                              <w:jc w:val="right"/>
                              <w:rPr/>
                            </w:pPr>
                            <w:r>
                              <w:rPr>
                                <w:rFonts w:ascii="Times New Roman;sans-serif" w:hAnsi="Times New Roman;sans-serif"/>
                                <w:b w:val="false"/>
                                <w:color w:val="000000"/>
                                <w:sz w:val="20"/>
                              </w:rPr>
                              <w:t>S-2    </w:t>
                            </w:r>
                            <w:r>
                              <w:rPr>
                                <w:rFonts w:ascii="Times New Roman;sans-serif" w:hAnsi="Times New Roman;sans-serif"/>
                                <w:b w:val="false"/>
                                <w:i/>
                                <w:color w:val="000000"/>
                                <w:sz w:val="20"/>
                              </w:rPr>
                              <w:t>Twelfth Amendment to Fifth Amended and</w:t>
                            </w:r>
                            <w:r>
                              <w:br w:type="page"/>
                            </w:r>
                          </w:p>
                          <w:p>
                            <w:pPr>
                              <w:pStyle w:val="TextBody"/>
                              <w:bidi w:val="0"/>
                              <w:spacing w:lineRule="auto" w:line="240" w:before="0" w:after="0"/>
                              <w:jc w:val="left"/>
                              <w:rPr>
                                <w:color w:val="000000"/>
                              </w:rPr>
                            </w:pPr>
                            <w:r>
                              <w:rPr>
                                <w:color w:val="000000"/>
                              </w:rPr>
                              <w:t>        </w:t>
                            </w:r>
                            <w:r>
                              <w:rPr>
                                <w:rFonts w:ascii="Times New Roman;sans-serif" w:hAnsi="Times New Roman;sans-serif"/>
                                <w:b w:val="false"/>
                                <w:i/>
                                <w:color w:val="000000"/>
                                <w:sz w:val="20"/>
                              </w:rPr>
                              <w:t>Restated Receivables Purchase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right"/>
                        <w:rPr/>
                      </w:pPr>
                      <w:r>
                        <w:rPr>
                          <w:rFonts w:ascii="Times New Roman;sans-serif" w:hAnsi="Times New Roman;sans-serif"/>
                          <w:b w:val="false"/>
                          <w:color w:val="000000"/>
                          <w:sz w:val="20"/>
                        </w:rPr>
                        <w:t>S-2    </w:t>
                      </w:r>
                      <w:r>
                        <w:rPr>
                          <w:rFonts w:ascii="Times New Roman;sans-serif" w:hAnsi="Times New Roman;sans-serif"/>
                          <w:b w:val="false"/>
                          <w:i/>
                          <w:color w:val="000000"/>
                          <w:sz w:val="20"/>
                        </w:rPr>
                        <w:t>Twelfth Amendment to Fifth Amended and</w:t>
                      </w:r>
                    </w:p>
                    <w:p>
                      <w:pPr>
                        <w:pStyle w:val="TextBody"/>
                        <w:bidi w:val="0"/>
                        <w:spacing w:lineRule="auto" w:line="240" w:before="0" w:after="0"/>
                        <w:jc w:val="left"/>
                        <w:rPr>
                          <w:color w:val="000000"/>
                        </w:rPr>
                      </w:pPr>
                      <w:r>
                        <w:rPr>
                          <w:color w:val="000000"/>
                        </w:rPr>
                        <w:t>        </w:t>
                      </w:r>
                      <w:r>
                        <w:rPr>
                          <w:rFonts w:ascii="Times New Roman;sans-serif" w:hAnsi="Times New Roman;sans-serif"/>
                          <w:b w:val="false"/>
                          <w:i/>
                          <w:color w:val="000000"/>
                          <w:sz w:val="20"/>
                        </w:rPr>
                        <w:t>Restated Receivables Purchase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WELLS FARGO BANK, </w:t>
      </w:r>
    </w:p>
    <w:p>
      <w:pPr>
        <w:pStyle w:val="TextBody"/>
        <w:bidi w:val="0"/>
        <w:spacing w:lineRule="auto" w:line="240" w:before="0" w:after="0"/>
        <w:jc w:val="left"/>
        <w:rPr/>
      </w:pPr>
      <w:r>
        <w:rPr>
          <w:rFonts w:ascii="Times New Roman;sans-serif" w:hAnsi="Times New Roman;sans-serif"/>
          <w:b/>
          <w:color w:val="000000"/>
          <w:sz w:val="24"/>
        </w:rPr>
        <w:t>NATIONAL ASSOCIATION</w:t>
      </w:r>
      <w:r>
        <w:rPr>
          <w:rFonts w:ascii="Times New Roman;sans-serif" w:hAnsi="Times New Roman;sans-serif"/>
          <w:b w:val="false"/>
          <w:color w:val="000000"/>
          <w:sz w:val="24"/>
        </w:rPr>
        <w:t>,</w:t>
        <w:br/>
        <w:t>as a Committed Purchaser and as Purchaser Agent for its Purchaser Group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By:______________________________________</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438785"/>
                <wp:effectExtent l="0" t="0" r="0" b="0"/>
                <wp:wrapNone/>
                <wp:docPr id="125" name="Frame124"/>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lineRule="auto" w:line="240" w:before="0" w:after="0"/>
                              <w:jc w:val="right"/>
                              <w:rPr/>
                            </w:pPr>
                            <w:r>
                              <w:rPr>
                                <w:rFonts w:ascii="Times New Roman;sans-serif" w:hAnsi="Times New Roman;sans-serif"/>
                                <w:b w:val="false"/>
                                <w:color w:val="000000"/>
                                <w:sz w:val="20"/>
                              </w:rPr>
                              <w:t>S-3    </w:t>
                            </w:r>
                            <w:r>
                              <w:rPr>
                                <w:rFonts w:ascii="Times New Roman;sans-serif" w:hAnsi="Times New Roman;sans-serif"/>
                                <w:b w:val="false"/>
                                <w:i/>
                                <w:color w:val="000000"/>
                                <w:sz w:val="20"/>
                              </w:rPr>
                              <w:t>Twelfth Amendment to Fifth Amended and</w:t>
                            </w:r>
                            <w:r>
                              <w:br w:type="page"/>
                            </w:r>
                          </w:p>
                          <w:p>
                            <w:pPr>
                              <w:pStyle w:val="TextBody"/>
                              <w:bidi w:val="0"/>
                              <w:spacing w:lineRule="auto" w:line="240" w:before="0" w:after="0"/>
                              <w:jc w:val="left"/>
                              <w:rPr>
                                <w:color w:val="000000"/>
                              </w:rPr>
                            </w:pPr>
                            <w:r>
                              <w:rPr>
                                <w:color w:val="000000"/>
                              </w:rPr>
                              <w:t>        </w:t>
                            </w:r>
                            <w:r>
                              <w:rPr>
                                <w:rFonts w:ascii="Times New Roman;sans-serif" w:hAnsi="Times New Roman;sans-serif"/>
                                <w:b w:val="false"/>
                                <w:i/>
                                <w:color w:val="000000"/>
                                <w:sz w:val="20"/>
                              </w:rPr>
                              <w:t>Restated Receivables Purchase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right"/>
                        <w:rPr/>
                      </w:pPr>
                      <w:r>
                        <w:rPr>
                          <w:rFonts w:ascii="Times New Roman;sans-serif" w:hAnsi="Times New Roman;sans-serif"/>
                          <w:b w:val="false"/>
                          <w:color w:val="000000"/>
                          <w:sz w:val="20"/>
                        </w:rPr>
                        <w:t>S-3    </w:t>
                      </w:r>
                      <w:r>
                        <w:rPr>
                          <w:rFonts w:ascii="Times New Roman;sans-serif" w:hAnsi="Times New Roman;sans-serif"/>
                          <w:b w:val="false"/>
                          <w:i/>
                          <w:color w:val="000000"/>
                          <w:sz w:val="20"/>
                        </w:rPr>
                        <w:t>Twelfth Amendment to Fifth Amended and</w:t>
                      </w:r>
                    </w:p>
                    <w:p>
                      <w:pPr>
                        <w:pStyle w:val="TextBody"/>
                        <w:bidi w:val="0"/>
                        <w:spacing w:lineRule="auto" w:line="240" w:before="0" w:after="0"/>
                        <w:jc w:val="left"/>
                        <w:rPr>
                          <w:color w:val="000000"/>
                        </w:rPr>
                      </w:pPr>
                      <w:r>
                        <w:rPr>
                          <w:color w:val="000000"/>
                        </w:rPr>
                        <w:t>        </w:t>
                      </w:r>
                      <w:r>
                        <w:rPr>
                          <w:rFonts w:ascii="Times New Roman;sans-serif" w:hAnsi="Times New Roman;sans-serif"/>
                          <w:b w:val="false"/>
                          <w:i/>
                          <w:color w:val="000000"/>
                          <w:sz w:val="20"/>
                        </w:rPr>
                        <w:t>Restated Receivables Purchase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color w:val="000000"/>
          <w:sz w:val="24"/>
        </w:rPr>
        <w:t>REGIONS BANK</w:t>
      </w:r>
      <w:r>
        <w:rPr>
          <w:rFonts w:ascii="Times New Roman;sans-serif" w:hAnsi="Times New Roman;sans-serif"/>
          <w:b w:val="false"/>
          <w:color w:val="000000"/>
          <w:sz w:val="24"/>
        </w:rPr>
        <w:t>, as a Committed Purchaser and as Purchaser Agent for its Purchaser Group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By:______________________________________</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438785"/>
                <wp:effectExtent l="0" t="0" r="0" b="0"/>
                <wp:wrapNone/>
                <wp:docPr id="126" name="Frame125"/>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lineRule="auto" w:line="240" w:before="0" w:after="0"/>
                              <w:jc w:val="right"/>
                              <w:rPr/>
                            </w:pPr>
                            <w:r>
                              <w:rPr>
                                <w:rFonts w:ascii="Times New Roman;sans-serif" w:hAnsi="Times New Roman;sans-serif"/>
                                <w:b w:val="false"/>
                                <w:color w:val="000000"/>
                                <w:sz w:val="20"/>
                              </w:rPr>
                              <w:t>S-4    </w:t>
                            </w:r>
                            <w:r>
                              <w:rPr>
                                <w:rFonts w:ascii="Times New Roman;sans-serif" w:hAnsi="Times New Roman;sans-serif"/>
                                <w:b w:val="false"/>
                                <w:i/>
                                <w:color w:val="000000"/>
                                <w:sz w:val="20"/>
                              </w:rPr>
                              <w:t>Twelfth Amendment to Fifth Amended and</w:t>
                            </w:r>
                            <w:r>
                              <w:br w:type="page"/>
                            </w:r>
                          </w:p>
                          <w:p>
                            <w:pPr>
                              <w:pStyle w:val="TextBody"/>
                              <w:bidi w:val="0"/>
                              <w:spacing w:lineRule="auto" w:line="240" w:before="0" w:after="0"/>
                              <w:jc w:val="left"/>
                              <w:rPr>
                                <w:color w:val="000000"/>
                              </w:rPr>
                            </w:pPr>
                            <w:r>
                              <w:rPr>
                                <w:color w:val="000000"/>
                              </w:rPr>
                              <w:t>        </w:t>
                            </w:r>
                            <w:r>
                              <w:rPr>
                                <w:rFonts w:ascii="Times New Roman;sans-serif" w:hAnsi="Times New Roman;sans-serif"/>
                                <w:b w:val="false"/>
                                <w:i/>
                                <w:color w:val="000000"/>
                                <w:sz w:val="20"/>
                              </w:rPr>
                              <w:t>Restated Receivables Purchase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right"/>
                        <w:rPr/>
                      </w:pPr>
                      <w:r>
                        <w:rPr>
                          <w:rFonts w:ascii="Times New Roman;sans-serif" w:hAnsi="Times New Roman;sans-serif"/>
                          <w:b w:val="false"/>
                          <w:color w:val="000000"/>
                          <w:sz w:val="20"/>
                        </w:rPr>
                        <w:t>S-4    </w:t>
                      </w:r>
                      <w:r>
                        <w:rPr>
                          <w:rFonts w:ascii="Times New Roman;sans-serif" w:hAnsi="Times New Roman;sans-serif"/>
                          <w:b w:val="false"/>
                          <w:i/>
                          <w:color w:val="000000"/>
                          <w:sz w:val="20"/>
                        </w:rPr>
                        <w:t>Twelfth Amendment to Fifth Amended and</w:t>
                      </w:r>
                    </w:p>
                    <w:p>
                      <w:pPr>
                        <w:pStyle w:val="TextBody"/>
                        <w:bidi w:val="0"/>
                        <w:spacing w:lineRule="auto" w:line="240" w:before="0" w:after="0"/>
                        <w:jc w:val="left"/>
                        <w:rPr>
                          <w:color w:val="000000"/>
                        </w:rPr>
                      </w:pPr>
                      <w:r>
                        <w:rPr>
                          <w:color w:val="000000"/>
                        </w:rPr>
                        <w:t>        </w:t>
                      </w:r>
                      <w:r>
                        <w:rPr>
                          <w:rFonts w:ascii="Times New Roman;sans-serif" w:hAnsi="Times New Roman;sans-serif"/>
                          <w:b w:val="false"/>
                          <w:i/>
                          <w:color w:val="000000"/>
                          <w:sz w:val="20"/>
                        </w:rPr>
                        <w:t>Restated Receivables Purchase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color w:val="000000"/>
          <w:sz w:val="24"/>
        </w:rPr>
        <w:t>MUFG BANK,</w:t>
      </w:r>
      <w:r>
        <w:rPr>
          <w:color w:val="000000"/>
        </w:rPr>
        <w:t xml:space="preserve"> </w:t>
      </w:r>
      <w:r>
        <w:rPr>
          <w:rFonts w:ascii="Times New Roman;sans-serif" w:hAnsi="Times New Roman;sans-serif"/>
          <w:b/>
          <w:color w:val="000000"/>
          <w:sz w:val="24"/>
        </w:rPr>
        <w:t>LTD.</w:t>
      </w:r>
      <w:r>
        <w:rPr>
          <w:rFonts w:ascii="Times New Roman;sans-serif" w:hAnsi="Times New Roman;sans-serif"/>
          <w:b w:val="false"/>
          <w:color w:val="000000"/>
          <w:sz w:val="24"/>
        </w:rPr>
        <w:t xml:space="preserve">, as a Committed Purchaser </w:t>
        <w:br/>
        <w:br/>
        <w:b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b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VICTORY RECEIVABLES CORPORATION</w:t>
      </w:r>
      <w:r>
        <w:rPr>
          <w:rFonts w:ascii="Times New Roman;sans-serif" w:hAnsi="Times New Roman;sans-serif"/>
          <w:b w:val="false"/>
          <w:color w:val="000000"/>
          <w:sz w:val="24"/>
        </w:rPr>
        <w:t>,</w:t>
        <w:br/>
        <w:t>as a Conduit Purchaser for MUFG Bank, Ltd.’s Purchaser Group</w:t>
        <w:br/>
        <w:br/>
        <w:b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b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MUFG BANK,</w:t>
      </w:r>
      <w:r>
        <w:rPr>
          <w:color w:val="000000"/>
        </w:rPr>
        <w:t xml:space="preserve"> </w:t>
      </w:r>
      <w:r>
        <w:rPr>
          <w:rFonts w:ascii="Times New Roman;sans-serif" w:hAnsi="Times New Roman;sans-serif"/>
          <w:b/>
          <w:color w:val="000000"/>
          <w:sz w:val="24"/>
        </w:rPr>
        <w:t>LTD.</w:t>
      </w:r>
      <w:r>
        <w:rPr>
          <w:rFonts w:ascii="Times New Roman;sans-serif" w:hAnsi="Times New Roman;sans-serif"/>
          <w:b w:val="false"/>
          <w:color w:val="000000"/>
          <w:sz w:val="24"/>
        </w:rPr>
        <w:t>, as Purchaser Agent for its and Victory Receivables Corporation’s Purchaser Group</w:t>
        <w:br/>
        <w:br/>
        <w:b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br/>
        <w:t>Title:</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438785"/>
                <wp:effectExtent l="0" t="0" r="0" b="0"/>
                <wp:wrapNone/>
                <wp:docPr id="127" name="Frame126"/>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lineRule="auto" w:line="240" w:before="0" w:after="0"/>
                              <w:jc w:val="right"/>
                              <w:rPr/>
                            </w:pPr>
                            <w:r>
                              <w:rPr>
                                <w:rFonts w:ascii="Times New Roman;sans-serif" w:hAnsi="Times New Roman;sans-serif"/>
                                <w:b w:val="false"/>
                                <w:color w:val="000000"/>
                                <w:sz w:val="20"/>
                              </w:rPr>
                              <w:t>S-5    </w:t>
                            </w:r>
                            <w:r>
                              <w:rPr>
                                <w:rFonts w:ascii="Times New Roman;sans-serif" w:hAnsi="Times New Roman;sans-serif"/>
                                <w:b w:val="false"/>
                                <w:i/>
                                <w:color w:val="000000"/>
                                <w:sz w:val="20"/>
                              </w:rPr>
                              <w:t>Twelfth Amendment to Fifth Amended and</w:t>
                            </w:r>
                            <w:r>
                              <w:br w:type="page"/>
                            </w:r>
                          </w:p>
                          <w:p>
                            <w:pPr>
                              <w:pStyle w:val="TextBody"/>
                              <w:bidi w:val="0"/>
                              <w:spacing w:lineRule="auto" w:line="240" w:before="0" w:after="0"/>
                              <w:jc w:val="left"/>
                              <w:rPr>
                                <w:color w:val="000000"/>
                              </w:rPr>
                            </w:pPr>
                            <w:r>
                              <w:rPr>
                                <w:color w:val="000000"/>
                              </w:rPr>
                              <w:t>        </w:t>
                            </w:r>
                            <w:r>
                              <w:rPr>
                                <w:rFonts w:ascii="Times New Roman;sans-serif" w:hAnsi="Times New Roman;sans-serif"/>
                                <w:b w:val="false"/>
                                <w:i/>
                                <w:color w:val="000000"/>
                                <w:sz w:val="20"/>
                              </w:rPr>
                              <w:t>Restated Receivables Purchase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right"/>
                        <w:rPr/>
                      </w:pPr>
                      <w:r>
                        <w:rPr>
                          <w:rFonts w:ascii="Times New Roman;sans-serif" w:hAnsi="Times New Roman;sans-serif"/>
                          <w:b w:val="false"/>
                          <w:color w:val="000000"/>
                          <w:sz w:val="20"/>
                        </w:rPr>
                        <w:t>S-5    </w:t>
                      </w:r>
                      <w:r>
                        <w:rPr>
                          <w:rFonts w:ascii="Times New Roman;sans-serif" w:hAnsi="Times New Roman;sans-serif"/>
                          <w:b w:val="false"/>
                          <w:i/>
                          <w:color w:val="000000"/>
                          <w:sz w:val="20"/>
                        </w:rPr>
                        <w:t>Twelfth Amendment to Fifth Amended and</w:t>
                      </w:r>
                    </w:p>
                    <w:p>
                      <w:pPr>
                        <w:pStyle w:val="TextBody"/>
                        <w:bidi w:val="0"/>
                        <w:spacing w:lineRule="auto" w:line="240" w:before="0" w:after="0"/>
                        <w:jc w:val="left"/>
                        <w:rPr>
                          <w:color w:val="000000"/>
                        </w:rPr>
                      </w:pPr>
                      <w:r>
                        <w:rPr>
                          <w:color w:val="000000"/>
                        </w:rPr>
                        <w:t>        </w:t>
                      </w:r>
                      <w:r>
                        <w:rPr>
                          <w:rFonts w:ascii="Times New Roman;sans-serif" w:hAnsi="Times New Roman;sans-serif"/>
                          <w:b w:val="false"/>
                          <w:i/>
                          <w:color w:val="000000"/>
                          <w:sz w:val="20"/>
                        </w:rPr>
                        <w:t>Restated Receivables Purchase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color w:val="000000"/>
          <w:sz w:val="24"/>
        </w:rPr>
        <w:t>MIZUHO BANK, LTD.</w:t>
      </w:r>
      <w:r>
        <w:rPr>
          <w:rFonts w:ascii="Times New Roman;sans-serif" w:hAnsi="Times New Roman;sans-serif"/>
          <w:b w:val="false"/>
          <w:color w:val="000000"/>
          <w:sz w:val="24"/>
        </w:rPr>
        <w:t>, as a Committed Purchaser and as Purchaser Agent for its Purchaser Group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By:______________________________________</w:t>
        <w:br/>
        <w:t xml:space="preserve">Name: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w:t>
      </w:r>
    </w:p>
    <w:p>
      <w:pPr>
        <w:pStyle w:val="TextBody"/>
        <w:bidi w:val="0"/>
        <w:spacing w:before="0" w:after="0"/>
        <w:jc w:val="left"/>
        <w:rPr/>
      </w:pPr>
      <w:r>
        <w:rPr/>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438785"/>
                <wp:effectExtent l="0" t="0" r="0" b="0"/>
                <wp:wrapNone/>
                <wp:docPr id="128" name="Frame127"/>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lineRule="auto" w:line="240" w:before="0" w:after="0"/>
                              <w:jc w:val="right"/>
                              <w:rPr/>
                            </w:pPr>
                            <w:r>
                              <w:rPr>
                                <w:rFonts w:ascii="Times New Roman;sans-serif" w:hAnsi="Times New Roman;sans-serif"/>
                                <w:b w:val="false"/>
                                <w:color w:val="000000"/>
                                <w:sz w:val="20"/>
                              </w:rPr>
                              <w:t>S-6    </w:t>
                            </w:r>
                            <w:r>
                              <w:rPr>
                                <w:rFonts w:ascii="Times New Roman;sans-serif" w:hAnsi="Times New Roman;sans-serif"/>
                                <w:b w:val="false"/>
                                <w:i/>
                                <w:color w:val="000000"/>
                                <w:sz w:val="20"/>
                              </w:rPr>
                              <w:t>Twelfth Amendment to Fifth Amended and</w:t>
                            </w:r>
                            <w:r>
                              <w:br w:type="page"/>
                            </w:r>
                          </w:p>
                          <w:p>
                            <w:pPr>
                              <w:pStyle w:val="TextBody"/>
                              <w:bidi w:val="0"/>
                              <w:spacing w:lineRule="auto" w:line="240" w:before="0" w:after="0"/>
                              <w:jc w:val="left"/>
                              <w:rPr>
                                <w:color w:val="000000"/>
                              </w:rPr>
                            </w:pPr>
                            <w:r>
                              <w:rPr>
                                <w:color w:val="000000"/>
                              </w:rPr>
                              <w:t>        </w:t>
                            </w:r>
                            <w:r>
                              <w:rPr>
                                <w:rFonts w:ascii="Times New Roman;sans-serif" w:hAnsi="Times New Roman;sans-serif"/>
                                <w:b w:val="false"/>
                                <w:i/>
                                <w:color w:val="000000"/>
                                <w:sz w:val="20"/>
                              </w:rPr>
                              <w:t>Restated Receivables Purchase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right"/>
                        <w:rPr/>
                      </w:pPr>
                      <w:r>
                        <w:rPr>
                          <w:rFonts w:ascii="Times New Roman;sans-serif" w:hAnsi="Times New Roman;sans-serif"/>
                          <w:b w:val="false"/>
                          <w:color w:val="000000"/>
                          <w:sz w:val="20"/>
                        </w:rPr>
                        <w:t>S-6    </w:t>
                      </w:r>
                      <w:r>
                        <w:rPr>
                          <w:rFonts w:ascii="Times New Roman;sans-serif" w:hAnsi="Times New Roman;sans-serif"/>
                          <w:b w:val="false"/>
                          <w:i/>
                          <w:color w:val="000000"/>
                          <w:sz w:val="20"/>
                        </w:rPr>
                        <w:t>Twelfth Amendment to Fifth Amended and</w:t>
                      </w:r>
                    </w:p>
                    <w:p>
                      <w:pPr>
                        <w:pStyle w:val="TextBody"/>
                        <w:bidi w:val="0"/>
                        <w:spacing w:lineRule="auto" w:line="240" w:before="0" w:after="0"/>
                        <w:jc w:val="left"/>
                        <w:rPr>
                          <w:color w:val="000000"/>
                        </w:rPr>
                      </w:pPr>
                      <w:r>
                        <w:rPr>
                          <w:color w:val="000000"/>
                        </w:rPr>
                        <w:t>        </w:t>
                      </w:r>
                      <w:r>
                        <w:rPr>
                          <w:rFonts w:ascii="Times New Roman;sans-serif" w:hAnsi="Times New Roman;sans-serif"/>
                          <w:b w:val="false"/>
                          <w:i/>
                          <w:color w:val="000000"/>
                          <w:sz w:val="20"/>
                        </w:rPr>
                        <w:t>Restated Receivables Purchase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color w:val="000000"/>
          <w:sz w:val="24"/>
        </w:rPr>
        <w:t>THE TORONTO-DOMINION BANK</w:t>
      </w:r>
      <w:r>
        <w:rPr>
          <w:rFonts w:ascii="Times New Roman;sans-serif" w:hAnsi="Times New Roman;sans-serif"/>
          <w:b w:val="false"/>
          <w:color w:val="000000"/>
          <w:sz w:val="24"/>
        </w:rPr>
        <w:t xml:space="preserve">, as a Committed Purchaser </w:t>
        <w:br/>
        <w:br/>
        <w:b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b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COMPUTERSHARE TRUST COMPANY OF CANADA</w:t>
      </w:r>
      <w:r>
        <w:rPr>
          <w:rFonts w:ascii="Times New Roman;sans-serif" w:hAnsi="Times New Roman;sans-serif"/>
          <w:b w:val="false"/>
          <w:color w:val="000000"/>
          <w:sz w:val="24"/>
        </w:rPr>
        <w:t xml:space="preserve">, in its capacity as trustee of </w:t>
      </w:r>
      <w:r>
        <w:rPr>
          <w:rFonts w:ascii="Times New Roman;sans-serif" w:hAnsi="Times New Roman;sans-serif"/>
          <w:b/>
          <w:color w:val="000000"/>
          <w:sz w:val="24"/>
        </w:rPr>
        <w:t>RELIANT TRUST</w:t>
      </w:r>
      <w:r>
        <w:rPr>
          <w:rFonts w:ascii="Times New Roman;sans-serif" w:hAnsi="Times New Roman;sans-serif"/>
          <w:b w:val="false"/>
          <w:color w:val="000000"/>
          <w:sz w:val="24"/>
        </w:rPr>
        <w:t xml:space="preserve">, by its U.S. Financial Services Agent, </w:t>
      </w:r>
      <w:r>
        <w:rPr>
          <w:rFonts w:ascii="Times New Roman;sans-serif" w:hAnsi="Times New Roman;sans-serif"/>
          <w:b/>
          <w:color w:val="000000"/>
          <w:sz w:val="24"/>
        </w:rPr>
        <w:t>THE TORONTO-DOMINION BANK</w:t>
      </w:r>
      <w:r>
        <w:rPr>
          <w:rFonts w:ascii="Times New Roman;sans-serif" w:hAnsi="Times New Roman;sans-serif"/>
          <w:b w:val="false"/>
          <w:color w:val="000000"/>
          <w:sz w:val="24"/>
        </w:rPr>
        <w:t>, as a Conduit Purchaser for The Toronto-Dominion Bank’s Purchaser Group</w:t>
        <w:br/>
        <w:br/>
        <w:b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b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GTA FUNDING LLC</w:t>
      </w:r>
      <w:r>
        <w:rPr>
          <w:rFonts w:ascii="Times New Roman;sans-serif" w:hAnsi="Times New Roman;sans-serif"/>
          <w:b w:val="false"/>
          <w:color w:val="000000"/>
          <w:sz w:val="24"/>
        </w:rPr>
        <w:t xml:space="preserve">, </w:t>
      </w:r>
    </w:p>
    <w:p>
      <w:pPr>
        <w:pStyle w:val="TextBody"/>
        <w:bidi w:val="0"/>
        <w:spacing w:lineRule="auto" w:line="240" w:before="0" w:after="0"/>
        <w:jc w:val="left"/>
        <w:rPr/>
      </w:pPr>
      <w:r>
        <w:rPr>
          <w:rFonts w:ascii="Times New Roman;sans-serif" w:hAnsi="Times New Roman;sans-serif"/>
          <w:b w:val="false"/>
          <w:color w:val="000000"/>
          <w:sz w:val="24"/>
        </w:rPr>
        <w:t>as a Conduit Purchaser for The Toronto-Dominion Bank’s Purchaser Group</w:t>
        <w:br/>
        <w:br/>
        <w:b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b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THE TORONTO-DOMINION BANK</w:t>
      </w:r>
      <w:r>
        <w:rPr>
          <w:rFonts w:ascii="Times New Roman;sans-serif" w:hAnsi="Times New Roman;sans-serif"/>
          <w:b w:val="false"/>
          <w:color w:val="000000"/>
          <w:sz w:val="24"/>
        </w:rPr>
        <w:t>, as Purchaser Agent for its, GTA Funding’s and Reliant Trust’s Purchaser Group</w:t>
        <w:br/>
        <w:br/>
        <w:b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br/>
        <w:t>Title:</w:t>
      </w:r>
    </w:p>
    <w:p>
      <w:pPr>
        <w:pStyle w:val="TextBody"/>
        <w:bidi w:val="0"/>
        <w:spacing w:before="0" w:after="0"/>
        <w:jc w:val="left"/>
        <w:rPr/>
      </w:pPr>
      <w:r>
        <w:rPr/>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438785"/>
                <wp:effectExtent l="0" t="0" r="0" b="0"/>
                <wp:wrapNone/>
                <wp:docPr id="129" name="Frame128"/>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lineRule="auto" w:line="240" w:before="0" w:after="0"/>
                              <w:jc w:val="right"/>
                              <w:rPr/>
                            </w:pPr>
                            <w:r>
                              <w:rPr>
                                <w:rFonts w:ascii="Times New Roman;sans-serif" w:hAnsi="Times New Roman;sans-serif"/>
                                <w:b w:val="false"/>
                                <w:color w:val="000000"/>
                                <w:sz w:val="20"/>
                              </w:rPr>
                              <w:t>S-7    </w:t>
                            </w:r>
                            <w:r>
                              <w:rPr>
                                <w:rFonts w:ascii="Times New Roman;sans-serif" w:hAnsi="Times New Roman;sans-serif"/>
                                <w:b w:val="false"/>
                                <w:i/>
                                <w:color w:val="000000"/>
                                <w:sz w:val="20"/>
                              </w:rPr>
                              <w:t>Twelfth Amendment to Fifth Amended and</w:t>
                            </w:r>
                            <w:r>
                              <w:br w:type="page"/>
                            </w:r>
                          </w:p>
                          <w:p>
                            <w:pPr>
                              <w:pStyle w:val="TextBody"/>
                              <w:bidi w:val="0"/>
                              <w:spacing w:lineRule="auto" w:line="240" w:before="0" w:after="0"/>
                              <w:jc w:val="left"/>
                              <w:rPr>
                                <w:color w:val="000000"/>
                              </w:rPr>
                            </w:pPr>
                            <w:r>
                              <w:rPr>
                                <w:color w:val="000000"/>
                              </w:rPr>
                              <w:t>        </w:t>
                            </w:r>
                            <w:r>
                              <w:rPr>
                                <w:rFonts w:ascii="Times New Roman;sans-serif" w:hAnsi="Times New Roman;sans-serif"/>
                                <w:b w:val="false"/>
                                <w:i/>
                                <w:color w:val="000000"/>
                                <w:sz w:val="20"/>
                              </w:rPr>
                              <w:t>Restated Receivables Purchase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right"/>
                        <w:rPr/>
                      </w:pPr>
                      <w:r>
                        <w:rPr>
                          <w:rFonts w:ascii="Times New Roman;sans-serif" w:hAnsi="Times New Roman;sans-serif"/>
                          <w:b w:val="false"/>
                          <w:color w:val="000000"/>
                          <w:sz w:val="20"/>
                        </w:rPr>
                        <w:t>S-7    </w:t>
                      </w:r>
                      <w:r>
                        <w:rPr>
                          <w:rFonts w:ascii="Times New Roman;sans-serif" w:hAnsi="Times New Roman;sans-serif"/>
                          <w:b w:val="false"/>
                          <w:i/>
                          <w:color w:val="000000"/>
                          <w:sz w:val="20"/>
                        </w:rPr>
                        <w:t>Twelfth Amendment to Fifth Amended and</w:t>
                      </w:r>
                    </w:p>
                    <w:p>
                      <w:pPr>
                        <w:pStyle w:val="TextBody"/>
                        <w:bidi w:val="0"/>
                        <w:spacing w:lineRule="auto" w:line="240" w:before="0" w:after="0"/>
                        <w:jc w:val="left"/>
                        <w:rPr>
                          <w:color w:val="000000"/>
                        </w:rPr>
                      </w:pPr>
                      <w:r>
                        <w:rPr>
                          <w:color w:val="000000"/>
                        </w:rPr>
                        <w:t>        </w:t>
                      </w:r>
                      <w:r>
                        <w:rPr>
                          <w:rFonts w:ascii="Times New Roman;sans-serif" w:hAnsi="Times New Roman;sans-serif"/>
                          <w:b w:val="false"/>
                          <w:i/>
                          <w:color w:val="000000"/>
                          <w:sz w:val="20"/>
                        </w:rPr>
                        <w:t>Restated Receivables Purchase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color w:val="000000"/>
          <w:sz w:val="24"/>
        </w:rPr>
        <w:t>THE BANK OF NOVA SCOTIA</w:t>
      </w:r>
      <w:r>
        <w:rPr>
          <w:rFonts w:ascii="Times New Roman;sans-serif" w:hAnsi="Times New Roman;sans-serif"/>
          <w:b w:val="false"/>
          <w:color w:val="000000"/>
          <w:sz w:val="24"/>
        </w:rPr>
        <w:t xml:space="preserve">, as a Committed Purchaser </w:t>
        <w:br/>
        <w:br/>
        <w:br/>
        <w:t>By:____________________________________</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b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LIBERTY STREET FUNDING LLC</w:t>
      </w:r>
      <w:r>
        <w:rPr>
          <w:rFonts w:ascii="Times New Roman;sans-serif" w:hAnsi="Times New Roman;sans-serif"/>
          <w:b w:val="false"/>
          <w:color w:val="000000"/>
          <w:sz w:val="24"/>
        </w:rPr>
        <w:t>, as a Conduit Purchaser for The Bank of Nova Scotia’s Purchaser Group</w:t>
        <w:br/>
        <w:br/>
        <w:b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b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color w:val="000000"/>
          <w:sz w:val="24"/>
        </w:rPr>
        <w:t>THE BANK OF NOVA SCOTIA</w:t>
      </w:r>
      <w:r>
        <w:rPr>
          <w:rFonts w:ascii="Times New Roman;sans-serif" w:hAnsi="Times New Roman;sans-serif"/>
          <w:b w:val="false"/>
          <w:color w:val="000000"/>
          <w:sz w:val="24"/>
        </w:rPr>
        <w:t>, as Purchaser Agent for its and Liberty Street Funding LLC’s Purchaser Group</w:t>
        <w:br/>
        <w:br/>
        <w:br/>
        <w:t>By:____________________________________</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b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438785"/>
                <wp:effectExtent l="0" t="0" r="0" b="0"/>
                <wp:wrapNone/>
                <wp:docPr id="130" name="Frame129"/>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lineRule="auto" w:line="240" w:before="0" w:after="0"/>
                              <w:jc w:val="right"/>
                              <w:rPr/>
                            </w:pPr>
                            <w:r>
                              <w:rPr>
                                <w:rFonts w:ascii="Times New Roman;sans-serif" w:hAnsi="Times New Roman;sans-serif"/>
                                <w:b w:val="false"/>
                                <w:color w:val="000000"/>
                                <w:sz w:val="20"/>
                              </w:rPr>
                              <w:t>S-8    </w:t>
                            </w:r>
                            <w:r>
                              <w:rPr>
                                <w:rFonts w:ascii="Times New Roman;sans-serif" w:hAnsi="Times New Roman;sans-serif"/>
                                <w:b w:val="false"/>
                                <w:i/>
                                <w:color w:val="000000"/>
                                <w:sz w:val="20"/>
                              </w:rPr>
                              <w:t>Twelfth Amendment to Fifth Amended and</w:t>
                            </w:r>
                            <w:r>
                              <w:br w:type="page"/>
                            </w:r>
                          </w:p>
                          <w:p>
                            <w:pPr>
                              <w:pStyle w:val="TextBody"/>
                              <w:bidi w:val="0"/>
                              <w:spacing w:lineRule="auto" w:line="240" w:before="0" w:after="0"/>
                              <w:jc w:val="left"/>
                              <w:rPr>
                                <w:color w:val="000000"/>
                              </w:rPr>
                            </w:pPr>
                            <w:r>
                              <w:rPr>
                                <w:color w:val="000000"/>
                              </w:rPr>
                              <w:t>        </w:t>
                            </w:r>
                            <w:r>
                              <w:rPr>
                                <w:rFonts w:ascii="Times New Roman;sans-serif" w:hAnsi="Times New Roman;sans-serif"/>
                                <w:b w:val="false"/>
                                <w:i/>
                                <w:color w:val="000000"/>
                                <w:sz w:val="20"/>
                              </w:rPr>
                              <w:t>Restated Receivables Purchase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right"/>
                        <w:rPr/>
                      </w:pPr>
                      <w:r>
                        <w:rPr>
                          <w:rFonts w:ascii="Times New Roman;sans-serif" w:hAnsi="Times New Roman;sans-serif"/>
                          <w:b w:val="false"/>
                          <w:color w:val="000000"/>
                          <w:sz w:val="20"/>
                        </w:rPr>
                        <w:t>S-8    </w:t>
                      </w:r>
                      <w:r>
                        <w:rPr>
                          <w:rFonts w:ascii="Times New Roman;sans-serif" w:hAnsi="Times New Roman;sans-serif"/>
                          <w:b w:val="false"/>
                          <w:i/>
                          <w:color w:val="000000"/>
                          <w:sz w:val="20"/>
                        </w:rPr>
                        <w:t>Twelfth Amendment to Fifth Amended and</w:t>
                      </w:r>
                    </w:p>
                    <w:p>
                      <w:pPr>
                        <w:pStyle w:val="TextBody"/>
                        <w:bidi w:val="0"/>
                        <w:spacing w:lineRule="auto" w:line="240" w:before="0" w:after="0"/>
                        <w:jc w:val="left"/>
                        <w:rPr>
                          <w:color w:val="000000"/>
                        </w:rPr>
                      </w:pPr>
                      <w:r>
                        <w:rPr>
                          <w:color w:val="000000"/>
                        </w:rPr>
                        <w:t>        </w:t>
                      </w:r>
                      <w:r>
                        <w:rPr>
                          <w:rFonts w:ascii="Times New Roman;sans-serif" w:hAnsi="Times New Roman;sans-serif"/>
                          <w:b w:val="false"/>
                          <w:i/>
                          <w:color w:val="000000"/>
                          <w:sz w:val="20"/>
                        </w:rPr>
                        <w:t>Restated Receivables Purchase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PNC BANK, NATIONAL ASSOCIATION,</w:t>
        <w:br/>
        <w:t>as Administrator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24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438785"/>
                <wp:effectExtent l="0" t="0" r="0" b="0"/>
                <wp:wrapNone/>
                <wp:docPr id="131" name="Frame130"/>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lineRule="auto" w:line="240" w:before="0" w:after="0"/>
                              <w:jc w:val="right"/>
                              <w:rPr/>
                            </w:pPr>
                            <w:r>
                              <w:rPr>
                                <w:rFonts w:ascii="Times New Roman;sans-serif" w:hAnsi="Times New Roman;sans-serif"/>
                                <w:b w:val="false"/>
                                <w:color w:val="000000"/>
                                <w:sz w:val="20"/>
                              </w:rPr>
                              <w:t>S-9    </w:t>
                            </w:r>
                            <w:r>
                              <w:rPr>
                                <w:rFonts w:ascii="Times New Roman;sans-serif" w:hAnsi="Times New Roman;sans-serif"/>
                                <w:b w:val="false"/>
                                <w:i/>
                                <w:color w:val="000000"/>
                                <w:sz w:val="20"/>
                              </w:rPr>
                              <w:t>Twelfth Amendment to Fifth Amended and</w:t>
                            </w:r>
                            <w:r>
                              <w:br w:type="page"/>
                            </w:r>
                          </w:p>
                          <w:p>
                            <w:pPr>
                              <w:pStyle w:val="TextBody"/>
                              <w:bidi w:val="0"/>
                              <w:spacing w:lineRule="auto" w:line="240" w:before="0" w:after="0"/>
                              <w:jc w:val="left"/>
                              <w:rPr>
                                <w:color w:val="000000"/>
                              </w:rPr>
                            </w:pPr>
                            <w:r>
                              <w:rPr>
                                <w:color w:val="000000"/>
                              </w:rPr>
                              <w:t>        </w:t>
                            </w:r>
                            <w:r>
                              <w:rPr>
                                <w:rFonts w:ascii="Times New Roman;sans-serif" w:hAnsi="Times New Roman;sans-serif"/>
                                <w:b w:val="false"/>
                                <w:i/>
                                <w:color w:val="000000"/>
                                <w:sz w:val="20"/>
                              </w:rPr>
                              <w:t>Restated Receivables Purchase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right"/>
                        <w:rPr/>
                      </w:pPr>
                      <w:r>
                        <w:rPr>
                          <w:rFonts w:ascii="Times New Roman;sans-serif" w:hAnsi="Times New Roman;sans-serif"/>
                          <w:b w:val="false"/>
                          <w:color w:val="000000"/>
                          <w:sz w:val="20"/>
                        </w:rPr>
                        <w:t>S-9    </w:t>
                      </w:r>
                      <w:r>
                        <w:rPr>
                          <w:rFonts w:ascii="Times New Roman;sans-serif" w:hAnsi="Times New Roman;sans-serif"/>
                          <w:b w:val="false"/>
                          <w:i/>
                          <w:color w:val="000000"/>
                          <w:sz w:val="20"/>
                        </w:rPr>
                        <w:t>Twelfth Amendment to Fifth Amended and</w:t>
                      </w:r>
                    </w:p>
                    <w:p>
                      <w:pPr>
                        <w:pStyle w:val="TextBody"/>
                        <w:bidi w:val="0"/>
                        <w:spacing w:lineRule="auto" w:line="240" w:before="0" w:after="0"/>
                        <w:jc w:val="left"/>
                        <w:rPr>
                          <w:color w:val="000000"/>
                        </w:rPr>
                      </w:pPr>
                      <w:r>
                        <w:rPr>
                          <w:color w:val="000000"/>
                        </w:rPr>
                        <w:t>        </w:t>
                      </w:r>
                      <w:r>
                        <w:rPr>
                          <w:rFonts w:ascii="Times New Roman;sans-serif" w:hAnsi="Times New Roman;sans-serif"/>
                          <w:b w:val="false"/>
                          <w:i/>
                          <w:color w:val="000000"/>
                          <w:sz w:val="20"/>
                        </w:rPr>
                        <w:t>Restated Receivables Purchase Agreement</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v:textbox>
                <w10:wrap type="none"/>
              </v:rect>
            </w:pict>
          </mc:Fallback>
        </mc:AlternateContent>
      </w:r>
    </w:p>
    <w:p>
      <w:pPr>
        <w:pStyle w:val="TextBody"/>
        <w:bidi w:val="0"/>
        <w:spacing w:lineRule="auto" w:line="240" w:before="0" w:after="480"/>
        <w:jc w:val="center"/>
        <w:rPr>
          <w:rFonts w:ascii="Times New Roman;sans-serif" w:hAnsi="Times New Roman;sans-serif"/>
          <w:b/>
          <w:color w:val="000000"/>
          <w:sz w:val="24"/>
        </w:rPr>
      </w:pPr>
      <w:r>
        <w:rPr>
          <w:rFonts w:ascii="Times New Roman;sans-serif" w:hAnsi="Times New Roman;sans-serif"/>
          <w:b/>
          <w:color w:val="000000"/>
          <w:sz w:val="24"/>
        </w:rPr>
        <w:t>EXHIBIT A</w:t>
        <w:br/>
        <w:br/>
        <w:t>AMENDED AND RESTATED RECEIVABLES PURCHASE AGREEMENT</w:t>
      </w:r>
    </w:p>
    <w:p>
      <w:pPr>
        <w:pStyle w:val="TextBody"/>
        <w:bidi w:val="0"/>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[See Attached]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i/>
          <w:color w:val="000000"/>
          <w:sz w:val="22"/>
        </w:rPr>
      </w:pPr>
      <w:r>
        <w:rPr>
          <w:rFonts w:ascii="Times New Roman;sans-serif" w:hAnsi="Times New Roman;sans-serif"/>
          <w:b/>
          <w:i/>
          <w:color w:val="000000"/>
          <w:sz w:val="22"/>
        </w:rPr>
        <w:t>EXECUTION VERSION</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438785"/>
                <wp:effectExtent l="0" t="0" r="0" b="0"/>
                <wp:wrapNone/>
                <wp:docPr id="132" name="Frame131"/>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365.75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Exhibit A</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760009625 04351262</w:t>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FOURTEENTH AMENDMENT TO CREDIT AGREEMENT</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January 31, 2024</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among</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FLEETCOR TECHNOLOGIES OPERATING COMPANY, LLC,</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as the Company,</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FLEETCOR TECHNOLOGIES, INC.,</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as the Parent,</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THE DESIGNATED BORROWERS PARTY HERETO,</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CAMBRIDGE MERCANTILE CORP. (U.S.A.),</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as the Additional Borrower,</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THE OTHER GUARANTORS PARTY HERETO,</w:t>
      </w:r>
    </w:p>
    <w:p>
      <w:pPr>
        <w:pStyle w:val="TextBody"/>
        <w:bidi w:val="0"/>
        <w:spacing w:lineRule="auto" w:line="240"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THE INCREMENTAL LENDERS PARTY HERETO,</w:t>
      </w:r>
    </w:p>
    <w:p>
      <w:pPr>
        <w:pStyle w:val="TextBody"/>
        <w:bidi w:val="0"/>
        <w:spacing w:lineRule="auto" w:line="240" w:before="0" w:after="12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BANK OF AMERICA, N.A.,</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as Administrative Agent, a Domestic Swing Line Lender, and the L/C Issuer</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BOFA SECURITIES, INC.,</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PNC CAPITAL MARKETS, LLC,</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TD SECURITIES (USA) LLC,</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WELLS FARGO SECURITIES, LLC,</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as Joint Lead Arrangers and Joint Bookrunners</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FIFTH THIRD BANK, NATIONAL ASSOCIATION,</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BMO BANK N.A.,</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BANK OF NOVA SCOTIA,</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CITIZENS BANK, N.A.,</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as Co-Documentation Agents</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BARCLAYS BANK PLC,</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CITIBANK, N.A.,</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as Co-Managing Agents</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FOURTEENTH AMENDMENT TO CREDIT AGREEMENT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THIS FOURTEENTH AMENDMENT TO CREDIT AGREEMENT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dated as of January 31, 2024 (the “</w:t>
      </w:r>
      <w:r>
        <w:rPr>
          <w:rFonts w:ascii="Times New Roman;sans-serif" w:hAnsi="Times New Roman;sans-serif"/>
          <w:b w:val="false"/>
          <w:color w:val="000000"/>
          <w:sz w:val="22"/>
          <w:u w:val="single"/>
        </w:rPr>
        <w:t>Fourteenth Amendment Effective Date</w:t>
      </w:r>
      <w:r>
        <w:rPr>
          <w:color w:val="000000"/>
        </w:rPr>
        <w:t>”</w:t>
      </w:r>
      <w:r>
        <w:rPr>
          <w:rFonts w:ascii="Times New Roman;sans-serif" w:hAnsi="Times New Roman;sans-serif"/>
          <w:b w:val="false"/>
          <w:color w:val="000000"/>
          <w:sz w:val="22"/>
        </w:rPr>
        <w:t>) is entered into among FleetCor Technologies Operating Company, LLC, a Louisiana limited liability company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FleetCor Technologies, Inc., a Delaware corporation (the “</w:t>
      </w:r>
      <w:r>
        <w:rPr>
          <w:rFonts w:ascii="Times New Roman;sans-serif" w:hAnsi="Times New Roman;sans-serif"/>
          <w:b w:val="false"/>
          <w:color w:val="000000"/>
          <w:sz w:val="22"/>
          <w:u w:val="single"/>
        </w:rPr>
        <w:t>Parent</w:t>
      </w:r>
      <w:r>
        <w:rPr>
          <w:color w:val="000000"/>
        </w:rPr>
        <w:t>”</w:t>
      </w:r>
      <w:r>
        <w:rPr>
          <w:rFonts w:ascii="Times New Roman;sans-serif" w:hAnsi="Times New Roman;sans-serif"/>
          <w:b w:val="false"/>
          <w:color w:val="000000"/>
          <w:sz w:val="22"/>
        </w:rPr>
        <w:t>), the Designated Borrowers party hereto (including FleetCor Luxembourg Holding2, a private limited liability company (</w:t>
      </w:r>
      <w:r>
        <w:rPr>
          <w:rFonts w:ascii="Times New Roman;sans-serif" w:hAnsi="Times New Roman;sans-serif"/>
          <w:b w:val="false"/>
          <w:i/>
          <w:color w:val="000000"/>
          <w:sz w:val="22"/>
        </w:rPr>
        <w:t>société à responsabilité limitée</w:t>
      </w:r>
      <w:r>
        <w:rPr>
          <w:rFonts w:ascii="Times New Roman;sans-serif" w:hAnsi="Times New Roman;sans-serif"/>
          <w:b w:val="false"/>
          <w:color w:val="000000"/>
          <w:sz w:val="22"/>
        </w:rPr>
        <w:t>) incorporated and existing under the laws of the Grand-Duchy of Luxembourg, having its registered office at 15, boulevard F.W. Raiffeisen, L-2411 Luxembourg, Grand Duchy of Luxembourg and registered with the Luxembourg Registry of Trade and Companies (</w:t>
      </w:r>
      <w:r>
        <w:rPr>
          <w:rFonts w:ascii="Times New Roman;sans-serif" w:hAnsi="Times New Roman;sans-serif"/>
          <w:b w:val="false"/>
          <w:i/>
          <w:color w:val="000000"/>
          <w:sz w:val="22"/>
        </w:rPr>
        <w:t>Registre de Commerce et des Sociétés, Luxembourg</w:t>
      </w:r>
      <w:r>
        <w:rPr>
          <w:rFonts w:ascii="Times New Roman;sans-serif" w:hAnsi="Times New Roman;sans-serif"/>
          <w:b w:val="false"/>
          <w:color w:val="000000"/>
          <w:sz w:val="22"/>
        </w:rPr>
        <w:t>) under number B 121.980), Cambridge Mercantile Corp. (U.S.A.), a Delaware corporation (the “</w:t>
      </w:r>
      <w:r>
        <w:rPr>
          <w:rFonts w:ascii="Times New Roman;sans-serif" w:hAnsi="Times New Roman;sans-serif"/>
          <w:b w:val="false"/>
          <w:color w:val="000000"/>
          <w:sz w:val="22"/>
          <w:u w:val="single"/>
        </w:rPr>
        <w:t>Additional Borrower</w:t>
      </w:r>
      <w:r>
        <w:rPr>
          <w:color w:val="000000"/>
        </w:rPr>
        <w:t>”</w:t>
      </w:r>
      <w:r>
        <w:rPr>
          <w:rFonts w:ascii="Times New Roman;sans-serif" w:hAnsi="Times New Roman;sans-serif"/>
          <w:b w:val="false"/>
          <w:color w:val="000000"/>
          <w:sz w:val="22"/>
        </w:rPr>
        <w:t>), the other Guarantors party hereto, the Incremental Lenders (as defined below), and Bank of America, N.A., as Administrative Agent, a Domestic Swing Line Lender, and the L/C Issuer. Capitalized terms used but not otherwise defined herein shall have the meanings given to such terms in the Existing Credit Agreement (as defined below) or the Amended Credit Agreement (as defined below), as applicable.</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RECITALS</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WHEREAS, the Company, the Parent, the Designated Borrowers from time to time party thereto, the Additional Borrower, the Lenders from time to time party thereto, and Bank of America, N.A., as Administrative Agent, L/C Issuer and Swing Line Lender, are parties to that certain Credit Agreement dated as of October 24, 2014 (as amended, modified, supplemented, increased or extended from time to time prior to the Fourteenth Amendment Effective Date, the “</w:t>
      </w:r>
      <w:r>
        <w:rPr>
          <w:rFonts w:ascii="Times New Roman;sans-serif" w:hAnsi="Times New Roman;sans-serif"/>
          <w:b w:val="false"/>
          <w:color w:val="000000"/>
          <w:sz w:val="22"/>
          <w:u w:val="single"/>
        </w:rPr>
        <w:t>Existing Credit Agreement</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WHEREAS, the Company has requested that (a) pursuant to Section 2.02(f)(i) of the Existing Credit Agreement, (i) each Person identified as an “Incremental Revolving A Lender” on the signature pages hereto (each, an “</w:t>
      </w:r>
      <w:r>
        <w:rPr>
          <w:rFonts w:ascii="Times New Roman;sans-serif" w:hAnsi="Times New Roman;sans-serif"/>
          <w:b w:val="false"/>
          <w:color w:val="000000"/>
          <w:sz w:val="22"/>
          <w:u w:val="single"/>
        </w:rPr>
        <w:t>Incremental Revolving A Lender</w:t>
      </w:r>
      <w:r>
        <w:rPr>
          <w:color w:val="000000"/>
        </w:rPr>
        <w:t>”</w:t>
      </w:r>
      <w:r>
        <w:rPr>
          <w:rFonts w:ascii="Times New Roman;sans-serif" w:hAnsi="Times New Roman;sans-serif"/>
          <w:b w:val="false"/>
          <w:color w:val="000000"/>
          <w:sz w:val="22"/>
        </w:rPr>
        <w:t>, and collectively, the “</w:t>
      </w:r>
      <w:r>
        <w:rPr>
          <w:rFonts w:ascii="Times New Roman;sans-serif" w:hAnsi="Times New Roman;sans-serif"/>
          <w:b w:val="false"/>
          <w:color w:val="000000"/>
          <w:sz w:val="22"/>
          <w:u w:val="single"/>
        </w:rPr>
        <w:t>Incremental Revolving A Lenders</w:t>
      </w:r>
      <w:r>
        <w:rPr>
          <w:color w:val="000000"/>
        </w:rPr>
        <w:t>”</w:t>
      </w:r>
      <w:r>
        <w:rPr>
          <w:rFonts w:ascii="Times New Roman;sans-serif" w:hAnsi="Times New Roman;sans-serif"/>
          <w:b w:val="false"/>
          <w:color w:val="000000"/>
          <w:sz w:val="22"/>
        </w:rPr>
        <w:t>) provide a portion of an increase in the Aggregate Revolving A Commitments in the amount of $275,000,000 (referred to herein as the “</w:t>
      </w:r>
      <w:r>
        <w:rPr>
          <w:rFonts w:ascii="Times New Roman;sans-serif" w:hAnsi="Times New Roman;sans-serif"/>
          <w:b w:val="false"/>
          <w:color w:val="000000"/>
          <w:sz w:val="22"/>
          <w:u w:val="single"/>
        </w:rPr>
        <w:t>Fourteenth Amendment Revolving A Increase</w:t>
      </w:r>
      <w:r>
        <w:rPr>
          <w:color w:val="000000"/>
        </w:rPr>
        <w:t>”</w:t>
      </w:r>
      <w:r>
        <w:rPr>
          <w:rFonts w:ascii="Times New Roman;sans-serif" w:hAnsi="Times New Roman;sans-serif"/>
          <w:b w:val="false"/>
          <w:color w:val="000000"/>
          <w:sz w:val="22"/>
        </w:rPr>
        <w:t>) and (ii) the Letter of Sublimit be increased from $100,000,000 to $250,000,000 (the “</w:t>
      </w:r>
      <w:r>
        <w:rPr>
          <w:rFonts w:ascii="Times New Roman;sans-serif" w:hAnsi="Times New Roman;sans-serif"/>
          <w:b w:val="false"/>
          <w:color w:val="000000"/>
          <w:sz w:val="22"/>
          <w:u w:val="single"/>
        </w:rPr>
        <w:t>Letter of Credit Sublimit Increase</w:t>
      </w:r>
      <w:r>
        <w:rPr>
          <w:color w:val="000000"/>
        </w:rPr>
        <w:t>”</w:t>
      </w:r>
      <w:r>
        <w:rPr>
          <w:rFonts w:ascii="Times New Roman;sans-serif" w:hAnsi="Times New Roman;sans-serif"/>
          <w:b w:val="false"/>
          <w:color w:val="000000"/>
          <w:sz w:val="22"/>
        </w:rPr>
        <w:t>), (b) pursuant to Section 2.02(f)(iii) of the Existing Credit Agreement, each Person identified as an “Incremental Term Loan Lender” on the signature pages hereto (each, an “</w:t>
      </w:r>
      <w:r>
        <w:rPr>
          <w:rFonts w:ascii="Times New Roman;sans-serif" w:hAnsi="Times New Roman;sans-serif"/>
          <w:b w:val="false"/>
          <w:color w:val="000000"/>
          <w:sz w:val="22"/>
          <w:u w:val="single"/>
        </w:rPr>
        <w:t>Incremental Term Loan Lender</w:t>
      </w:r>
      <w:r>
        <w:rPr>
          <w:color w:val="000000"/>
        </w:rPr>
        <w:t>”</w:t>
      </w:r>
      <w:r>
        <w:rPr>
          <w:rFonts w:ascii="Times New Roman;sans-serif" w:hAnsi="Times New Roman;sans-serif"/>
          <w:b w:val="false"/>
          <w:color w:val="000000"/>
          <w:sz w:val="22"/>
        </w:rPr>
        <w:t>, and collectively, the “</w:t>
      </w:r>
      <w:r>
        <w:rPr>
          <w:rFonts w:ascii="Times New Roman;sans-serif" w:hAnsi="Times New Roman;sans-serif"/>
          <w:b w:val="false"/>
          <w:color w:val="000000"/>
          <w:sz w:val="22"/>
          <w:u w:val="single"/>
        </w:rPr>
        <w:t>Incremental Term Loan Lenders</w:t>
      </w:r>
      <w:r>
        <w:rPr>
          <w:color w:val="000000"/>
        </w:rPr>
        <w:t>”</w:t>
      </w:r>
      <w:r>
        <w:rPr>
          <w:rFonts w:ascii="Times New Roman;sans-serif" w:hAnsi="Times New Roman;sans-serif"/>
          <w:b w:val="false"/>
          <w:color w:val="000000"/>
          <w:sz w:val="22"/>
        </w:rPr>
        <w:t>; together with the Incremental Revolving A Lenders, collectively, the “</w:t>
      </w:r>
      <w:r>
        <w:rPr>
          <w:rFonts w:ascii="Times New Roman;sans-serif" w:hAnsi="Times New Roman;sans-serif"/>
          <w:b w:val="false"/>
          <w:color w:val="000000"/>
          <w:sz w:val="22"/>
          <w:u w:val="single"/>
        </w:rPr>
        <w:t>Incremental Lenders</w:t>
      </w:r>
      <w:r>
        <w:rPr>
          <w:color w:val="000000"/>
        </w:rPr>
        <w:t>”</w:t>
      </w:r>
      <w:r>
        <w:rPr>
          <w:rFonts w:ascii="Times New Roman;sans-serif" w:hAnsi="Times New Roman;sans-serif"/>
          <w:b w:val="false"/>
          <w:color w:val="000000"/>
          <w:sz w:val="22"/>
        </w:rPr>
        <w:t>) provide a portion of an Incremental Term A Loan in the aggregate principal amount of $325,000,000 to the Company (referred to herein as the “</w:t>
      </w:r>
      <w:r>
        <w:rPr>
          <w:rFonts w:ascii="Times New Roman;sans-serif" w:hAnsi="Times New Roman;sans-serif"/>
          <w:b w:val="false"/>
          <w:color w:val="000000"/>
          <w:sz w:val="22"/>
          <w:u w:val="single"/>
        </w:rPr>
        <w:t>Fourteenth Amendment Incremental Term Loan</w:t>
      </w:r>
      <w:r>
        <w:rPr>
          <w:color w:val="000000"/>
        </w:rPr>
        <w:t>”</w:t>
      </w:r>
      <w:r>
        <w:rPr>
          <w:rFonts w:ascii="Times New Roman;sans-serif" w:hAnsi="Times New Roman;sans-serif"/>
          <w:b w:val="false"/>
          <w:color w:val="000000"/>
          <w:sz w:val="22"/>
        </w:rPr>
        <w:t>, and together with the Fourteenth Amendment Revolving A Increase, collectively, the “</w:t>
      </w:r>
      <w:r>
        <w:rPr>
          <w:rFonts w:ascii="Times New Roman;sans-serif" w:hAnsi="Times New Roman;sans-serif"/>
          <w:b w:val="false"/>
          <w:color w:val="000000"/>
          <w:sz w:val="22"/>
          <w:u w:val="single"/>
        </w:rPr>
        <w:t>Fourteenth Amendment Incremental Facilities</w:t>
      </w:r>
      <w:r>
        <w:rPr>
          <w:color w:val="000000"/>
        </w:rPr>
        <w:t>”</w:t>
      </w:r>
      <w:r>
        <w:rPr>
          <w:rFonts w:ascii="Times New Roman;sans-serif" w:hAnsi="Times New Roman;sans-serif"/>
          <w:b w:val="false"/>
          <w:color w:val="000000"/>
          <w:sz w:val="22"/>
        </w:rPr>
        <w:t>), which Fourteenth Amendment Incremental Term Loan shall constitute an increase to the Term A Loan, and (c) the Existing Credit Agreement be amended as set forth below in order to establish the Fourteenth Amendment Incremental Facilities on terms consistent with and/or to effect the provisions of Section 2.02(f) of the Existing Credit Agreement, in each case, subject to the terms and conditions specified in this Amendment and the Amended Credit Agreement; and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WHEREAS, (a) each Incremental Revolving A Lender has agreed to provide a portion of the Fourteenth Amendment Revolving A Increase on the Fourteenth Amendment Effective Date and to the extent such Incremental Revolving A Lender is a New Lender (as defined below), to become a “Revolving A Lender” under the Amended Credit Agreement in connection therewith, (b) the L/C Issuer has agreed to permit the Letter of Credit Sublimit Increase, (c) each Incremental Term Loan Lender has agreed to provide a portion of the Fourteenth Amendment Incremental Term Loan and to become an “Incremental Term Loan Lender” and a “Term A Lender” under the Amended Credit Agreement in connection therewith, and (d) each party hereto is willing to amend the Existing Credit Agreement as set forth below, in each case, subject to the terms and conditions specified in this Amendment and the Amended Credit Agreement.</w:t>
      </w:r>
    </w:p>
    <w:p>
      <w:pPr>
        <w:pStyle w:val="TextBody"/>
        <w:bidi w:val="0"/>
        <w:spacing w:lineRule="auto" w:line="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and the mutual covenants contained herein, and for other good and valuable consideration, the receipt and sufficiency of which are hereby acknowledged, the parties hereto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Establishment of Fourteenth Amendment Revolving A Increase</w:t>
      </w:r>
      <w:r>
        <w:rPr>
          <w:rFonts w:ascii="Times New Roman;sans-serif" w:hAnsi="Times New Roman;sans-serif"/>
          <w:b w:val="false"/>
          <w:color w:val="000000"/>
          <w:sz w:val="22"/>
        </w:rPr>
        <w: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(a)    Subject to the terms and conditions set forth herein and in the Amended Credit Agreement, effective as of the Fourteenth Amendment Effective Date, (i) each Incremental Revolving A Lender hereby agrees to increase its existing, or provide an initial, Revolving A Commitment in the amount set forth opposite its name on </w:t>
      </w:r>
      <w:r>
        <w:rPr>
          <w:rFonts w:ascii="Times New Roman;sans-serif" w:hAnsi="Times New Roman;sans-serif"/>
          <w:b w:val="false"/>
          <w:color w:val="000000"/>
          <w:sz w:val="22"/>
          <w:u w:val="single"/>
        </w:rPr>
        <w:t>Schedule 1</w:t>
      </w:r>
      <w:r>
        <w:rPr>
          <w:color w:val="000000"/>
        </w:rPr>
        <w:t xml:space="preserve"> </w:t>
      </w:r>
      <w:r>
        <w:rPr>
          <w:rFonts w:ascii="Times New Roman;sans-serif" w:hAnsi="Times New Roman;sans-serif"/>
          <w:b w:val="false"/>
          <w:color w:val="000000"/>
          <w:sz w:val="22"/>
        </w:rPr>
        <w:t xml:space="preserve">attached hereto under the column “Incremental Revolving A Commitment”, (ii) the Revolving A Commitment and the Applicable Percentage of each Revolving A Lender shall be as set forth opposite its name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attached hereto, and (iii) the Aggregate Revolving A Commitments shall equal $1,275,000,000.</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(b)    Each of the Company and each other Revolving A/B Borrower hereby agrees that, subject to the terms and conditions set forth herein and in the Amended Credit Agreement, upon giving effect to this Amendment, the Company and each other Revolving A/B Borrower shall prepay any Revolving A Loans outstanding on the Fourteenth Amendment Effective Date (and pay any additional amounts required pursuant to Section 3.05 of the Amended Credit Agreement) to the extent necessary to effectuate the modifications contemplated in this Amendment, in each case, such that, after giving effect thereto, (i) each Revolving A Lender will hold its respective Applicable Percentage of the Outstanding Amount of all Revolving A Loans in accordance with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 xml:space="preserve">attached to this Amendment and (ii) the risk participations of each Revolving A Lender in each outstanding Letter of Credit and each outstanding Domestic Swing Line Loan shall be equal to the product of such Lender’s Revolving A Commitment </w:t>
      </w:r>
      <w:r>
        <w:rPr>
          <w:rFonts w:ascii="Times New Roman;sans-serif" w:hAnsi="Times New Roman;sans-serif"/>
          <w:b w:val="false"/>
          <w:color w:val="000000"/>
          <w:sz w:val="22"/>
          <w:u w:val="single"/>
        </w:rPr>
        <w:t>times</w:t>
      </w:r>
      <w:r>
        <w:rPr>
          <w:color w:val="000000"/>
        </w:rPr>
        <w:t xml:space="preserve"> </w:t>
      </w:r>
      <w:r>
        <w:rPr>
          <w:rFonts w:ascii="Times New Roman;sans-serif" w:hAnsi="Times New Roman;sans-serif"/>
          <w:b w:val="false"/>
          <w:color w:val="000000"/>
          <w:sz w:val="22"/>
        </w:rPr>
        <w:t xml:space="preserve">the amount of such Letter of Credit or Domestic Swing Line Loan, as applicable.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Establishment of Fourteenth Amendment Incremental Term Loan</w:t>
      </w:r>
      <w:r>
        <w:rPr>
          <w:rFonts w:ascii="Times New Roman;sans-serif" w:hAnsi="Times New Roman;sans-serif"/>
          <w:b w:val="false"/>
          <w:color w:val="000000"/>
          <w:sz w:val="22"/>
        </w:rPr>
        <w: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(a)    Subject to the terms and conditions set forth herein and in the Amended Credit Agreement, effective as of the Fourteenth Amendment Effective Date, the Fourteenth Amendment Incremental Term Loan is hereby established in an aggregate principal amount of $325,000,000 as an Incremental Term A Loan. Each Incremental Term Loan Lender severally agrees to make its portion of the Fourteenth Amendment Incremental Term Loan in Dollars to the Company as set forth in, and subject to the terms and conditions set forth in, the Amended Credit Agreement. The Term A Loan Commitment and the Applicable Percentage of each Incremental Term Loan Lender, in each case, with respect to the Fourteenth Amendment Incremental Term Loan shall be as set forth opposite its name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attached hereto.</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Fourteenth Amendment Incremental Term Loan shall constitute an increase to, and shall have the same terms as are applicable to, the Initial Term A Loan. Without limiting the foregoing, (i) the Applicable Rate with respect to the Fourteenth Amendment Incremental Term Loan shall be the same as set forth in the Amended Credit Agreement with respect to the Term A Loan, (ii) the Incremental Term Loan Maturity Date with respect to the Fourteenth Amendment Incremental Term Loan shall be the same as set forth in the Amended Credit Agreement with respect to the Term A Loan and (iii) the Company shall repay to the Incremental Term Loan Lenders the principal amount of the Fourteenth Amendment Incremental Term Loan on the terms set forth in the Amended Credit Agreement for repayment of the Term A Loan.</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Amendments to Existing Credit Agreement</w:t>
      </w:r>
      <w:r>
        <w:rPr>
          <w:rFonts w:ascii="Times New Roman;sans-serif" w:hAnsi="Times New Roman;sans-serif"/>
          <w:b w:val="false"/>
          <w:color w:val="000000"/>
          <w:sz w:val="22"/>
        </w:rPr>
        <w: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(a)    The Existing Credit Agreement is hereby amended in its entirety to read in the form attached hereto as </w:t>
      </w:r>
      <w:r>
        <w:rPr>
          <w:rFonts w:ascii="Times New Roman;sans-serif" w:hAnsi="Times New Roman;sans-serif"/>
          <w:b w:val="false"/>
          <w:color w:val="000000"/>
          <w:sz w:val="22"/>
          <w:u w:val="single"/>
        </w:rPr>
        <w:t>Annex A</w:t>
      </w:r>
      <w:r>
        <w:rPr>
          <w:color w:val="000000"/>
        </w:rPr>
        <w:t xml:space="preserve"> </w:t>
      </w:r>
      <w:r>
        <w:rPr>
          <w:rFonts w:ascii="Times New Roman;sans-serif" w:hAnsi="Times New Roman;sans-serif"/>
          <w:b w:val="false"/>
          <w:color w:val="000000"/>
          <w:sz w:val="22"/>
        </w:rPr>
        <w:t>(the Existing Credit Agreement, as so amended, the “</w:t>
      </w:r>
      <w:r>
        <w:rPr>
          <w:rFonts w:ascii="Times New Roman;sans-serif" w:hAnsi="Times New Roman;sans-serif"/>
          <w:b w:val="false"/>
          <w:color w:val="000000"/>
          <w:sz w:val="22"/>
          <w:u w:val="single"/>
        </w:rPr>
        <w:t>Amended Credit Agreement</w:t>
      </w:r>
      <w:r>
        <w:rPr>
          <w:color w:val="000000"/>
        </w:rPr>
        <w:t>”</w:t>
      </w:r>
      <w:r>
        <w:rPr>
          <w:rFonts w:ascii="Times New Roman;sans-serif" w:hAnsi="Times New Roman;sans-serif"/>
          <w:b w:val="false"/>
          <w:color w:val="000000"/>
          <w:sz w:val="22"/>
        </w:rPr>
        <w:t xml:space="preserve">).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(b)    Schedule 2.01 to the Existing Credit Agreement is hereby amended to (i) replace the columns entitled “Revolving A Commitments” and “Applicable Percentage of Revolving A Commitments” and (ii) add new columns entitled “Fourteenth Amendment Incremental Term Loan Commitments” and “Applicable Percentage of Fourteenth Amendment Incremental Term Loan”, in each case, as set forth on </w:t>
      </w:r>
      <w:r>
        <w:rPr>
          <w:rFonts w:ascii="Times New Roman;sans-serif" w:hAnsi="Times New Roman;sans-serif"/>
          <w:b w:val="false"/>
          <w:color w:val="000000"/>
          <w:sz w:val="22"/>
          <w:u w:val="single"/>
        </w:rPr>
        <w:t>Schedule 2.01</w:t>
      </w:r>
      <w:r>
        <w:rPr>
          <w:color w:val="000000"/>
        </w:rPr>
        <w:t xml:space="preserve"> </w:t>
      </w:r>
      <w:r>
        <w:rPr>
          <w:rFonts w:ascii="Times New Roman;sans-serif" w:hAnsi="Times New Roman;sans-serif"/>
          <w:b w:val="false"/>
          <w:color w:val="000000"/>
          <w:sz w:val="22"/>
        </w:rPr>
        <w:t>attached hereto.</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63525"/>
                <wp:effectExtent l="0" t="0" r="0" b="0"/>
                <wp:wrapNone/>
                <wp:docPr id="135" name="Frame134"/>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(c)    Except as set forth in this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all other schedules and exhibits to the Existing Credit Agreement (as amended prior to the Fourteenth Amendment Effective Date) shall not be modified or otherwise affected hereby.</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Conditions Precedent</w:t>
      </w:r>
      <w:r>
        <w:rPr>
          <w:rFonts w:ascii="Times New Roman;sans-serif" w:hAnsi="Times New Roman;sans-serif"/>
          <w:b w:val="false"/>
          <w:color w:val="000000"/>
          <w:sz w:val="22"/>
        </w:rPr>
        <w:t>. This Amendment, and the obligation of each Incremental Lender to increase its Revolving A Commitment and/or make its portion of the Fourteenth Amendment Incremental Term Loan to the Company, as applicable, under this Amendment and the Amended Credit Agreement, shall be effective upon satisfaction of the following conditions precedent:</w:t>
      </w:r>
    </w:p>
    <w:p>
      <w:pPr>
        <w:pStyle w:val="TextBody"/>
        <w:bidi w:val="0"/>
        <w:spacing w:before="0" w:after="0"/>
        <w:jc w:val="both"/>
        <w:rPr/>
      </w:pPr>
      <w:r>
        <w:rPr/>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Receipt by the Administrative Agent of counterparts of this Amendment duly executed by (i) a Responsible Officer of the Company, the Parent, the Designated Borrowers, the Additional Borrower, and the other Guarantors, (ii) each Incremental Lender, (iii) the L/C Issuer, (iv) the Domestic Swing Line Lenders and (v) the Administrative Agent.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Receipt by the Administrative Agent of (i) Revolving Notes dated as of the Fourteenth Amendment Effective Date, executed by a Responsible Officer of each Revolving A/B Borrower, in favor of each Incremental Revolving A Lender requesting a Revolving Note from the Revolving A/Borrowers and (ii) Term Notes dated as of the Fourteenth Amendment Effective Date, executed by a Responsible Officer of the Company, in favor of each Incremental Term Loan Lender requesting a Term Note from the Company.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Receipt by the Administrative Agent of favorable opinions of legal counsel to the Loan Parties, addressed to the Administrative Agent, each Lender, the L/C Issuer, and each Swing Line Lender, and dated as of the Fourteenth Amendment Effective Date, in form and substance satisfactory to the Administrative Agent.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Receipt by the Administrative Agent of a certificate of each Loan Party, in each case, duly executed by a Responsible Officer of each such Loan Party, dated as of the Fourteenth Amendment Effective Date, (i) certifying and attaching the resolutions adopted by such Loan Party approving or consenting to the this Amendment and the transactions contemplated hereby (including the incurrence of the Fourteenth Amendment Incremental Facilities), (ii) certifying and attaching copies of the Organization Documents of such Loan Party, certified to be true and complete as of a recent date by the appropriate Governmental Authority of the state or other jurisdiction of its incorporation or organization, where applicable (or, as to any such Organization Documents that have not been amended, modified or terminated since previously certified to the Administrative Agent, certifying that such Organization Documents have not been amended, modified or terminated since such date and remain in full force and effect, and true and complete, in the form previously delivered to the Administrative Agent on such date), and (iii) certifying as to the incumbency, identity, authority and capacity of each Responsible Officer of such Loan Party authorized to act as a Responsible Officer in connection with this Amendment and the other Loan Documents to which such Loan Party is a party.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Receipt by the Administrative Agent of such documents and certifications as the Administrative Agent may require to evidence that each Loan Party is duly organized or formed, and is validly existing, in good standing and qualified to engage in business in its jurisdiction of organization or formation.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    Receipt by the Administrative Agent of the following: (i) searches of Uniform Commercial Code filings in the jurisdiction of formation of each U.S. Loan Party and each other jurisdiction reasonably required by the Administrative Agent, disclosing no Liens other than Permitted Liens; (ii) searches of ownership of, and Liens on, United States registered intellectual property of each U.S. Loan Party in the appropriate governmental offices, disclosing no Liens other than Permitted Liens; and (iii) duly executed notices of grant of security interest in substantially the form required by the Security Agreement as are necessary, in the Administrative Agent’s discretion, to perfect the Administrative Agent’s security interest in the United States registered intellectual property of the U.S. Loan Parties.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63525"/>
                <wp:effectExtent l="0" t="0" r="0" b="0"/>
                <wp:wrapNone/>
                <wp:docPr id="136" name="Frame135"/>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All boards of directors, governmental, shareholder and material third party consents and approvals necessary in connection with this Amendment and the transactions contemplated hereby (including the incurrence of the Fourteenth Amendment Incremental Facilities) shall have been obtained.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(h)    There shall not have occurred since December 31, 2022 any event or circumstance that has had or could reasonably be expected to have, either individually or in the aggregate, a Material Adverse Effect.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(i)    Receipt by the Administrative Agent of a certificate, dated as of the Fourteenth Amendment Effective Date, signed by a Responsible Officer of the Company certifying as to the satisfaction of the conditions set forth in </w:t>
      </w:r>
      <w:r>
        <w:rPr>
          <w:rFonts w:ascii="Times New Roman;sans-serif" w:hAnsi="Times New Roman;sans-serif"/>
          <w:b w:val="false"/>
          <w:color w:val="000000"/>
          <w:sz w:val="22"/>
          <w:u w:val="single"/>
        </w:rPr>
        <w:t>Sections 4(g)</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(h)</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Section 5(c)(iv)</w:t>
      </w:r>
      <w:r>
        <w:rPr>
          <w:rFonts w:ascii="Times New Roman;sans-serif" w:hAnsi="Times New Roman;sans-serif"/>
          <w:b w:val="false"/>
          <w:color w:val="000000"/>
          <w:sz w:val="22"/>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 xml:space="preserve">(j)    Receipt by the Administrative Agent of (i) a Pro Forma Compliance Certificate, duly executed by a Responsible Officer of the Parent, demonstrating that, upon giving effect to the institution of the Fourteenth Amendment Incremental Facilities on a Pro Forma Basis, the Loan Parties are in compliance with the financial covenants set forth in Section 8.11 of the Existing Credit Agreement as of the end of the most recent fiscal quarter for which the Company was required to deliver financial statements pursuant to Section 7.01(a) or (b) of the Existing Credit Agreement (it being understood and agreed that for purposes of calculating the Consolidated Leverage Ratio under this </w:t>
      </w:r>
      <w:r>
        <w:rPr>
          <w:rFonts w:ascii="Times New Roman;sans-serif" w:hAnsi="Times New Roman;sans-serif"/>
          <w:b w:val="false"/>
          <w:color w:val="000000"/>
          <w:sz w:val="22"/>
          <w:u w:val="single"/>
        </w:rPr>
        <w:t>Section 4(j)</w:t>
      </w:r>
      <w:r>
        <w:rPr>
          <w:color w:val="000000"/>
        </w:rPr>
        <w:t xml:space="preserve"> </w:t>
      </w:r>
      <w:r>
        <w:rPr>
          <w:rFonts w:ascii="Times New Roman;sans-serif" w:hAnsi="Times New Roman;sans-serif"/>
          <w:b w:val="false"/>
          <w:color w:val="000000"/>
          <w:sz w:val="22"/>
        </w:rPr>
        <w:t>the identifiable proceeds of the Fourteenth Amendment Incremental Term Loan and any Revolving Loans advanced on the Fourteenth Amendment Effective Date shall not qualify as Unrestricted Cash for the purposes of clause (a)(ii) of the definition of Consolidated Leverage Ratio in Section 1.01 of the Existing Credit Agreement) and (ii) a certificate, dated as of the Fourteenth Amendment Effective Date, signed by the Parent’s chief financial officer (or other financial officer of the Parent that is a Responsible Officer and is reasonably acceptable to the Administrative Agent) certifying that, after giving effect to this Amendment and any borrowings and other transactions to occur on the Fourteenth Amendment Effective Date, the Parent and its Subsidiaries on a consolidated basis are Solvent.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(k)    Receipt by the Administrative Agent of Loan Notices with respect to the Fourteenth Amendment Incremental Term Loan and any Revolving Loans to be advanced on the Fourteenth Amendment Effective Date in accordance with the requirements of the Amended Credit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(l)    Receipt by the Administrative Agent, each Incremental Lender and each other Lender of all documentation and other information that it has reasonably requested in writing that it has reasonably determined is required by regulatory authorities under applicable “know your customer” and anti-money laundering rules and regulations, including without limitation the PATRIOT Act.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    To the extent any Borrower qualifies as a “legal entity customer” under the Beneficial Ownership Regulation, receipt by the Administrative Agent and each Incremental Lender, to the extent requested by the Administrative Agent or such Incremental Lender, of a Beneficial Ownership Certification in relation to such Borrower.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    Receipt by Bank of America (or any of its designated Affiliates) of any fees owing to Bank of America (or any of its designated Affiliates), the Arrangers, the Administrative Agent, the Incremental Lenders and the Lenders that are required to be paid on or before the Fourteenth Amendment Effective Date.</w:t>
      </w:r>
    </w:p>
    <w:p>
      <w:pPr>
        <w:pStyle w:val="TextBody"/>
        <w:bidi w:val="0"/>
        <w:spacing w:lineRule="auto" w:line="240"/>
        <w:ind w:left="0" w:right="0" w:firstLine="720"/>
        <w:jc w:val="both"/>
        <w:rPr/>
      </w:pPr>
      <w:r>
        <w:rPr>
          <w:rFonts w:ascii="Times New Roman;sans-serif" w:hAnsi="Times New Roman;sans-serif"/>
          <w:b w:val="false"/>
          <w:color w:val="000000"/>
          <w:sz w:val="22"/>
        </w:rPr>
        <w:t xml:space="preserve">(o)    Unless waived by the Administrative Agent, payment by the Company of all fees, charges and disbursements of counsel to the Administrative Agent (directly to such counsel, if so requested by the Administrative Agent) to the extent invoiced prior to or on the Fourteenth Amendment Effective Date,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such additional amounts of such fees, charges and disbursements as shall constitute its reasonable estimate of such fees, charges and disbursements incurred or to be incurred by it through the closing proceedings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that</w:t>
      </w:r>
      <w:r>
        <w:rPr>
          <w:rFonts w:ascii="Times New Roman;sans-serif" w:hAnsi="Times New Roman;sans-serif"/>
          <w:b w:val="false"/>
          <w:color w:val="000000"/>
          <w:sz w:val="22"/>
        </w:rPr>
        <w:t xml:space="preserve">, such estimate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63525"/>
                <wp:effectExtent l="0" t="0" r="0" b="0"/>
                <wp:wrapNone/>
                <wp:docPr id="137" name="Frame136"/>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shall not thereafter preclude a final settling of accounts between the Company and the Administrative Agent).</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 xml:space="preserve">For purposes of determining compliance with the conditions specified in this </w:t>
      </w:r>
      <w:r>
        <w:rPr>
          <w:rFonts w:ascii="Times New Roman;sans-serif" w:hAnsi="Times New Roman;sans-serif"/>
          <w:b w:val="false"/>
          <w:color w:val="000000"/>
          <w:sz w:val="22"/>
          <w:u w:val="single"/>
        </w:rPr>
        <w:t>Section 4</w:t>
      </w:r>
      <w:r>
        <w:rPr>
          <w:rFonts w:ascii="Times New Roman;sans-serif" w:hAnsi="Times New Roman;sans-serif"/>
          <w:b w:val="false"/>
          <w:color w:val="000000"/>
          <w:sz w:val="22"/>
        </w:rPr>
        <w:t>, each Incremental Lender, each Swing Line Lender, and the L/C Issuer that has signed this Amendment shall be deemed to have consented to, approved or accepted or to be satisfied with, each document or other matter required hereunder to be consented to or approved by or acceptable or satisfactory to an Incremental Lender, a Swing Line Lender, or the L/C Issuer unless the Administrative Agent shall have received notice from such Incremental Lender, Swing Line Lender, or the L/C Issuer prior to the Fourteenth Amendment Effective Date specifying its objections.</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5.    </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The Loan Documents, and the obligations of the Loan Parties thereunder, are hereby ratified and confirmed and shall remain in full force and effect according to their terms, as amended hereby.</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Each Loan Party (i) acknowledges and consents to all of the terms and conditions of this Amendment and the transactions contemplated hereby (including the incurrence of the Fourteenth Amendment Incremental Facilities), (ii) affirms all of its obligations under the Loan Documents to which it is a party, and (iii) agrees that this Amendment and all documents executed in connection herewith do not operate to reduce or discharge its obligations under the Loan Documents to which it is a party. Each Loan Party hereby acknowledges that, as of the Fourteenth Amendment Effective Date, the security interests and Liens granted to the Administrative Agent for the benefit of the holders of the Obligations under the Collateral Documents to secure the Obligations are in full force and effect, are properly perfected, and are enforceable in accordance with the terms of the Security Agreement and the other Loan Documents.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Each Loan Party hereby represents and warrants to the Administrative Agent, the Incremental Lenders, the Lenders, the Swing Line Lenders, and the L/C Issuer as follows:</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The execution, delivery and performance by such Loan Party of this Amendment have been duly authorized by all necessary corporate or other organizational action, and do not (A) contravene the terms of any of such Loan Party’s Organization Documents; (B) conflict with or result in any breach or contravention of, or the creation of any Lien under, or require any payment to be made under (1) any material Contractual Obligation to which such Loan Party is a party or affecting such Loan Party or the properties of such Loan Party or any of its Subsidiaries or (2) any order, injunction, writ or decree of any Governmental Authority or any arbitral award to which such Loan Party or its property is subject; or (C) violate any Law.</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This Amendment has been duly executed and delivered by such Loan Party and constitutes such Loan Party’s legal, valid and binding obligation, enforceable in accordance with its terms, subject to laws generally affecting creditors’ rights, to statutes of limitations and to principles of equity.</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(iii)    No approval, consent, exemption, authorization, or other action by, or notice to, or filing with, any Governmental Authority or any other Person is necessary or required in connection with the execution, delivery or performance by, or enforcement against, such Loan Party of this Amendment or the Amended Credit Agreement.</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(iv)    After giving effect to this Amendment: (A) the representations and warranties of such Loan Party set forth in Article VI of the Amended Credit Agreement and in each other Loan Document are true and correct in all material respects (and in all respects if any such representation or warranty is already qualified by materiality) on and as of the Fourteenth Amendment Effective Date with the same effect as if made on and as of the Fourteenth Amendment Effective Date, except to the extent such representations and warranties specifically refer to an earlier date, in which case they shall be true and correct in all material respects (and in all respects if any such representation or warranty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63525"/>
                <wp:effectExtent l="0" t="0" r="0" b="0"/>
                <wp:wrapNone/>
                <wp:docPr id="138" name="Frame137"/>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v:textbox>
                <w10:wrap type="none"/>
              </v:rect>
            </w:pict>
          </mc:Fallback>
        </mc:AlternateContent>
      </w:r>
    </w:p>
    <w:p>
      <w:pPr>
        <w:pStyle w:val="TextBody"/>
        <w:bidi w:val="0"/>
        <w:spacing w:lineRule="auto" w:line="240" w:before="0" w:after="180"/>
        <w:jc w:val="both"/>
        <w:rPr/>
      </w:pPr>
      <w:r>
        <w:rPr>
          <w:rFonts w:ascii="Times New Roman;sans-serif" w:hAnsi="Times New Roman;sans-serif"/>
          <w:b w:val="false"/>
          <w:color w:val="000000"/>
          <w:sz w:val="22"/>
        </w:rPr>
        <w:t xml:space="preserve">is already qualified by materiality) as of such earlier date, and except that for purposes of this </w:t>
      </w:r>
      <w:r>
        <w:rPr>
          <w:rFonts w:ascii="Times New Roman;sans-serif" w:hAnsi="Times New Roman;sans-serif"/>
          <w:b w:val="false"/>
          <w:color w:val="000000"/>
          <w:sz w:val="22"/>
          <w:u w:val="single"/>
        </w:rPr>
        <w:t>Section 5(c)(iv)(A)</w:t>
      </w:r>
      <w:r>
        <w:rPr>
          <w:rFonts w:ascii="Times New Roman;sans-serif" w:hAnsi="Times New Roman;sans-serif"/>
          <w:b w:val="false"/>
          <w:color w:val="000000"/>
          <w:sz w:val="22"/>
        </w:rPr>
        <w:t xml:space="preserve">, the representations and warranties contained in subsections (a) and (b) of Section 6.05 of the Amended Credit Agreement shall be deemed to refer to the most recent financial statements furnished pursuant to subsections (a) and (b), respectively, of Section 7.01 of the Amended Credit Agreement; and (B) no Default has occurred and is continuing or would result from the transactions contemplated by this Amendment. </w:t>
      </w:r>
    </w:p>
    <w:p>
      <w:pPr>
        <w:pStyle w:val="TextBody"/>
        <w:bidi w:val="0"/>
        <w:spacing w:lineRule="auto" w:line="240" w:before="0" w:after="18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(v)    The Persons signing this Amendment as Guarantors include all of the Subsidiaries existing as of the Fourteenth Amendment Effective Date that are required to become Guarantors pursuant to the Existing Credit Agreement on or prior to the Fourteenth Amendment Effective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(d)    Each Person that signs this Amendment as an Incremental Lender and that was not a Lender party to the Existing Credit Agreement immediately prior to the effectiveness of this Amendment (each, a “</w:t>
      </w:r>
      <w:r>
        <w:rPr>
          <w:rFonts w:ascii="Times New Roman;sans-serif" w:hAnsi="Times New Roman;sans-serif"/>
          <w:b w:val="false"/>
          <w:color w:val="000000"/>
          <w:sz w:val="22"/>
          <w:u w:val="single"/>
        </w:rPr>
        <w:t>New Lender</w:t>
      </w:r>
      <w:r>
        <w:rPr>
          <w:color w:val="000000"/>
        </w:rPr>
        <w:t>”</w:t>
      </w:r>
      <w:r>
        <w:rPr>
          <w:rFonts w:ascii="Times New Roman;sans-serif" w:hAnsi="Times New Roman;sans-serif"/>
          <w:b w:val="false"/>
          <w:color w:val="000000"/>
          <w:sz w:val="22"/>
        </w:rPr>
        <w:t>) (i) represents and warrants that (A) it has full power and authority, and has taken all action necessary, to execute and deliver this Amendment and to consummate the transactions contemplated hereby and to become a Lender under the Amended Credit Agreement, (B) it meets all requirements of an Eligible Assignee under the Amended Credit Agreement (subject to receipt of such consents as may be required under the Amended Credit Agreement), (C) from and after the Fourteenth Amendment Effective Date, it shall be bound by the provisions of the Amended Credit Agreement as a Lender thereunder and shall have the obligations of a Lender thereunder, (D) it has received a copy of the Existing Credit Agreement, together with copies of the most recent financial statements delivered pursuant to Section 7.01 thereof, and such other documents and information as it has deemed appropriate to make its own credit analysis and decision to enter into this Amendment and become a Lender under the Amended Credit Agreement, on the basis of which it has made such analysis and decision independently and without reliance on the Administrative Agent or any other Lender, and (E) if it is a Foreign Lender, it has delivered any documentation required to be delivered by it pursuant to the terms of the Amended Credit Agreement; and (ii) agrees that (A) it will, independently and without reliance on the Administrative Agent or any other Lender, and based on such documents and information as it shall deem appropriate at the time, continue to make its own credit decisions in taking or not taking action under the Loan Documents, and (B) it will perform in accordance with their terms all of the obligations which by the terms of the Loan Documents are required to be performed by it as a Lender.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Each of the Administrative Agent and each Loan Party agree that, as of the Fourteenth Amendment Effective Date, each New Lender shall (i) be a party to the Amended Credit Agreement (and, as applicable, the other Loan Documents), (ii) be a “Lender” (and, as applicable, a “Revolving A Lender”, an “Incremental Term Loan Lender”, and/or a “Term A Lender”) for all purposes of the Amended Credit Agreement and the other Loan Documents, and (iii) have the rights and obligations of a Lender (and, as applicable, a “Revolving A Lender”, an “Incremental Term Loan Lender”, and/or a “Term A Lender”) under the Amended Credit Agreement and the other Loan Documents.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The address of each New Lender for purposes of all notices and other communications is as set forth on the Administrative Questionnaire delivered by such New Lender to the Administrative Agent.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Each Lender party hereto represents and warrants that, after giving effect to this Amendment, the representations and warranties of such Lender set forth in the Amended Credit Agreement are true and correct as of the Fourteenth Amendment Effective Date. Each party hereto acknowledges and agrees to the provisions set forth in Section 11.20 of the Amended Credit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(h)    Subject to Section 11.16 of the Amended Credit Agreement, this Amendment may be in the form of an Electronic Record and may be executed using Electronic Signatures (including facsimile and .pdf) and shall be considered an original, and shall have the same legal effect, validity and enforceability as a paper record. This Amendment may be executed in as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263525"/>
                <wp:effectExtent l="0" t="0" r="0" b="0"/>
                <wp:wrapNone/>
                <wp:docPr id="139" name="Frame138"/>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many counterparts as necessary or convenient, including both paper and electronic counterparts, but all such counterparts are one and the same Amendment. The authorization under this </w:t>
      </w:r>
      <w:r>
        <w:rPr>
          <w:rFonts w:ascii="Times New Roman;sans-serif" w:hAnsi="Times New Roman;sans-serif"/>
          <w:b w:val="false"/>
          <w:color w:val="000000"/>
          <w:sz w:val="22"/>
          <w:u w:val="single"/>
        </w:rPr>
        <w:t>Section 5(h)</w:t>
      </w:r>
      <w:r>
        <w:rPr>
          <w:color w:val="000000"/>
        </w:rPr>
        <w:t xml:space="preserve"> </w:t>
      </w:r>
      <w:r>
        <w:rPr>
          <w:rFonts w:ascii="Times New Roman;sans-serif" w:hAnsi="Times New Roman;sans-serif"/>
          <w:b w:val="false"/>
          <w:color w:val="000000"/>
          <w:sz w:val="22"/>
        </w:rPr>
        <w:t>may include use or acceptance by the Administrative Agent, each Incremental Lender, each other Lender, each Swing Line Lender, and the L/C Issuer of a manually signed paper copy of this Amendment which has been converted into electronic form (such as scanned into .pdf format), or an electronically signed copy of this Amendment converted into another format, for transmission, delivery and/or retention.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    This Amendment (i) is a Loan Document, a Lender Joinder Agreement, and an Incremental Facility Amendment and (ii) shall serve as the notice to the Revolving A Lenders required pursuant to Section 2.02(f)(i) of the Existing Credit Agreement with respect to the Letter of Credit Sublimit Increase. The execution, delivery and effectiveness of this Amendment shall not, except as expressly provided herein, operate as a waiver of any right, power or remedy of any Lender or the Administrative Agent under any of the Loan Documents, nor, except as expressly provided herein, constitute a waiver or amendment of any provision of any of the Loan Documents. Upon the effectiveness hereof, all references to the “Credit Agreement” set forth in any other agreement or instrument shall, unless otherwise specifically provided, be references to the Amended Credit Agreement.</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(j)    If any provision of this Amendment is held to be illegal, invalid or unenforceable, (i) the legality, validity and enforceability of the remaining provisions of this Amendment shall not be affected or impaired thereby and (ii)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(k)</w:t>
      </w:r>
      <w:r>
        <w:rPr>
          <w:color w:val="000000"/>
        </w:rPr>
        <w:t>    </w:t>
      </w:r>
      <w:r>
        <w:rPr>
          <w:rFonts w:ascii="Times New Roman;sans-serif" w:hAnsi="Times New Roman;sans-serif"/>
          <w:b/>
          <w:color w:val="000000"/>
          <w:sz w:val="22"/>
        </w:rPr>
        <w:t xml:space="preserve">THIS AMENDMENT AND THE RIGHTS AND OBLIGATIONS OF THE PARTIES HEREUNDER, AND ANY CLAIM, CONTROVERSY, DISPUTE, PROCEEDING OR CAUSE OF ACTION (WHETHER IN CONTRACT, TORT OR OTHERWISE AND WHETHER AT LAW OR IN EQUITY) BASED UPON, ARISING OUT OF OR RELATING TO THIS AMENDMENT AND THE TRANSACTIONS CONTEMPLATED HEREBY, SHALL BE GOVERNED BY, AND CONSTRUED AND INTERPRETED IN ACCORDANCE WITH, THE LAWS OF THE STATE OF NEW YORK. THIS AMENDMENT SHALL BE FURTHER SUBJECT TO THE TERMS AND CONDITIONS OF SECTIONS 11.14 AND 11.15 OF THE AMENDED CREDIT AGREEMENT, THE TERMS OF WHICH ARE INCORPORATED HEREIN BY REFERENCE AS IF FULLY SET FORTH HEREIN. </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63525"/>
                <wp:effectExtent l="0" t="0" r="0" b="0"/>
                <wp:wrapNone/>
                <wp:docPr id="140" name="Frame139"/>
                <a:graphic xmlns:a="http://schemas.openxmlformats.org/drawingml/2006/main">
                  <a:graphicData uri="http://schemas.microsoft.com/office/word/2010/wordprocessingShape">
                    <wps:wsp>
                      <wps:cNvSpPr txBox="1"/>
                      <wps:spPr>
                        <a:xfrm>
                          <a:off x="0" y="0"/>
                          <a:ext cx="6480175" cy="26352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each of the parties hereto has caused a counterpart of this Amendment to be duly executed and delivered by a duly authorized officer as of the date first above written.</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COMPANY:            FLEETCOR TECHNOLOGIES OPERATING COMPANY, LLC,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Louisiana limited liability company</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Ty Miller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Treasurer</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PARENT:            FLEETCOR TECHNOLOGIES, INC.,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Ty Miller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Treasurer</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DESIGNATED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BORROWERS:            FLEETCOR UK ACQUISITION LIMITED,</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private limited company registered in England and Wales</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ALLSTAR BUSINESS SOLUTIONS LIMITED,</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private limited company registered in England and Wales</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FLEETCOR LUXEMBOURG HOLDING2,</w:t>
      </w:r>
    </w:p>
    <w:p>
      <w:pPr>
        <w:pStyle w:val="TextBody"/>
        <w:bidi w:val="0"/>
        <w:spacing w:lineRule="auto" w:line="240" w:before="0" w:after="360"/>
        <w:jc w:val="left"/>
        <w:rPr/>
      </w:pPr>
      <w:r>
        <w:rPr>
          <w:rFonts w:ascii="Times New Roman;sans-serif" w:hAnsi="Times New Roman;sans-serif"/>
          <w:b w:val="false"/>
          <w:color w:val="000000"/>
          <w:sz w:val="22"/>
        </w:rPr>
        <w:t xml:space="preserve">a private limited liability company (a </w:t>
      </w:r>
      <w:r>
        <w:rPr>
          <w:rFonts w:ascii="Times New Roman;sans-serif" w:hAnsi="Times New Roman;sans-serif"/>
          <w:b w:val="false"/>
          <w:i/>
          <w:color w:val="000000"/>
          <w:sz w:val="22"/>
        </w:rPr>
        <w:t>société à responsabilité limitée</w:t>
      </w:r>
      <w:r>
        <w:rPr>
          <w:rFonts w:ascii="Times New Roman;sans-serif" w:hAnsi="Times New Roman;sans-serif"/>
          <w:b w:val="false"/>
          <w:color w:val="000000"/>
          <w:sz w:val="22"/>
        </w:rPr>
        <w:t>) incorporated under the laws of Luxembourg</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ADDITIONAL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BORROWER:            CAMBRIDGE MERCANTILE CORP. (U.S.A.),</w:t>
      </w:r>
    </w:p>
    <w:p>
      <w:pPr>
        <w:pStyle w:val="TextBody"/>
        <w:bidi w:val="0"/>
        <w:spacing w:lineRule="auto" w:line="240" w:before="0" w:after="36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Gary McDonald</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President</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408940"/>
                <wp:effectExtent l="0" t="0" r="0" b="0"/>
                <wp:wrapNone/>
                <wp:docPr id="141" name="Frame140"/>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GUARANTORS:        CFN HOLDING CO.,</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Ty Miller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Treasurer</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CLC GROUP, INC.,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Ty Miller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Treasurer</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CORPORATE LODGING CONSULTANTS, INC.,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Kansas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Ty Miller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Treasurer</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CREW TRANSPORTATION SPECIALISTS, INC.,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Kansas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Ty Miller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Treasurer</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MANNATEC, INC.,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Georgia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Ty Miller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Treasurer</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FLEETCOR FUEL CARDS LLC,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limited liability company</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Ty Miller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Treasurer</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PACIFIC PRIDE SERVICES, LLC,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limited liability company</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Ty Miller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Treasurer</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NVOICEPAY, INC.,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an Oregon corporation</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408940"/>
                <wp:effectExtent l="0" t="0" r="0" b="0"/>
                <wp:wrapNone/>
                <wp:docPr id="142" name="Frame141"/>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Ty Miller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Treasurer</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GEHL COMPANIES, INC.,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Minnesota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Ty Miller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Treasurer</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TA CONNECTIONS MN, LLC,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Minnesota limited liability company</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Ty Miller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Treasurer</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TA CONNECTIONS IL, LLC,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an Illinois limited liability company</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Ty Miller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Treasurer</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FCHC HOLDING COMPANY, LLC,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limited liability company</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John Coughlin</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President</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COMDATA INC.,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Robert E. Kribbs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COMDATA TN, INC.,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Tennessee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Robert E. Kribbs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COMDATA NETWORK, INC. OF CALIFORNIA,</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California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Robert E. Kribbs</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408940"/>
                <wp:effectExtent l="0" t="0" r="0" b="0"/>
                <wp:wrapNone/>
                <wp:docPr id="143" name="Frame142"/>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CAMBRIDGE MERCANTILE CORP. (NEVADA),</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Michael Rockouski</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President</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COMDATA LA, LLC,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Louisiana limited liability company</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By:    Comdata Inc., a Delaware corporation, its sole member</w:t>
      </w:r>
    </w:p>
    <w:p>
      <w:pPr>
        <w:pStyle w:val="TextBody"/>
        <w:bidi w:val="0"/>
        <w:spacing w:lineRule="auto" w:line="240" w:before="0" w:after="0"/>
        <w:ind w:left="0" w:right="0" w:firstLine="144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Name:    Robert E. Kribbs</w:t>
      </w:r>
    </w:p>
    <w:p>
      <w:pPr>
        <w:pStyle w:val="TextBody"/>
        <w:bidi w:val="0"/>
        <w:spacing w:lineRule="auto" w:line="240"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CORPAY ONE, INC.,</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Ty Miller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Treasurer</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TA CONNECTIONS DE, LLC,</w:t>
      </w:r>
    </w:p>
    <w:p>
      <w:pPr>
        <w:pStyle w:val="TextBody"/>
        <w:bidi w:val="0"/>
        <w:spacing w:lineRule="auto" w:line="240"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Delaware limited liability company</w:t>
      </w:r>
    </w:p>
    <w:p>
      <w:pPr>
        <w:pStyle w:val="TextBody"/>
        <w:bidi w:val="0"/>
        <w:spacing w:before="0" w:after="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Ty Miller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Treasurer</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ALE SOLUTIONS, INC.,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an Illinois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Ty Miller</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Treasurer</w:t>
      </w:r>
    </w:p>
    <w:p>
      <w:pPr>
        <w:pStyle w:val="TextBody"/>
        <w:bidi w:val="0"/>
        <w:spacing w:before="0" w:after="240"/>
        <w:ind w:left="0" w:right="0" w:firstLine="720"/>
        <w:jc w:val="both"/>
        <w:rPr/>
      </w:pPr>
      <w:r>
        <w:rPr/>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408940"/>
                <wp:effectExtent l="0" t="0" r="0" b="0"/>
                <wp:wrapNone/>
                <wp:docPr id="144" name="Frame143"/>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ASSOCIATED FOREIGN EXCHANGE HOLDINGS, INC.,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California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Mark Frey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President</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ASSOCIATED FOREIGN EXCHANGE, INC.,</w:t>
      </w:r>
    </w:p>
    <w:p>
      <w:pPr>
        <w:pStyle w:val="TextBody"/>
        <w:bidi w:val="0"/>
        <w:spacing w:lineRule="auto" w:line="240" w:before="0" w:after="36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California corporation</w:t>
      </w:r>
    </w:p>
    <w:p>
      <w:pPr>
        <w:pStyle w:val="TextBody"/>
        <w:bidi w:val="0"/>
        <w:spacing w:lineRule="auto" w:line="240" w:before="0" w:after="0"/>
        <w:ind w:left="0" w:right="0" w:firstLine="72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Name:    Mark Frey</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Title:    President</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408940"/>
                <wp:effectExtent l="0" t="0" r="0" b="0"/>
                <wp:wrapNone/>
                <wp:docPr id="145" name="Frame144"/>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ADMINISTRATIVE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AGENT:                    BANK OF AMERICA, N.A.,</w:t>
      </w:r>
    </w:p>
    <w:p>
      <w:pPr>
        <w:pStyle w:val="TextBody"/>
        <w:bidi w:val="0"/>
        <w:spacing w:lineRule="auto" w:line="240" w:before="0" w:after="360"/>
        <w:jc w:val="both"/>
        <w:rPr>
          <w:rFonts w:ascii="Times New Roman;sans-serif" w:hAnsi="Times New Roman;sans-serif"/>
          <w:b w:val="false"/>
          <w:color w:val="000000"/>
          <w:sz w:val="22"/>
        </w:rPr>
      </w:pPr>
      <w:r>
        <w:rPr>
          <w:rFonts w:ascii="Times New Roman;sans-serif" w:hAnsi="Times New Roman;sans-serif"/>
          <w:b w:val="false"/>
          <w:color w:val="000000"/>
          <w:sz w:val="22"/>
        </w:rPr>
        <w:t>as Administrative Agent</w:t>
      </w:r>
    </w:p>
    <w:p>
      <w:pPr>
        <w:pStyle w:val="TextBody"/>
        <w:bidi w:val="0"/>
        <w:spacing w:lineRule="auto" w:line="240" w:before="0" w:after="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408940"/>
                <wp:effectExtent l="0" t="0" r="0" b="0"/>
                <wp:wrapNone/>
                <wp:docPr id="146" name="Frame145"/>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DOMESTIC SWING LINE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LENDERS AND L/C ISSUER:            BANK OF AMERICA, N.A.,</w:t>
      </w:r>
    </w:p>
    <w:p>
      <w:pPr>
        <w:pStyle w:val="TextBody"/>
        <w:bidi w:val="0"/>
        <w:spacing w:lineRule="auto" w:line="240" w:before="0" w:after="360"/>
        <w:jc w:val="both"/>
        <w:rPr>
          <w:rFonts w:ascii="Times New Roman;sans-serif" w:hAnsi="Times New Roman;sans-serif"/>
          <w:b w:val="false"/>
          <w:color w:val="000000"/>
          <w:sz w:val="22"/>
        </w:rPr>
      </w:pPr>
      <w:r>
        <w:rPr>
          <w:rFonts w:ascii="Times New Roman;sans-serif" w:hAnsi="Times New Roman;sans-serif"/>
          <w:b w:val="false"/>
          <w:color w:val="000000"/>
          <w:sz w:val="22"/>
        </w:rPr>
        <w:t>as a Domestic Swing Line Lender and the L/C Issuer</w:t>
      </w:r>
    </w:p>
    <w:p>
      <w:pPr>
        <w:pStyle w:val="TextBody"/>
        <w:bidi w:val="0"/>
        <w:spacing w:lineRule="auto" w:line="240" w:before="0" w:after="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408940"/>
                <wp:effectExtent l="0" t="0" r="0" b="0"/>
                <wp:wrapNone/>
                <wp:docPr id="147" name="Frame146"/>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INCREMENTAL LENDERS:            BANK OF AMERICA, N.A.,</w:t>
      </w:r>
    </w:p>
    <w:p>
      <w:pPr>
        <w:pStyle w:val="TextBody"/>
        <w:bidi w:val="0"/>
        <w:spacing w:lineRule="auto" w:line="240" w:before="0" w:after="480"/>
        <w:jc w:val="both"/>
        <w:rPr>
          <w:rFonts w:ascii="Times New Roman;sans-serif" w:hAnsi="Times New Roman;sans-serif"/>
          <w:b w:val="false"/>
          <w:color w:val="000000"/>
          <w:sz w:val="22"/>
        </w:rPr>
      </w:pPr>
      <w:r>
        <w:rPr>
          <w:rFonts w:ascii="Times New Roman;sans-serif" w:hAnsi="Times New Roman;sans-serif"/>
          <w:b w:val="false"/>
          <w:color w:val="000000"/>
          <w:sz w:val="22"/>
        </w:rPr>
        <w:t>as an Incremental Term Loan Lender</w:t>
      </w:r>
    </w:p>
    <w:p>
      <w:pPr>
        <w:pStyle w:val="TextBody"/>
        <w:bidi w:val="0"/>
        <w:spacing w:lineRule="auto" w:line="240" w:before="0" w:after="0"/>
        <w:jc w:val="both"/>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408940"/>
                <wp:effectExtent l="0" t="0" r="0" b="0"/>
                <wp:wrapNone/>
                <wp:docPr id="148" name="Frame147"/>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PNC BANK, NATIONAL ASSOCIATION,</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as an Incremental Term Loan Lender and an Incremental Revolving A Lender</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408940"/>
                <wp:effectExtent l="0" t="0" r="0" b="0"/>
                <wp:wrapNone/>
                <wp:docPr id="149" name="Frame148"/>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TD BANK, N.A.,</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as an Incremental Term Loan Lender</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408940"/>
                <wp:effectExtent l="0" t="0" r="0" b="0"/>
                <wp:wrapNone/>
                <wp:docPr id="150" name="Frame149"/>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WELLS FARGO BANK, NATIONAL ASSOCIATION,</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as an Incremental Term Loan Lender</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408940"/>
                <wp:effectExtent l="0" t="0" r="0" b="0"/>
                <wp:wrapNone/>
                <wp:docPr id="151" name="Frame150"/>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FIFTH THIRD BANK, NATIONAL ASSOCIATION,</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as an Incremental Term Loan Lender</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408940"/>
                <wp:effectExtent l="0" t="0" r="0" b="0"/>
                <wp:wrapNone/>
                <wp:docPr id="152" name="Frame151"/>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BMO BANK N.A.,</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as an Incremental Revolving A Lender</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408940"/>
                <wp:effectExtent l="0" t="0" r="0" b="0"/>
                <wp:wrapNone/>
                <wp:docPr id="153" name="Frame152"/>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BANK OF NOVA SCOTIA,</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as an Incremental Revolving A Lender</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408940"/>
                <wp:effectExtent l="0" t="0" r="0" b="0"/>
                <wp:wrapNone/>
                <wp:docPr id="154" name="Frame153"/>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CITIZENS BANK, N.A.,</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as an Incremental Revolving A Lender</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408940"/>
                <wp:effectExtent l="0" t="0" r="0" b="0"/>
                <wp:wrapNone/>
                <wp:docPr id="155" name="Frame154"/>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BARCLAYS BANK PLC,</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as an Incremental Revolving A Lender</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408940"/>
                <wp:effectExtent l="0" t="0" r="0" b="0"/>
                <wp:wrapNone/>
                <wp:docPr id="156" name="Frame155"/>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CITIBANK, N.A.,</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as an Incremental Revolving A Lender</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408940"/>
                <wp:effectExtent l="0" t="0" r="0" b="0"/>
                <wp:wrapNone/>
                <wp:docPr id="157" name="Frame156"/>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as an Incremental Term Loan Lender and an Incremental Revolving A Lender</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408940"/>
                <wp:effectExtent l="0" t="0" r="0" b="0"/>
                <wp:wrapNone/>
                <wp:docPr id="158" name="Frame157"/>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DEUTSCHE BANK AG NEW YORK BRANCH,</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as an Incremental Revolving A Lender</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36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408940"/>
                <wp:effectExtent l="0" t="0" r="0" b="0"/>
                <wp:wrapNone/>
                <wp:docPr id="159" name="Frame158"/>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INDUSTRIAL AND COMMERCIAL BANK OF CHINA LIMITED, NEW YORK BRANCH,</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as an Incremental Term Loan Lender</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408940"/>
                <wp:effectExtent l="0" t="0" r="0" b="0"/>
                <wp:wrapNone/>
                <wp:docPr id="160" name="Frame159"/>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SOCIÉTÉ GÉNÉRALE,</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as an Incremental Revolving A Lender</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408940"/>
                <wp:effectExtent l="0" t="0" r="0" b="0"/>
                <wp:wrapNone/>
                <wp:docPr id="161" name="Frame160"/>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M&amp;T BANK,</w:t>
      </w:r>
    </w:p>
    <w:p>
      <w:pPr>
        <w:pStyle w:val="TextBody"/>
        <w:bidi w:val="0"/>
        <w:spacing w:lineRule="auto" w:line="240"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as an Incremental Term Loan Lender</w:t>
      </w:r>
    </w:p>
    <w:p>
      <w:pPr>
        <w:pStyle w:val="TextBody"/>
        <w:bidi w:val="0"/>
        <w:spacing w:lineRule="auto" w:line="240" w:before="0" w:after="0"/>
        <w:jc w:val="left"/>
        <w:rPr/>
      </w:pPr>
      <w:r>
        <w:rPr>
          <w:rFonts w:ascii="Times New Roman;sans-serif" w:hAnsi="Times New Roman;sans-serif"/>
          <w:b w:val="false"/>
          <w:color w:val="000000"/>
          <w:sz w:val="22"/>
        </w:rPr>
        <w:t>By:</w:t>
      </w:r>
      <w:r>
        <w:rPr>
          <w:color w:val="000000"/>
          <w:u w:val="single"/>
        </w:rPr>
        <w:t>                    </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408940"/>
                <wp:effectExtent l="0" t="0" r="0" b="0"/>
                <wp:wrapNone/>
                <wp:docPr id="162" name="Frame161"/>
                <a:graphic xmlns:a="http://schemas.openxmlformats.org/drawingml/2006/main">
                  <a:graphicData uri="http://schemas.microsoft.com/office/word/2010/wordprocessingShape">
                    <wps:wsp>
                      <wps:cNvSpPr txBox="1"/>
                      <wps:spPr>
                        <a:xfrm>
                          <a:off x="0" y="0"/>
                          <a:ext cx="6480175" cy="408940"/>
                        </a:xfrm>
                        <a:prstGeom prst="rect"/>
                        <a:solidFill>
                          <a:srgbClr val="FFFFFF"/>
                        </a:solidFill>
                      </wps:spPr>
                      <wps:txb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r>
                              <w:br w:type="page"/>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FLEETCOR TECHNOLOGIES OPERATING COMPANY, LLC</w:t>
                      </w:r>
                    </w:p>
                    <w:p>
                      <w:pPr>
                        <w:pStyle w:val="TextBody"/>
                        <w:bidi w:val="0"/>
                        <w:spacing w:lineRule="auto" w:line="240"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FOURTEENTH AMENDMENT TO CREDIT AGREEMENT</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Annex A</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Amended Credit Agreement</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[see attached]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16840"/>
                <wp:effectExtent l="0" t="0" r="0" b="0"/>
                <wp:wrapNone/>
                <wp:docPr id="163" name="Frame1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Schedule 1</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Incremental Revolving A Commitments and Applicable Percentages of Fourteenth Amendment Revolving A Increase</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46"/>
        <w:gridCol w:w="832"/>
        <w:gridCol w:w="834"/>
        <w:gridCol w:w="1064"/>
        <w:gridCol w:w="942"/>
        <w:gridCol w:w="944"/>
        <w:gridCol w:w="1466"/>
        <w:gridCol w:w="1315"/>
        <w:gridCol w:w="1862"/>
      </w:tblGrid>
      <w:tr>
        <w:trPr/>
        <w:tc>
          <w:tcPr>
            <w:tcW w:w="9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r>
      <w:tr>
        <w:trPr/>
        <w:tc>
          <w:tcPr>
            <w:tcW w:w="261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Incremental Revolving A Lender</w:t>
            </w:r>
          </w:p>
        </w:tc>
        <w:tc>
          <w:tcPr>
            <w:tcW w:w="2950"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Incremental Revolving A Commitments</w:t>
            </w:r>
          </w:p>
        </w:tc>
        <w:tc>
          <w:tcPr>
            <w:tcW w:w="4643"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Applicable Percentage of Fourteenth Amendment Revolving A Increase</w:t>
            </w:r>
          </w:p>
        </w:tc>
      </w:tr>
      <w:tr>
        <w:trPr/>
        <w:tc>
          <w:tcPr>
            <w:tcW w:w="26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Citibank, N.A.</w:t>
            </w:r>
          </w:p>
        </w:tc>
        <w:tc>
          <w:tcPr>
            <w:tcW w:w="29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$50,000,000.00</w:t>
            </w:r>
          </w:p>
        </w:tc>
        <w:tc>
          <w:tcPr>
            <w:tcW w:w="464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18.181818182%</w:t>
            </w:r>
          </w:p>
        </w:tc>
      </w:tr>
      <w:tr>
        <w:trPr/>
        <w:tc>
          <w:tcPr>
            <w:tcW w:w="26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Société Générale</w:t>
            </w:r>
          </w:p>
        </w:tc>
        <w:tc>
          <w:tcPr>
            <w:tcW w:w="29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$50,000,000.00</w:t>
            </w:r>
          </w:p>
        </w:tc>
        <w:tc>
          <w:tcPr>
            <w:tcW w:w="464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18.181818182%</w:t>
            </w:r>
          </w:p>
        </w:tc>
      </w:tr>
      <w:tr>
        <w:trPr/>
        <w:tc>
          <w:tcPr>
            <w:tcW w:w="26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PNC Bank, National Association</w:t>
            </w:r>
          </w:p>
        </w:tc>
        <w:tc>
          <w:tcPr>
            <w:tcW w:w="29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$30,500,000.00</w:t>
            </w:r>
          </w:p>
        </w:tc>
        <w:tc>
          <w:tcPr>
            <w:tcW w:w="464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11.090909091%</w:t>
            </w:r>
          </w:p>
        </w:tc>
      </w:tr>
      <w:tr>
        <w:trPr/>
        <w:tc>
          <w:tcPr>
            <w:tcW w:w="26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tc>
        <w:tc>
          <w:tcPr>
            <w:tcW w:w="29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$27,000,000.00</w:t>
            </w:r>
          </w:p>
        </w:tc>
        <w:tc>
          <w:tcPr>
            <w:tcW w:w="464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9.818181818%</w:t>
            </w:r>
          </w:p>
        </w:tc>
      </w:tr>
      <w:tr>
        <w:trPr/>
        <w:tc>
          <w:tcPr>
            <w:tcW w:w="26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BMO Bank N.A.</w:t>
            </w:r>
          </w:p>
        </w:tc>
        <w:tc>
          <w:tcPr>
            <w:tcW w:w="29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$25,000,000.00</w:t>
            </w:r>
          </w:p>
        </w:tc>
        <w:tc>
          <w:tcPr>
            <w:tcW w:w="464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9.090909091%</w:t>
            </w:r>
          </w:p>
        </w:tc>
      </w:tr>
      <w:tr>
        <w:trPr/>
        <w:tc>
          <w:tcPr>
            <w:tcW w:w="26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Bank of Nova Scotia</w:t>
            </w:r>
          </w:p>
        </w:tc>
        <w:tc>
          <w:tcPr>
            <w:tcW w:w="29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$25,000,000.00</w:t>
            </w:r>
          </w:p>
        </w:tc>
        <w:tc>
          <w:tcPr>
            <w:tcW w:w="464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9.090909091%</w:t>
            </w:r>
          </w:p>
        </w:tc>
      </w:tr>
      <w:tr>
        <w:trPr/>
        <w:tc>
          <w:tcPr>
            <w:tcW w:w="26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Deutsche Bank AG New York Branch</w:t>
            </w:r>
          </w:p>
        </w:tc>
        <w:tc>
          <w:tcPr>
            <w:tcW w:w="29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$25,000,000.00</w:t>
            </w:r>
          </w:p>
        </w:tc>
        <w:tc>
          <w:tcPr>
            <w:tcW w:w="464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9.090909091%</w:t>
            </w:r>
          </w:p>
        </w:tc>
      </w:tr>
      <w:tr>
        <w:trPr/>
        <w:tc>
          <w:tcPr>
            <w:tcW w:w="26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Barclays Bank PLC</w:t>
            </w:r>
          </w:p>
        </w:tc>
        <w:tc>
          <w:tcPr>
            <w:tcW w:w="29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$22,500,000.00</w:t>
            </w:r>
          </w:p>
        </w:tc>
        <w:tc>
          <w:tcPr>
            <w:tcW w:w="464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8.181818182%</w:t>
            </w:r>
          </w:p>
        </w:tc>
      </w:tr>
      <w:tr>
        <w:trPr/>
        <w:tc>
          <w:tcPr>
            <w:tcW w:w="261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Citizens Bank, N.A.</w:t>
            </w:r>
          </w:p>
        </w:tc>
        <w:tc>
          <w:tcPr>
            <w:tcW w:w="29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$20,000,000.00</w:t>
            </w:r>
          </w:p>
        </w:tc>
        <w:tc>
          <w:tcPr>
            <w:tcW w:w="464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7.272727273%</w:t>
            </w:r>
          </w:p>
        </w:tc>
      </w:tr>
      <w:tr>
        <w:trPr/>
        <w:tc>
          <w:tcPr>
            <w:tcW w:w="261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TOTAL:</w:t>
            </w:r>
          </w:p>
        </w:tc>
        <w:tc>
          <w:tcPr>
            <w:tcW w:w="29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2"/>
              </w:rPr>
            </w:pPr>
            <w:r>
              <w:rPr>
                <w:rFonts w:ascii="Times New Roman;sans-serif" w:hAnsi="Times New Roman;sans-serif"/>
                <w:b/>
                <w:color w:val="000000"/>
                <w:sz w:val="22"/>
              </w:rPr>
              <w:t>$275,000,000.00</w:t>
            </w:r>
          </w:p>
        </w:tc>
        <w:tc>
          <w:tcPr>
            <w:tcW w:w="4643"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right"/>
              <w:rPr>
                <w:rFonts w:ascii="Times New Roman;sans-serif" w:hAnsi="Times New Roman;sans-serif"/>
                <w:b/>
                <w:color w:val="000000"/>
                <w:sz w:val="22"/>
              </w:rPr>
            </w:pPr>
            <w:r>
              <w:rPr>
                <w:rFonts w:ascii="Times New Roman;sans-serif" w:hAnsi="Times New Roman;sans-serif"/>
                <w:b/>
                <w:color w:val="000000"/>
                <w:sz w:val="22"/>
              </w:rPr>
              <w:t>100.000000000%</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16840"/>
                <wp:effectExtent l="0" t="0" r="0" b="0"/>
                <wp:wrapNone/>
                <wp:docPr id="164" name="Frame1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v:textbox>
                <w10:wrap type="none"/>
              </v:rect>
            </w:pict>
          </mc:Fallback>
        </mc:AlternateConten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292100"/>
                <wp:effectExtent l="0" t="0" r="0" b="0"/>
                <wp:wrapNone/>
                <wp:docPr id="165" name="Frame164"/>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v:textbox>
                <w10:wrap type="none"/>
              </v:rect>
            </w:pict>
          </mc:Fallback>
        </mc:AlternateContent>
      </w:r>
    </w:p>
    <w:p>
      <w:pPr>
        <w:pStyle w:val="TextBody"/>
        <w:bidi w:val="0"/>
        <w:spacing w:before="0" w:after="240"/>
        <w:jc w:val="center"/>
        <w:rPr/>
      </w:pPr>
      <w:r>
        <w:rPr/>
      </w:r>
    </w:p>
    <w:p>
      <w:pPr>
        <w:pStyle w:val="TextBody"/>
        <w:bidi w:val="0"/>
        <w:spacing w:lineRule="auto" w:line="240"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Amendment of Schedule 2.01 to Amended Credit Agreement</w:t>
      </w:r>
    </w:p>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Commitments and Applicable Percentages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70"/>
        <w:gridCol w:w="740"/>
        <w:gridCol w:w="747"/>
        <w:gridCol w:w="827"/>
        <w:gridCol w:w="683"/>
        <w:gridCol w:w="685"/>
        <w:gridCol w:w="1622"/>
        <w:gridCol w:w="1622"/>
        <w:gridCol w:w="2309"/>
      </w:tblGrid>
      <w:tr>
        <w:trPr/>
        <w:tc>
          <w:tcPr>
            <w:tcW w:w="9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Lender</w:t>
            </w:r>
          </w:p>
        </w:tc>
        <w:tc>
          <w:tcPr>
            <w:tcW w:w="219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Revolving A Commitments</w:t>
            </w:r>
          </w:p>
        </w:tc>
        <w:tc>
          <w:tcPr>
            <w:tcW w:w="5553"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Applicable Percentage of Revolving A Commitments (as of the Fourteenth Amendment Effective Date)</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$123,362,326.28</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9.675476571%</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Barclays Bank PLC</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$101,768,814.30</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7.981867788%</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PNC Bank, National Association</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$94,375,957.00</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7.402035843%</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Citibank, N.A.</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$81,085,809.53</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6.359671336%</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Bank of Nova Scotia</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$65,518,330.93</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5.138692622%</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BMO Bank N.A.</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$65,518,330.93</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5.138692622%</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MUFG Bank, Ltd.</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$63,875,957.00</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5.009878980%</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TD Bank, N.A.</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$63,875,957.00</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5.009878980%</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Wells Fargo Bank, National Association</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$63,875,957.00</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5.009878980%</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$56,842,377.15</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4.458225659%</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Citizens Bank, N.A.</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$55,274,782.22</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4.335277037%</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Deutsche Bank AG New York Branch</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$55,000,000.00</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4.313725490%</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Santander Bank, N.A.</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$50,000,000.00</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3.921568627%</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Société Générale</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$50,000,000.00</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3.921568627%</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Capital One, National Association</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$40,518,330.93</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3.177908308%</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Fifth Third Bank, National Association</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$40,518,330.93</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3.177908308%</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Mizuho Bank, Ltd.</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$40,518,330.93</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3.177908308%</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Regions Bank</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$40,518,330.93</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3.177908308%</w:t>
            </w:r>
          </w:p>
        </w:tc>
      </w:tr>
      <w:tr>
        <w:trPr/>
        <w:tc>
          <w:tcPr>
            <w:tcW w:w="24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China, Ltd.</w:t>
            </w:r>
          </w:p>
        </w:tc>
        <w:tc>
          <w:tcPr>
            <w:tcW w:w="2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$27,602,152.12</w:t>
            </w:r>
          </w:p>
        </w:tc>
        <w:tc>
          <w:tcPr>
            <w:tcW w:w="555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2.164874676%</w:t>
            </w:r>
          </w:p>
        </w:tc>
      </w:tr>
      <w:tr>
        <w:trPr/>
        <w:tc>
          <w:tcPr>
            <w:tcW w:w="245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Royal Bank of Canada</w:t>
            </w:r>
          </w:p>
        </w:tc>
        <w:tc>
          <w:tcPr>
            <w:tcW w:w="21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$24,310,998.56</w:t>
            </w:r>
          </w:p>
        </w:tc>
        <w:tc>
          <w:tcPr>
            <w:tcW w:w="5553"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1.906744985%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4605" cy="14605"/>
                <wp:effectExtent l="0" t="0" r="0" b="0"/>
                <wp:wrapNone/>
                <wp:docPr id="166" name="Frame16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35"/>
        <w:gridCol w:w="2043"/>
        <w:gridCol w:w="2054"/>
        <w:gridCol w:w="634"/>
        <w:gridCol w:w="634"/>
        <w:gridCol w:w="638"/>
        <w:gridCol w:w="545"/>
        <w:gridCol w:w="545"/>
        <w:gridCol w:w="777"/>
      </w:tblGrid>
      <w:tr>
        <w:trPr/>
        <w:tc>
          <w:tcPr>
            <w:tcW w:w="2335"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643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Huntington National Bank</w:t>
            </w:r>
          </w:p>
        </w:tc>
        <w:tc>
          <w:tcPr>
            <w:tcW w:w="19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$16,859,086.02</w:t>
            </w:r>
          </w:p>
        </w:tc>
        <w:tc>
          <w:tcPr>
            <w:tcW w:w="1867"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1.322281256%</w:t>
            </w:r>
          </w:p>
        </w:tc>
      </w:tr>
      <w:tr>
        <w:trPr/>
        <w:tc>
          <w:tcPr>
            <w:tcW w:w="643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Industrial and Commercial Bank of China Limited, New York Branch</w:t>
            </w:r>
          </w:p>
        </w:tc>
        <w:tc>
          <w:tcPr>
            <w:tcW w:w="19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$16,859,086.02</w:t>
            </w:r>
          </w:p>
        </w:tc>
        <w:tc>
          <w:tcPr>
            <w:tcW w:w="1867"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1.322281256%</w:t>
            </w:r>
          </w:p>
        </w:tc>
      </w:tr>
      <w:tr>
        <w:trPr/>
        <w:tc>
          <w:tcPr>
            <w:tcW w:w="643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First Horizon Bank</w:t>
            </w:r>
          </w:p>
        </w:tc>
        <w:tc>
          <w:tcPr>
            <w:tcW w:w="19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$10,115,451.04</w:t>
            </w:r>
          </w:p>
        </w:tc>
        <w:tc>
          <w:tcPr>
            <w:tcW w:w="1867"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0.793368709%</w:t>
            </w:r>
          </w:p>
        </w:tc>
      </w:tr>
      <w:tr>
        <w:trPr/>
        <w:tc>
          <w:tcPr>
            <w:tcW w:w="643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Eastern Bank</w:t>
            </w:r>
          </w:p>
        </w:tc>
        <w:tc>
          <w:tcPr>
            <w:tcW w:w="19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$9,979,935.33</w:t>
            </w:r>
          </w:p>
        </w:tc>
        <w:tc>
          <w:tcPr>
            <w:tcW w:w="1867"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0.782740026%</w:t>
            </w:r>
          </w:p>
        </w:tc>
      </w:tr>
      <w:tr>
        <w:trPr/>
        <w:tc>
          <w:tcPr>
            <w:tcW w:w="643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M&amp;T Bank</w:t>
            </w:r>
          </w:p>
        </w:tc>
        <w:tc>
          <w:tcPr>
            <w:tcW w:w="19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$8,429,543.01</w:t>
            </w:r>
          </w:p>
        </w:tc>
        <w:tc>
          <w:tcPr>
            <w:tcW w:w="1867"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0.661140628%</w:t>
            </w:r>
          </w:p>
        </w:tc>
      </w:tr>
      <w:tr>
        <w:trPr/>
        <w:tc>
          <w:tcPr>
            <w:tcW w:w="643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Stifel Bank &amp; Trust</w:t>
            </w:r>
          </w:p>
        </w:tc>
        <w:tc>
          <w:tcPr>
            <w:tcW w:w="19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$8,395,824.84</w:t>
            </w:r>
          </w:p>
        </w:tc>
        <w:tc>
          <w:tcPr>
            <w:tcW w:w="1867"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0.658496066%</w:t>
            </w:r>
          </w:p>
        </w:tc>
      </w:tr>
      <w:tr>
        <w:trPr/>
        <w:tc>
          <w:tcPr>
            <w:tcW w:w="643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TOTAL:</w:t>
            </w:r>
          </w:p>
        </w:tc>
        <w:tc>
          <w:tcPr>
            <w:tcW w:w="19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2"/>
              </w:rPr>
            </w:pPr>
            <w:r>
              <w:rPr>
                <w:rFonts w:ascii="Times New Roman;sans-serif" w:hAnsi="Times New Roman;sans-serif"/>
                <w:b/>
                <w:color w:val="000000"/>
                <w:sz w:val="22"/>
              </w:rPr>
              <w:t>$1,275,000,000.00</w:t>
            </w:r>
          </w:p>
        </w:tc>
        <w:tc>
          <w:tcPr>
            <w:tcW w:w="1867"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right"/>
              <w:rPr>
                <w:rFonts w:ascii="Times New Roman;sans-serif" w:hAnsi="Times New Roman;sans-serif"/>
                <w:b/>
                <w:color w:val="000000"/>
                <w:sz w:val="22"/>
              </w:rPr>
            </w:pPr>
            <w:r>
              <w:rPr>
                <w:rFonts w:ascii="Times New Roman;sans-serif" w:hAnsi="Times New Roman;sans-serif"/>
                <w:b/>
                <w:color w:val="000000"/>
                <w:sz w:val="22"/>
              </w:rPr>
              <w:t>100.000000000%</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292100"/>
                <wp:effectExtent l="0" t="0" r="0" b="0"/>
                <wp:wrapNone/>
                <wp:docPr id="167" name="Frame166"/>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49"/>
        <w:gridCol w:w="1010"/>
        <w:gridCol w:w="1018"/>
        <w:gridCol w:w="1226"/>
        <w:gridCol w:w="1052"/>
        <w:gridCol w:w="1054"/>
        <w:gridCol w:w="1224"/>
        <w:gridCol w:w="1021"/>
        <w:gridCol w:w="1451"/>
      </w:tblGrid>
      <w:tr>
        <w:trPr/>
        <w:tc>
          <w:tcPr>
            <w:tcW w:w="114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r>
      <w:tr>
        <w:trPr/>
        <w:tc>
          <w:tcPr>
            <w:tcW w:w="3177"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Lender</w:t>
            </w:r>
          </w:p>
        </w:tc>
        <w:tc>
          <w:tcPr>
            <w:tcW w:w="3332"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Fourteenth Amendment Incremental Term Loan Commitments</w:t>
            </w:r>
          </w:p>
        </w:tc>
        <w:tc>
          <w:tcPr>
            <w:tcW w:w="3696"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Applicable Percentage of Fourteenth Amendment Incremental Term Loan</w:t>
            </w:r>
          </w:p>
        </w:tc>
      </w:tr>
      <w:tr>
        <w:trPr/>
        <w:tc>
          <w:tcPr>
            <w:tcW w:w="31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Industrial and Commercial Bank of China Limited, New York Branch</w:t>
            </w:r>
          </w:p>
        </w:tc>
        <w:tc>
          <w:tcPr>
            <w:tcW w:w="33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$74,000,000.00</w:t>
            </w:r>
          </w:p>
        </w:tc>
        <w:tc>
          <w:tcPr>
            <w:tcW w:w="3696"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22.769230769%</w:t>
            </w:r>
          </w:p>
        </w:tc>
      </w:tr>
      <w:tr>
        <w:trPr/>
        <w:tc>
          <w:tcPr>
            <w:tcW w:w="31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w:t>
            </w:r>
          </w:p>
        </w:tc>
        <w:tc>
          <w:tcPr>
            <w:tcW w:w="33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$61,500,000.00</w:t>
            </w:r>
          </w:p>
        </w:tc>
        <w:tc>
          <w:tcPr>
            <w:tcW w:w="3696"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18.923076923%</w:t>
            </w:r>
          </w:p>
        </w:tc>
      </w:tr>
      <w:tr>
        <w:trPr/>
        <w:tc>
          <w:tcPr>
            <w:tcW w:w="31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tc>
        <w:tc>
          <w:tcPr>
            <w:tcW w:w="33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$50,000,000.00</w:t>
            </w:r>
          </w:p>
        </w:tc>
        <w:tc>
          <w:tcPr>
            <w:tcW w:w="3696"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15.384615385%</w:t>
            </w:r>
          </w:p>
        </w:tc>
      </w:tr>
      <w:tr>
        <w:trPr/>
        <w:tc>
          <w:tcPr>
            <w:tcW w:w="31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TD Bank, N.A.</w:t>
            </w:r>
          </w:p>
        </w:tc>
        <w:tc>
          <w:tcPr>
            <w:tcW w:w="33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$40,000,000.00</w:t>
            </w:r>
          </w:p>
        </w:tc>
        <w:tc>
          <w:tcPr>
            <w:tcW w:w="3696"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12.307692308%</w:t>
            </w:r>
          </w:p>
        </w:tc>
      </w:tr>
      <w:tr>
        <w:trPr/>
        <w:tc>
          <w:tcPr>
            <w:tcW w:w="31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Wells Fargo Bank, National Association</w:t>
            </w:r>
          </w:p>
        </w:tc>
        <w:tc>
          <w:tcPr>
            <w:tcW w:w="33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$40,000,000.00</w:t>
            </w:r>
          </w:p>
        </w:tc>
        <w:tc>
          <w:tcPr>
            <w:tcW w:w="3696"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12.307692308%</w:t>
            </w:r>
          </w:p>
        </w:tc>
      </w:tr>
      <w:tr>
        <w:trPr/>
        <w:tc>
          <w:tcPr>
            <w:tcW w:w="31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Fifth Third Bank, National Association</w:t>
            </w:r>
          </w:p>
        </w:tc>
        <w:tc>
          <w:tcPr>
            <w:tcW w:w="33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$25,000,000.00</w:t>
            </w:r>
          </w:p>
        </w:tc>
        <w:tc>
          <w:tcPr>
            <w:tcW w:w="3696"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7.692307692%</w:t>
            </w:r>
          </w:p>
        </w:tc>
      </w:tr>
      <w:tr>
        <w:trPr/>
        <w:tc>
          <w:tcPr>
            <w:tcW w:w="31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M&amp;T Bank</w:t>
            </w:r>
          </w:p>
        </w:tc>
        <w:tc>
          <w:tcPr>
            <w:tcW w:w="33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$25,000,000.00</w:t>
            </w:r>
          </w:p>
        </w:tc>
        <w:tc>
          <w:tcPr>
            <w:tcW w:w="3696"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7.692307692%</w:t>
            </w:r>
          </w:p>
        </w:tc>
      </w:tr>
      <w:tr>
        <w:trPr/>
        <w:tc>
          <w:tcPr>
            <w:tcW w:w="317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PNC Bank, National Association</w:t>
            </w:r>
          </w:p>
        </w:tc>
        <w:tc>
          <w:tcPr>
            <w:tcW w:w="33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$9,500,000.00</w:t>
            </w:r>
          </w:p>
        </w:tc>
        <w:tc>
          <w:tcPr>
            <w:tcW w:w="3696"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2.923076923%</w:t>
            </w:r>
          </w:p>
        </w:tc>
      </w:tr>
      <w:tr>
        <w:trPr/>
        <w:tc>
          <w:tcPr>
            <w:tcW w:w="317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TOTAL:</w:t>
            </w:r>
          </w:p>
        </w:tc>
        <w:tc>
          <w:tcPr>
            <w:tcW w:w="333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2"/>
              </w:rPr>
            </w:pPr>
            <w:r>
              <w:rPr>
                <w:rFonts w:ascii="Times New Roman;sans-serif" w:hAnsi="Times New Roman;sans-serif"/>
                <w:b/>
                <w:color w:val="000000"/>
                <w:sz w:val="22"/>
              </w:rPr>
              <w:t>$325,000,000.00</w:t>
            </w:r>
          </w:p>
        </w:tc>
        <w:tc>
          <w:tcPr>
            <w:tcW w:w="3696"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right"/>
              <w:rPr>
                <w:rFonts w:ascii="Times New Roman;sans-serif" w:hAnsi="Times New Roman;sans-serif"/>
                <w:b/>
                <w:color w:val="000000"/>
                <w:sz w:val="22"/>
              </w:rPr>
            </w:pPr>
            <w:r>
              <w:rPr>
                <w:rFonts w:ascii="Times New Roman;sans-serif" w:hAnsi="Times New Roman;sans-serif"/>
                <w:b/>
                <w:color w:val="000000"/>
                <w:sz w:val="22"/>
              </w:rPr>
              <w:t>100.000000000%</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color w:val="000000"/>
        </w:rPr>
        <w:t>        </w:t>
      </w:r>
      <w:r>
        <w:rPr>
          <w:rFonts w:ascii="Arial;sans-serif" w:hAnsi="Arial;sans-serif"/>
          <w:b/>
          <w:color w:val="000000"/>
          <w:sz w:val="20"/>
        </w:rPr>
        <w:t>Exhibit 21.1</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92100"/>
                <wp:effectExtent l="0" t="0" r="0" b="0"/>
                <wp:wrapNone/>
                <wp:docPr id="168" name="Frame167"/>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02.45pt;mso-position-horizontal:left;mso-position-horizontal-relative:text">
                <v:textbox>
                  <w:txbxContent>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13442269v4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2023 Subsidiaries of FLEETCOR Technologies, Inc.</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2590"/>
        <w:gridCol w:w="2547"/>
        <w:gridCol w:w="2568"/>
        <w:gridCol w:w="694"/>
        <w:gridCol w:w="694"/>
        <w:gridCol w:w="988"/>
      </w:tblGrid>
      <w:tr>
        <w:trPr/>
        <w:tc>
          <w:tcPr>
            <w:tcW w:w="124"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shd w:fill="DBE5F1"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Subsidiary</w:t>
            </w:r>
          </w:p>
        </w:tc>
        <w:tc>
          <w:tcPr>
            <w:tcW w:w="2376" w:type="dxa"/>
            <w:gridSpan w:val="3"/>
            <w:tcBorders>
              <w:top w:val="single" w:sz="8" w:space="0" w:color="000000"/>
              <w:left w:val="single" w:sz="8" w:space="0" w:color="000000"/>
              <w:right w:val="single" w:sz="8" w:space="0" w:color="000000"/>
            </w:tcBorders>
            <w:shd w:fill="DBE5F1"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Jurisdiction of Organization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FleetCor Technologies, Inc. </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Technologies Operating Company, LLC</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Louisiana,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Funding, LLC</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Mannatec, Inc.</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Georgia,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Jersey Holding Limited</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Jersey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CFN Holding Company</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Corporate Lodging Consultants, Inc.</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Kansas,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Commercial Card Management (Canada) Ltd</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Canada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Technologies Operating Company-CFN Holding Co. S.E.N.C.</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Luxembourg Holding1 S.à.r.l.</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Luxembourg Holding2 S.à.r.l.</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Technologieën B.V.</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Netherlands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UK Acquisition Limited</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Europe Limited</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 Jones Limited</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FleetCor UK International Management Limited </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Fuelcard Company UK Limited</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Fuel Cards, LLC</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Fuel Cards (Europe) LTD.</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CCS Ceska spolecnost pro platebni karty sro</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Czech Republic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CCS Slovenska společnost pro platebne karty sro</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Slovakia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Lithuania UAB</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Lithuania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Technologies Mexico S. de R.L. de C.V.</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Mexico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Efectivale, S. de R.L. de C.V.</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Mexico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Efectivale Servicios, S. de R.L. de C.V.</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Mexico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CTF Technologies (Canada), ULC</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Canada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CTF Technologies do Brasil Ltda.</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Allstar Business Solutions Limited</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Business Fuel Cards Pty Limited</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Technologies New Zealand LTD.</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New Zealand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Cardlink Systems Limited</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New Zealand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VB – Serviços, Comércio e Administração Ltda.</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Auto Expresso Technologia S.A.</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Sem Parar Instituição de Pagamento Ltda. (fka: CGMP - Centro de Gestão De Meios de Pagamento Ltda.)</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Epyx Limited</w:t>
            </w:r>
          </w:p>
        </w:tc>
        <w:tc>
          <w:tcPr>
            <w:tcW w:w="23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7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Epyx France SAS</w:t>
            </w:r>
          </w:p>
        </w:tc>
        <w:tc>
          <w:tcPr>
            <w:tcW w:w="237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bl>
    <w:p>
      <w:pPr>
        <w:pStyle w:val="TextBody"/>
        <w:bidi w:val="0"/>
        <w:spacing w:lineRule="auto" w:line="288" w:before="0" w:after="0"/>
        <w:jc w:val="right"/>
        <w:rPr/>
      </w:pPr>
      <w:r>
        <w:rPr>
          <w:color w:val="000000"/>
        </w:rPr>
        <w:t>        </w:t>
      </w:r>
      <w:r>
        <w:rPr>
          <w:rFonts w:ascii="Arial;sans-serif" w:hAnsi="Arial;sans-serif"/>
          <w:b/>
          <w:color w:val="000000"/>
          <w:sz w:val="20"/>
        </w:rPr>
        <w:t>Exhibit 21.1</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2.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2688"/>
        <w:gridCol w:w="2565"/>
        <w:gridCol w:w="2572"/>
        <w:gridCol w:w="700"/>
        <w:gridCol w:w="641"/>
        <w:gridCol w:w="915"/>
      </w:tblGrid>
      <w:tr>
        <w:trPr/>
        <w:tc>
          <w:tcPr>
            <w:tcW w:w="124"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Pacific Pride Services, LLC</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Deutschland GmbH</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FCHC Holding Company, LLC</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Tankkarten GmbH</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Austria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Comdata, Inc.</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Comdata TN, INC.</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Tennessee,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Comdata Network, Inc. of California</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California,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Stored Value Solutions International B.V.</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Netherlands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Stored Value Solutions GmbH</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Stored Value Solutions France SAS</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Stored Value Solutions Hong Kong Limited</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Hong Kong</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Buyatab Online, Inc.</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Canada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Stored Value Solutions Canada, Ltd</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Canada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Shanghai Stored Value Solutions Information Technology Co., Ltd</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China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Stored Value Solutions UK Limited</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Venturo Technologien Swiss GmbH</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Switzerland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Belgium Société à Responsabilité Limitée</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Belgium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Poland Sp. z o.o.</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Poland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Hungary kft.</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Hungary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Venturo Technologies S.à.r.l.</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Luxembourg</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Czech Republic, s.r.o.</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Czech Republic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Slovakia, s.r.o.</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Slovakia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Creative Lodging Solutions, LLC</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Kentucky,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TravelCard B.V.</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Netherlands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Cambridge Mercantile Corp (USA)</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Cambridge Mercantile Corp (Canada)</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Canada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Cambridge Mercantile Corp (UK) Ltd</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Cambridge Mercantile Corp Australia PTY Ltd</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Cambridge Mercantile Risk Management (UK) Ltd</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 Connections Brasil Servicos de Viagens Ltda. (fka: Travelliance Brasil Servicos de Viagens Ltda)</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Comdata LA, LLC</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Louisiana,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R2C Online Limited</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 Connections MN, LLC (fka: LJK Companies LLC)</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Minnesota,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Roomstorm LLC</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Illinois,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 Connections MX, S. de R.L. de C.V. (fka: Travelliance S de RL de CV)</w:t>
            </w:r>
          </w:p>
        </w:tc>
        <w:tc>
          <w:tcPr>
            <w:tcW w:w="225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Mexico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8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 Connections UK Ltd. (fka: Travelliance Global Ltd)</w:t>
            </w:r>
          </w:p>
        </w:tc>
        <w:tc>
          <w:tcPr>
            <w:tcW w:w="225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bl>
    <w:p>
      <w:pPr>
        <w:pStyle w:val="TextBody"/>
        <w:bidi w:val="0"/>
        <w:spacing w:lineRule="auto" w:line="288" w:before="0" w:after="0"/>
        <w:jc w:val="right"/>
        <w:rPr/>
      </w:pPr>
      <w:r>
        <w:rPr>
          <w:color w:val="000000"/>
        </w:rPr>
        <w:t>        </w:t>
      </w:r>
      <w:r>
        <w:rPr>
          <w:rFonts w:ascii="Arial;sans-serif" w:hAnsi="Arial;sans-serif"/>
          <w:b/>
          <w:color w:val="000000"/>
          <w:sz w:val="20"/>
        </w:rPr>
        <w:t>Exhibit 21.1</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2.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2821"/>
        <w:gridCol w:w="2588"/>
        <w:gridCol w:w="2562"/>
        <w:gridCol w:w="706"/>
        <w:gridCol w:w="578"/>
        <w:gridCol w:w="826"/>
      </w:tblGrid>
      <w:tr>
        <w:trPr/>
        <w:tc>
          <w:tcPr>
            <w:tcW w:w="124"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LR2, LLC</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Illinois,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Group Achamps Ltd</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Texas,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Nvoicepay, Inc.</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Oregon,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Kiwi Fuel Cards Limited</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New Zealand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Lynked Solutions Pty, Ltd. (fka: Cardlink Systems PTY, Ltd.)</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 Connections AU Pty Ltd. (fka: Nationwide Hospitality Pty Ltd)</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 Connections IL, LLC (fka: NHI-2, LLC)</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Illinois,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 Connections DE, LLC (fka: Airline Accommodations Solutions, LLC)</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 Connections PTE Ltd. (fka: Hotel Connections PTE Ltd.)</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Singapore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 Connections SDN BHD (fka: Hotel Connections SDN BHD)</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Malaysia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 Connections of Japan, GK (fka: Hotel Connections of Japan, GK)</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Japan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ALE Solutions, Inc. </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Illinois,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Corpay One, Inc. (fka Roger.ai, Inc.)</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Corpay One ApS (fka: Roger.ai, ApS)</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Denmark</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Red Fuel Cards Europe Spain SLU</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Spain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Fidem Fundo de Investimento em Direito Creditórios (aka: Sem Parar Credit Rights Investment Fund) ("FIDC")</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AFEX Offshore Limited</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Jersey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Associated Foreign Exchange (Schweiz) AG</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Switzerland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Associated Foreign Exchange Australia Pty, Ltd.</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Associated Foreign Exchange Limited </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Associated Foreign Exchange Holdings, Inc.</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California,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Associated Foreign Exchange, Inc.</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California,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Associated Foreign Exchange, ULC</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Canada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PT. AFEX Indonesia</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Indonesia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AFEX Global Holdings Limited</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United Kingdom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AFEX Markets Limited (fka: AFEX Markets PLC)</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AFEX Markets Europe Limited</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Associated Foreign Exchange (Singapore) Pte. Ltd.</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Singapore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Associated Foreign Exchange Ireland Limited</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Mina Digital Limited</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Abbey Euro Diesel Limited</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UK Finance Holdings1 LLC</w:t>
            </w:r>
          </w:p>
        </w:tc>
        <w:tc>
          <w:tcPr>
            <w:tcW w:w="21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9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Fuelcards UK Limited</w:t>
            </w:r>
          </w:p>
        </w:tc>
        <w:tc>
          <w:tcPr>
            <w:tcW w:w="21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bl>
    <w:p>
      <w:pPr>
        <w:pStyle w:val="TextBody"/>
        <w:bidi w:val="0"/>
        <w:spacing w:lineRule="auto" w:line="288" w:before="0" w:after="0"/>
        <w:jc w:val="right"/>
        <w:rPr/>
      </w:pPr>
      <w:r>
        <w:rPr>
          <w:color w:val="000000"/>
        </w:rPr>
        <w:t>        </w:t>
      </w:r>
      <w:r>
        <w:rPr>
          <w:rFonts w:ascii="Arial;sans-serif" w:hAnsi="Arial;sans-serif"/>
          <w:b/>
          <w:color w:val="000000"/>
          <w:sz w:val="20"/>
        </w:rPr>
        <w:t>Exhibit 21.1</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2.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8973" w:type="dxa"/>
        <w:jc w:val="left"/>
        <w:tblInd w:w="0" w:type="dxa"/>
        <w:tblLayout w:type="fixed"/>
        <w:tblCellMar>
          <w:top w:w="28" w:type="dxa"/>
          <w:left w:w="28" w:type="dxa"/>
          <w:bottom w:w="28" w:type="dxa"/>
          <w:right w:w="28" w:type="dxa"/>
        </w:tblCellMar>
      </w:tblPr>
      <w:tblGrid>
        <w:gridCol w:w="124"/>
        <w:gridCol w:w="1988"/>
        <w:gridCol w:w="1988"/>
        <w:gridCol w:w="1993"/>
        <w:gridCol w:w="841"/>
        <w:gridCol w:w="841"/>
        <w:gridCol w:w="1198"/>
      </w:tblGrid>
      <w:tr>
        <w:trPr/>
        <w:tc>
          <w:tcPr>
            <w:tcW w:w="124"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Quadrum Investments Group Limited </w:t>
            </w:r>
          </w:p>
        </w:tc>
        <w:tc>
          <w:tcPr>
            <w:tcW w:w="28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United Kingdom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Plugsurfing B.V. </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Netherlands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Plugsurfing GmbH</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Germany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Sem Parar Holding Participações Ltda</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Brazil </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Sem Parar Corretora Digital E Consultoria de Seguros Ltda</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Sem Parar Sociedade de Crédito Direto S.A.</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Brazil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Gehl Companies, Inc. </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Minnesota,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Levarti Ltd.</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Levarti Australia Pty, Ltd. </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Levarti Services Australia Pty, Ltd. </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Accrualify Inc.</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California,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Accrualify India Private Limited</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Global Reach Group Holdings (Jersey) Limited</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Jersey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Global Reach Financial Solutions Inc</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Canada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PayByPhone Technologies, Inc.</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Canada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1433967 B.C ULC</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Canada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PayByPhone SAS</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France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Business Gateway GmbH (fka: Business Gateway AG)</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PayByPhone Deutschland GmbH</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Corpay India Private Limited</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India</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PayByPhone Italia S.r.l.</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Italy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Global Reach Markets BV</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Netherlands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Global Reach FX BV</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Netherlands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Plugsurfing AB</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Sweden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PayByPhone Suisse AG</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Switzerland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Global Reach Partners Limited</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Foreign Currency Exchange Limited</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Global Reach Markets Limited</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Project Galaxy MIDCO Limited</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Project Galaxy BIDCO Limited</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Global Reach Group Limited</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PayByPhone Limited</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Adaptis Solutions Limited</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Connect Cashless Parking Ltd.</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PayByPhone US Inc.</w:t>
            </w:r>
          </w:p>
        </w:tc>
        <w:tc>
          <w:tcPr>
            <w:tcW w:w="28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Roomex, LLC</w:t>
            </w:r>
          </w:p>
        </w:tc>
        <w:tc>
          <w:tcPr>
            <w:tcW w:w="28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Massachusetts,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Efectifintech SA de CV</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Mexico</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 Connections FZ, LLC (fka: Travelliance Global FZ LLE)</w:t>
            </w:r>
          </w:p>
        </w:tc>
        <w:tc>
          <w:tcPr>
            <w:tcW w:w="2880"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Arab Emirates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5969"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Fleetcor Technologies Pty. Limited</w:t>
            </w:r>
          </w:p>
        </w:tc>
        <w:tc>
          <w:tcPr>
            <w:tcW w:w="2880"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Australia</w:t>
            </w:r>
          </w:p>
        </w:tc>
      </w:tr>
    </w:tbl>
    <w:p>
      <w:pPr>
        <w:pStyle w:val="TextBody"/>
        <w:bidi w:val="0"/>
        <w:spacing w:lineRule="auto" w:line="288" w:before="0" w:after="0"/>
        <w:jc w:val="right"/>
        <w:rPr/>
      </w:pPr>
      <w:r>
        <w:rPr>
          <w:color w:val="000000"/>
        </w:rPr>
        <w:t>        </w:t>
      </w:r>
      <w:r>
        <w:rPr>
          <w:rFonts w:ascii="Arial;sans-serif" w:hAnsi="Arial;sans-serif"/>
          <w:b/>
          <w:color w:val="000000"/>
          <w:sz w:val="20"/>
        </w:rPr>
        <w:t>Exhibit 21.1</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2.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2555"/>
        <w:gridCol w:w="2548"/>
        <w:gridCol w:w="2553"/>
        <w:gridCol w:w="708"/>
        <w:gridCol w:w="707"/>
        <w:gridCol w:w="1010"/>
      </w:tblGrid>
      <w:tr>
        <w:trPr/>
        <w:tc>
          <w:tcPr>
            <w:tcW w:w="124"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CTF Holdings, Inc.</w:t>
            </w:r>
          </w:p>
        </w:tc>
        <w:tc>
          <w:tcPr>
            <w:tcW w:w="242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Barbados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CTF International, Inc.</w:t>
            </w:r>
          </w:p>
        </w:tc>
        <w:tc>
          <w:tcPr>
            <w:tcW w:w="242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Barbados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PPR Cyprus Holding 1 Ltd.</w:t>
            </w:r>
          </w:p>
        </w:tc>
        <w:tc>
          <w:tcPr>
            <w:tcW w:w="242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Cyprus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PPR Cyprus Holding 2 Ltd.</w:t>
            </w:r>
          </w:p>
        </w:tc>
        <w:tc>
          <w:tcPr>
            <w:tcW w:w="242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Cyprus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Roomex Limited</w:t>
            </w:r>
          </w:p>
        </w:tc>
        <w:tc>
          <w:tcPr>
            <w:tcW w:w="242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Roomex Hotels Limited</w:t>
            </w:r>
          </w:p>
        </w:tc>
        <w:tc>
          <w:tcPr>
            <w:tcW w:w="242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Ireland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Roomex Deutschland GmBH</w:t>
            </w:r>
          </w:p>
        </w:tc>
        <w:tc>
          <w:tcPr>
            <w:tcW w:w="242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Cambridge Mercantile Corp (Germany) UG</w:t>
            </w:r>
          </w:p>
        </w:tc>
        <w:tc>
          <w:tcPr>
            <w:tcW w:w="242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Germany</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AFEX Hong Kong Limited</w:t>
            </w:r>
          </w:p>
        </w:tc>
        <w:tc>
          <w:tcPr>
            <w:tcW w:w="242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Hong Kong</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Corpay (NZ) Limited (fka: Associated Foreign Exchange New Zealand Limited)</w:t>
            </w:r>
          </w:p>
        </w:tc>
        <w:tc>
          <w:tcPr>
            <w:tcW w:w="242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New Zealand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Ace Fuelcards Limited</w:t>
            </w:r>
          </w:p>
        </w:tc>
        <w:tc>
          <w:tcPr>
            <w:tcW w:w="242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Corpay One UK Limited (fka: Oasis Global Systems Limited)</w:t>
            </w:r>
          </w:p>
        </w:tc>
        <w:tc>
          <w:tcPr>
            <w:tcW w:w="242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United Kingdom</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CLC Group, Inc.</w:t>
            </w:r>
          </w:p>
        </w:tc>
        <w:tc>
          <w:tcPr>
            <w:tcW w:w="24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Delaware,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Crew Transportation Specialists, Inc.</w:t>
            </w:r>
          </w:p>
        </w:tc>
        <w:tc>
          <w:tcPr>
            <w:tcW w:w="24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Kansas,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Cambridge Mercantile Corp (Nevada)</w:t>
            </w:r>
          </w:p>
        </w:tc>
        <w:tc>
          <w:tcPr>
            <w:tcW w:w="24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Nevada, United States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7656"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Achamps Corporation</w:t>
            </w:r>
          </w:p>
        </w:tc>
        <w:tc>
          <w:tcPr>
            <w:tcW w:w="24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Texas, United States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1"/>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23.1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Statement (Form S-8 No. 333-268238) pertaining to the FLEETCOR Technologies, Inc. Amended and Restated 2010 Equity Compensation Plan,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Statement (Form S-8 No. 333-223378) pertaining to the FLEETCOR Technologies, Inc. Amended and Restated Stock Incentive Plan and the FLEETCOR Technologies, Inc. 2010 Equity Compensation Plan,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Registration Statement (Form S-8 No. 333-190483) pertaining to the FLEETCOR Technologies, Inc. Amended and Restated Stock Incentive Plan and the FLEETCOR Technologies, Inc. 2010 Equity Compensation Plan, and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Statement (Form S-8 No. 333-171289) pertaining to the FLEETCOR Technologies, Inc. Amended and Restated Stock Incentive Plan and the FLEETCOR Technologies, Inc. 2010 Equity Compensation Plan;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ans-serif" w:hAnsi="Times New Roman;sans-serif"/>
          <w:b w:val="false"/>
          <w:color w:val="000000"/>
          <w:sz w:val="20"/>
        </w:rPr>
        <w:t>of our reports dated February 29, 2024, with respect to the consolidated financial statements of FLEETCOR Technologies, Inc. and Subsidiaries and the effectiveness of internal control over financial reporting of FLEETCOR Technologies, Inc. and Subsidiaries included in this Annual Report (Form 10-K) of FLEETCOR Technologies, Inc. and Subsidiaries for the year ended December 31, 2023</w:t>
      </w:r>
      <w:r>
        <w:rPr>
          <w:rFonts w:ascii="Times New Roman;sans-serif" w:hAnsi="Times New Roman;sans-serif"/>
          <w:b w:val="false"/>
          <w:color w:val="000000"/>
          <w:sz w:val="20"/>
          <w:shd w:fill="FFFFFF" w:val="clear"/>
        </w:rPr>
        <w: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Ernst &amp; Young LLP</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Atlanta, Georgia </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February 29, 2024</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80" w:after="283"/>
        <w:jc w:val="both"/>
        <w:rPr>
          <w:color w:val="000000"/>
          <w:shd w:fill="FFFFFF" w:val="clear"/>
        </w:rPr>
      </w:pPr>
      <w:r>
        <w:rPr>
          <w:color w:val="000000"/>
          <w:shd w:fill="FFFFFF" w:val="clear"/>
        </w:rPr>
        <w:t> </w:t>
      </w:r>
    </w:p>
    <w:p>
      <w:pPr>
        <w:pStyle w:val="TextBody"/>
        <w:bidi w:val="0"/>
        <w:spacing w:before="100" w:after="1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895"/>
                <wp:effectExtent l="0" t="0" r="0" b="0"/>
                <wp:wrapNone/>
                <wp:docPr id="174" name="Frame17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1" w:after="1"/>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before="0" w:after="0"/>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Ronald F. Clarke,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FLEETCOR Technologies, Inc.</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084" w:type="dxa"/>
        <w:jc w:val="left"/>
        <w:tblInd w:w="0" w:type="dxa"/>
        <w:tblLayout w:type="fixed"/>
        <w:tblCellMar>
          <w:top w:w="28" w:type="dxa"/>
          <w:left w:w="28" w:type="dxa"/>
          <w:bottom w:w="28" w:type="dxa"/>
          <w:right w:w="28" w:type="dxa"/>
        </w:tblCellMar>
      </w:tblPr>
      <w:tblGrid>
        <w:gridCol w:w="667"/>
        <w:gridCol w:w="586"/>
        <w:gridCol w:w="831"/>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Ronald F. Clarke</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Ronald F. Clarke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before="0" w:after="0"/>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Tom Panther,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FLEETCOR Technologies, Inc.</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2024" w:type="dxa"/>
        <w:jc w:val="left"/>
        <w:tblInd w:w="0" w:type="dxa"/>
        <w:tblLayout w:type="fixed"/>
        <w:tblCellMar>
          <w:top w:w="28" w:type="dxa"/>
          <w:left w:w="28" w:type="dxa"/>
          <w:bottom w:w="28" w:type="dxa"/>
          <w:right w:w="28" w:type="dxa"/>
        </w:tblCellMar>
      </w:tblPr>
      <w:tblGrid>
        <w:gridCol w:w="648"/>
        <w:gridCol w:w="568"/>
        <w:gridCol w:w="808"/>
      </w:tblGrid>
      <w:tr>
        <w:trPr/>
        <w:tc>
          <w:tcPr>
            <w:tcW w:w="6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Tom Panther</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Tom Panther</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before="0" w:after="0"/>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FLEETCOR Technologies, Inc., a Delaware corporation (the “Company”), on Form 10-K for the year ended December 31, 2023, as filed with the Securities and Exchange Commission (the “Report”), Ronald F. Clarke, Chief Executive Officer of the Company, does hereby certify, pursuant to § 906 of the Sarbanes-Oxley Act of 2002 (18 U.S.C. § 1350), that to his knowledge: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084" w:type="dxa"/>
        <w:jc w:val="left"/>
        <w:tblInd w:w="0" w:type="dxa"/>
        <w:tblLayout w:type="fixed"/>
        <w:tblCellMar>
          <w:top w:w="28" w:type="dxa"/>
          <w:left w:w="28" w:type="dxa"/>
          <w:bottom w:w="28" w:type="dxa"/>
          <w:right w:w="28" w:type="dxa"/>
        </w:tblCellMar>
      </w:tblPr>
      <w:tblGrid>
        <w:gridCol w:w="667"/>
        <w:gridCol w:w="584"/>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Ronald F. Clarke</w:t>
            </w:r>
          </w:p>
        </w:tc>
      </w:tr>
      <w:tr>
        <w:trPr/>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Ronald F. Clarke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FLEETCOR Technologies, Inc. and will be retained by FLEETCOR Technologies,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before="0" w:after="0"/>
        <w:jc w:val="righ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FLEETCOR Technologies, Inc., a Delaware corporation (the “Company”), on Form 10-K for the year ended December 31, 2023, as filed with the Securities and Exchange Commission (the “Report”), Tom Panther, Chief Financial Officer of the Company, does hereby certify, pursuant to § 906 of the Sarbanes-Oxley Act of 2002 (18 U.S.C. § 1350), that to his knowledge: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8"/>
        <w:gridCol w:w="568"/>
        <w:gridCol w:w="808"/>
      </w:tblGrid>
      <w:tr>
        <w:trPr/>
        <w:tc>
          <w:tcPr>
            <w:tcW w:w="6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Tom Panther</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Tom Panther</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5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29,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FLEETCOR Technologies, Inc. and will be retained by FLEETCOR Technologies,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79" w:after="283"/>
        <w:jc w:val="center"/>
        <w:rPr>
          <w:rFonts w:ascii="Times New Roman;sans-serif" w:hAnsi="Times New Roman;sans-serif"/>
          <w:b/>
          <w:color w:val="000000"/>
          <w:sz w:val="24"/>
        </w:rPr>
      </w:pPr>
      <w:r>
        <w:rPr>
          <w:rFonts w:ascii="Times New Roman;sans-serif" w:hAnsi="Times New Roman;sans-serif"/>
          <w:b/>
          <w:color w:val="000000"/>
          <w:sz w:val="24"/>
        </w:rPr>
        <w:t>FLEETCOR TECHNOLOGIES, INC.</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Compensation Recoupment Policy Effective October 23, 2023</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Purpose</w:t>
      </w:r>
    </w:p>
    <w:p>
      <w:pPr>
        <w:pStyle w:val="TextBody"/>
        <w:bidi w:val="0"/>
        <w:spacing w:before="0" w:after="0"/>
        <w:jc w:val="left"/>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4"/>
        </w:rPr>
        <w:t>As required pursuant to the listing standards of the New York Stock Exchange (the “</w:t>
      </w:r>
      <w:r>
        <w:rPr>
          <w:rFonts w:ascii="Times New Roman;sans-serif" w:hAnsi="Times New Roman;sans-serif"/>
          <w:b/>
          <w:i/>
          <w:color w:val="000000"/>
          <w:sz w:val="24"/>
        </w:rPr>
        <w:t>Stock Exchange</w:t>
      </w:r>
      <w:r>
        <w:rPr>
          <w:color w:val="000000"/>
        </w:rPr>
        <w:t>”</w:t>
      </w:r>
      <w:r>
        <w:rPr>
          <w:rFonts w:ascii="Times New Roman;sans-serif" w:hAnsi="Times New Roman;sans-serif"/>
          <w:b w:val="false"/>
          <w:color w:val="000000"/>
          <w:sz w:val="24"/>
        </w:rPr>
        <w:t>), Section 10D of the Securities Exchange Act of 1934, as amended (the “</w:t>
      </w:r>
      <w:r>
        <w:rPr>
          <w:rFonts w:ascii="Times New Roman;sans-serif" w:hAnsi="Times New Roman;sans-serif"/>
          <w:b/>
          <w:i/>
          <w:color w:val="000000"/>
          <w:sz w:val="24"/>
        </w:rPr>
        <w:t>Exchange Act</w:t>
      </w:r>
      <w:r>
        <w:rPr>
          <w:color w:val="000000"/>
        </w:rPr>
        <w:t>”</w:t>
      </w:r>
      <w:r>
        <w:rPr>
          <w:rFonts w:ascii="Times New Roman;sans-serif" w:hAnsi="Times New Roman;sans-serif"/>
          <w:b w:val="false"/>
          <w:color w:val="000000"/>
          <w:sz w:val="24"/>
        </w:rPr>
        <w:t>), and Rule 10D-1 under the Exchange Act, the Board of Directors</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of FLEETCOR Technologies,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adopted this Compensation Recoupment Policy (the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to empower the Company to recover Covered Compensation (as defined below) erroneously awarded to a Covered Officer (as defined below) in the event of an Accounting Restatement (as defined below). This Policy applies to any Incentive-Based Compensation (as defined below) Received (as defined below) on or after October 2, 2023. The FLEETCOR Technologies, Inc. Clawback Policy effective as of January 30, 2020 (the “</w:t>
      </w:r>
      <w:r>
        <w:rPr>
          <w:rFonts w:ascii="Times New Roman;sans-serif" w:hAnsi="Times New Roman;sans-serif"/>
          <w:b/>
          <w:i/>
          <w:color w:val="000000"/>
          <w:sz w:val="24"/>
        </w:rPr>
        <w:t>Original Policy</w:t>
      </w:r>
      <w:r>
        <w:rPr>
          <w:color w:val="000000"/>
        </w:rPr>
        <w:t>”</w:t>
      </w:r>
      <w:r>
        <w:rPr>
          <w:rFonts w:ascii="Times New Roman;sans-serif" w:hAnsi="Times New Roman;sans-serif"/>
          <w:b w:val="false"/>
          <w:color w:val="000000"/>
          <w:sz w:val="24"/>
        </w:rPr>
        <w:t>) will continue to apply to Incentive-Based Compensation (as defined in the Original Policy).</w:t>
      </w:r>
    </w:p>
    <w:p>
      <w:pPr>
        <w:pStyle w:val="TextBody"/>
        <w:bidi w:val="0"/>
        <w:spacing w:before="1" w:after="283"/>
        <w:jc w:val="left"/>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4"/>
        </w:rPr>
        <w:t>Notwithstanding anything in this Policy to the contrary, at all times, this Policy remains subject to interpretation and operation in accordance with the final rules and regulations promulgated by the U.S. Securities and Exchange Commission (the “</w:t>
      </w:r>
      <w:r>
        <w:rPr>
          <w:rFonts w:ascii="Times New Roman;sans-serif" w:hAnsi="Times New Roman;sans-serif"/>
          <w:b/>
          <w:i/>
          <w:color w:val="000000"/>
          <w:sz w:val="24"/>
        </w:rPr>
        <w:t>SEC</w:t>
      </w:r>
      <w:r>
        <w:rPr>
          <w:color w:val="000000"/>
        </w:rPr>
        <w:t>”</w:t>
      </w:r>
      <w:r>
        <w:rPr>
          <w:rFonts w:ascii="Times New Roman;sans-serif" w:hAnsi="Times New Roman;sans-serif"/>
          <w:b w:val="false"/>
          <w:color w:val="000000"/>
          <w:sz w:val="24"/>
        </w:rPr>
        <w:t>), the final listing standards adopted by the Stock Exchange, and any applicable SEC or Stock Exchange guidance or interpretations issued from time to time regarding such Covered Compensation recovery requirements (collectively, the “</w:t>
      </w:r>
      <w:r>
        <w:rPr>
          <w:rFonts w:ascii="Times New Roman;sans-serif" w:hAnsi="Times New Roman;sans-serif"/>
          <w:b/>
          <w:i/>
          <w:color w:val="000000"/>
          <w:sz w:val="24"/>
        </w:rPr>
        <w:t>Final Guidance</w:t>
      </w:r>
      <w:r>
        <w:rPr>
          <w:color w:val="000000"/>
        </w:rPr>
        <w:t>”</w:t>
      </w:r>
      <w:r>
        <w:rPr>
          <w:rFonts w:ascii="Times New Roman;sans-serif" w:hAnsi="Times New Roman;sans-serif"/>
          <w:b w:val="false"/>
          <w:color w:val="000000"/>
          <w:sz w:val="24"/>
        </w:rPr>
        <w:t>). Questions regarding this Policy should be directed to the Company’s General Counsel.</w:t>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Policy Statement</w:t>
      </w:r>
    </w:p>
    <w:p>
      <w:pPr>
        <w:pStyle w:val="TextBody"/>
        <w:bidi w:val="0"/>
        <w:spacing w:before="0" w:after="0"/>
        <w:jc w:val="left"/>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4"/>
        </w:rPr>
        <w:t>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Times New Roman;sans-serif" w:hAnsi="Times New Roman;sans-serif"/>
          <w:b/>
          <w:i/>
          <w:color w:val="000000"/>
          <w:sz w:val="24"/>
        </w:rPr>
        <w:t>Accounting Restatement</w:t>
      </w:r>
      <w:r>
        <w:rPr>
          <w:color w:val="000000"/>
        </w:rPr>
        <w:t>”</w:t>
      </w:r>
      <w:r>
        <w:rPr>
          <w:rFonts w:ascii="Times New Roman;sans-serif" w:hAnsi="Times New Roman;sans-serif"/>
          <w:b w:val="false"/>
          <w:color w:val="000000"/>
          <w:sz w:val="24"/>
        </w:rPr>
        <w:t>). If a Clawback Exception applies with respect to a Covered Officer, the Company may forgo such recovery under this Policy from such Covered Officer.</w:t>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Covered Officers</w:t>
      </w:r>
    </w:p>
    <w:p>
      <w:pPr>
        <w:pStyle w:val="TextBody"/>
        <w:bidi w:val="0"/>
        <w:spacing w:before="0" w:after="0"/>
        <w:jc w:val="left"/>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4"/>
        </w:rPr>
        <w:t>For purposes of this Policy, “</w:t>
      </w:r>
      <w:r>
        <w:rPr>
          <w:rFonts w:ascii="Times New Roman;sans-serif" w:hAnsi="Times New Roman;sans-serif"/>
          <w:b/>
          <w:i/>
          <w:color w:val="000000"/>
          <w:sz w:val="24"/>
        </w:rPr>
        <w:t>Covered Officer</w:t>
      </w:r>
      <w:r>
        <w:rPr>
          <w:color w:val="000000"/>
        </w:rPr>
        <w:t xml:space="preserve">” </w:t>
      </w:r>
      <w:r>
        <w:rPr>
          <w:rFonts w:ascii="Times New Roman;sans-serif" w:hAnsi="Times New Roman;sans-serif"/>
          <w:b w:val="false"/>
          <w:color w:val="000000"/>
          <w:sz w:val="24"/>
        </w:rPr>
        <w:t>is defined as any current or former “Section 16 officer” of the Company within the meaning of Rule 16a-1(f) under the Exchange Act, as determined by the Board or the Compensation Committee of the Board (the “</w:t>
      </w:r>
      <w:r>
        <w:rPr>
          <w:rFonts w:ascii="Times New Roman;sans-serif" w:hAnsi="Times New Roman;sans-serif"/>
          <w:b/>
          <w:i/>
          <w:color w:val="000000"/>
          <w:sz w:val="24"/>
        </w:rPr>
        <w:t>Committee</w:t>
      </w:r>
      <w:r>
        <w:rPr>
          <w:color w:val="000000"/>
        </w:rPr>
        <w:t>”</w:t>
      </w:r>
      <w:r>
        <w:rPr>
          <w:rFonts w:ascii="Times New Roman;sans-serif" w:hAnsi="Times New Roman;sans-serif"/>
          <w:b w:val="false"/>
          <w:color w:val="000000"/>
          <w:sz w:val="24"/>
        </w:rPr>
        <w:t>). Covered Officers include, at a minimum, “executive officers” as defined in Rule</w:t>
      </w:r>
    </w:p>
    <w:p>
      <w:pPr>
        <w:pStyle w:val="TextBody"/>
        <w:bidi w:val="0"/>
        <w:spacing w:before="109" w:after="283"/>
        <w:jc w:val="left"/>
        <w:rPr/>
      </w:pPr>
      <w:r>
        <w:rPr/>
      </w:r>
    </w:p>
    <w:p>
      <w:pPr>
        <w:pStyle w:val="TextBody"/>
        <w:bidi w:val="0"/>
        <w:spacing w:before="137"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3b-7 under the Exchange Act and identified under Item 401(b) of Regulation S-K.</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Covered Compensation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 purposes of this Policy:</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4"/>
        </w:rPr>
        <w:t>Covered Compensation</w:t>
      </w:r>
      <w:r>
        <w:rPr>
          <w:color w:val="000000"/>
        </w:rPr>
        <w:t xml:space="preserve">” </w:t>
      </w:r>
      <w:r>
        <w:rPr>
          <w:rFonts w:ascii="Times New Roman;sans-serif" w:hAnsi="Times New Roman;sans-serif"/>
          <w:b w:val="false"/>
          <w:color w:val="000000"/>
          <w:sz w:val="24"/>
        </w:rPr>
        <w:t>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and computed without regard to any taxes paid.</w:t>
      </w:r>
    </w:p>
    <w:p>
      <w:pPr>
        <w:pStyle w:val="TextBody"/>
        <w:bidi w:val="0"/>
        <w:spacing w:lineRule="auto" w:line="240" w:before="275"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Incentive-Based Compensation Received by a Covered Officer will only qualify as Covered Compensation if: (i) it is Received on or after October 2, 2023; (ii) it is Received after such Covered Officer begins service as a Covered Officer; (iii) such Covered Officer served as a Covered Officer at any time during the performance period for such Incentive-Based Compensation; and (iv) it is Received while the Company has a class of securities listed on a national securities exchange or a national securities association.</w:t>
      </w:r>
    </w:p>
    <w:p>
      <w:pPr>
        <w:pStyle w:val="TextBody"/>
        <w:bidi w:val="0"/>
        <w:spacing w:before="1"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Incentive-Based Compensation based on stock price or total shareholder return, where the amount of erroneously awarded Covered Compensation is not subject to mathematical recalculation directly from the information in an Accounting Restatement, 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 determination of such reasonable estimate.</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4"/>
        </w:rPr>
        <w:t>Incentive-Based Compensation</w:t>
      </w:r>
      <w:r>
        <w:rPr>
          <w:color w:val="000000"/>
        </w:rPr>
        <w:t xml:space="preserve">” </w:t>
      </w:r>
      <w:r>
        <w:rPr>
          <w:rFonts w:ascii="Times New Roman;sans-serif" w:hAnsi="Times New Roman;sans-serif"/>
          <w:b w:val="false"/>
          <w:color w:val="000000"/>
          <w:sz w:val="24"/>
        </w:rPr>
        <w:t>is defined as any compensation that is granted, earned, or vested based wholly or in part upon the attainment 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4"/>
        </w:rPr>
        <w:t>Financial Reporting Measure</w:t>
      </w:r>
      <w:r>
        <w:rPr>
          <w:color w:val="000000"/>
        </w:rPr>
        <w:t xml:space="preserve">” </w:t>
      </w:r>
      <w:r>
        <w:rPr>
          <w:rFonts w:ascii="Times New Roman;sans-serif" w:hAnsi="Times New Roman;sans-serif"/>
          <w:b w:val="false"/>
          <w:color w:val="000000"/>
          <w:sz w:val="24"/>
        </w:rPr>
        <w:t>is defined as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w:t>
      </w:r>
    </w:p>
    <w:p>
      <w:pPr>
        <w:pStyle w:val="TextBody"/>
        <w:bidi w:val="0"/>
        <w:spacing w:lineRule="auto" w:line="240" w:before="275" w:after="283"/>
        <w:ind w:left="0" w:right="0" w:hanging="360"/>
        <w:jc w:val="both"/>
        <w:rPr/>
      </w:pPr>
      <w:r>
        <w:rPr>
          <w:color w:val="000000"/>
        </w:rPr>
        <w:t>•</w:t>
      </w:r>
      <w:r>
        <w:rPr>
          <w:rFonts w:ascii="Times New Roman;sans-serif" w:hAnsi="Times New Roman;sans-serif"/>
          <w:b w:val="false"/>
          <w:color w:val="000000"/>
          <w:sz w:val="24"/>
        </w:rPr>
        <w:t>Incentive-Based Compensation is deemed “</w:t>
      </w:r>
      <w:r>
        <w:rPr>
          <w:rFonts w:ascii="Times New Roman;sans-serif" w:hAnsi="Times New Roman;sans-serif"/>
          <w:b/>
          <w:i/>
          <w:color w:val="000000"/>
          <w:sz w:val="24"/>
        </w:rPr>
        <w:t>Received</w:t>
      </w:r>
      <w:r>
        <w:rPr>
          <w:color w:val="000000"/>
        </w:rPr>
        <w:t xml:space="preserve">” </w:t>
      </w:r>
      <w:r>
        <w:rPr>
          <w:rFonts w:ascii="Times New Roman;sans-serif" w:hAnsi="Times New Roman;sans-serif"/>
          <w:b w:val="false"/>
          <w:color w:val="000000"/>
          <w:sz w:val="24"/>
        </w:rPr>
        <w:t>in the Company’s fiscal period during which the Financial Reporting Measure specified in the Incentive-Based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330960"/>
                <wp:effectExtent l="0" t="0" r="0" b="0"/>
                <wp:wrapNone/>
                <wp:docPr id="180" name="Frame179"/>
                <a:graphic xmlns:a="http://schemas.openxmlformats.org/drawingml/2006/main">
                  <a:graphicData uri="http://schemas.microsoft.com/office/word/2010/wordprocessingShape">
                    <wps:wsp>
                      <wps:cNvSpPr txBox="1"/>
                      <wps:spPr>
                        <a:xfrm>
                          <a:off x="0" y="0"/>
                          <a:ext cx="6480175" cy="1330960"/>
                        </a:xfrm>
                        <a:prstGeom prst="rect"/>
                        <a:solidFill>
                          <a:srgbClr val="FFFFFF"/>
                        </a:solidFill>
                      </wps:spPr>
                      <wps:txbx>
                        <w:txbxContent>
                          <w:tbl>
                            <w:tblPr>
                              <w:tblW w:w="1605" w:type="dxa"/>
                              <w:jc w:val="left"/>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r>
                                    <w:br w:type="page"/>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NAI-1538025872v1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4.8pt;mso-wrap-distance-left:0pt;mso-wrap-distance-right:0pt;mso-wrap-distance-top:0pt;mso-wrap-distance-bottom:0pt;margin-top:0pt;mso-position-vertical:top;mso-position-vertical-relative:text;margin-left:0pt;mso-position-horizontal:left;mso-position-horizontal-relative:text">
                <v:textbox>
                  <w:txbxContent>
                    <w:tbl>
                      <w:tblPr>
                        <w:tblW w:w="1605" w:type="dxa"/>
                        <w:jc w:val="left"/>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NAI-1538025872v1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Compensation award is attained, even if the payment or grant of the Incentive-Based Compensation occurs after the end of that period.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Recovery Period</w:t>
      </w:r>
    </w:p>
    <w:p>
      <w:pPr>
        <w:pStyle w:val="TextBody"/>
        <w:bidi w:val="0"/>
        <w:spacing w:before="0" w:after="0"/>
        <w:jc w:val="left"/>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4"/>
        </w:rPr>
        <w:t>For purposes of this Policy, the applicable “</w:t>
      </w:r>
      <w:r>
        <w:rPr>
          <w:rFonts w:ascii="Times New Roman;sans-serif" w:hAnsi="Times New Roman;sans-serif"/>
          <w:b/>
          <w:i/>
          <w:color w:val="000000"/>
          <w:sz w:val="24"/>
        </w:rPr>
        <w:t>Recovery Period</w:t>
      </w:r>
      <w:r>
        <w:rPr>
          <w:color w:val="000000"/>
        </w:rPr>
        <w:t xml:space="preserve">” </w:t>
      </w:r>
      <w:r>
        <w:rPr>
          <w:rFonts w:ascii="Times New Roman;sans-serif" w:hAnsi="Times New Roman;sans-serif"/>
          <w:b w:val="false"/>
          <w:color w:val="000000"/>
          <w:sz w:val="24"/>
        </w:rPr>
        <w:t>is defined as the three completed fiscal years immediately preceding the Trigger Date (as defined below) and, if applicable, any transition period resulting from a change in the Company’s fiscal year within or immediately following those three completed fiscal years (provided, however, that if a transition period between the last day of the Company’s previous fiscal year end and the first day of its new fiscal year comprises a period of nine to 12 months, such period would be deemed to be a completed fiscal year).</w:t>
      </w:r>
    </w:p>
    <w:p>
      <w:pPr>
        <w:pStyle w:val="TextBody"/>
        <w:bidi w:val="0"/>
        <w:spacing w:before="1" w:after="283"/>
        <w:jc w:val="left"/>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4"/>
        </w:rPr>
        <w:t>For purposes of this Policy, the “</w:t>
      </w:r>
      <w:r>
        <w:rPr>
          <w:rFonts w:ascii="Times New Roman;sans-serif" w:hAnsi="Times New Roman;sans-serif"/>
          <w:b/>
          <w:i/>
          <w:color w:val="000000"/>
          <w:sz w:val="24"/>
        </w:rPr>
        <w:t>Trigger Date</w:t>
      </w:r>
      <w:r>
        <w:rPr>
          <w:color w:val="000000"/>
        </w:rPr>
        <w:t xml:space="preserve">” </w:t>
      </w:r>
      <w:r>
        <w:rPr>
          <w:rFonts w:ascii="Times New Roman;sans-serif" w:hAnsi="Times New Roman;sans-serif"/>
          <w:b w:val="false"/>
          <w:color w:val="000000"/>
          <w:sz w:val="24"/>
        </w:rPr>
        <w:t>as of which the Company is required to prepare an Accounting Restatement is the earlier to occur of: (i) the date that the Board, applicable Board committee, or officers authorized to take action if Board action is not required, concludes, or reasonably should have concluded, that the Company is required to prepare the Accounting Restatement or (ii) the date a court, regulator, or other legally authorized body directs the Company to prepare the Accounting Restatement.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Clawback Exceptions</w:t>
      </w:r>
    </w:p>
    <w:p>
      <w:pPr>
        <w:pStyle w:val="TextBody"/>
        <w:bidi w:val="0"/>
        <w:spacing w:before="0" w:after="0"/>
        <w:jc w:val="left"/>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4"/>
        </w:rPr>
        <w:t>The Company is required to recover all Covered Compensation Received by a Covered Officer in the event of an Accounting Restatement unless (i) one of the following conditions are met and (ii) the Committee has made a determination that recovery would be impracticable in accordance with Rule 10D-1 under the Exchange Act (under such circumstances, a “</w:t>
      </w:r>
      <w:r>
        <w:rPr>
          <w:rFonts w:ascii="Times New Roman;sans-serif" w:hAnsi="Times New Roman;sans-serif"/>
          <w:b/>
          <w:i/>
          <w:color w:val="000000"/>
          <w:sz w:val="24"/>
        </w:rPr>
        <w:t>Clawback Exception</w:t>
      </w:r>
      <w:r>
        <w:rPr>
          <w:color w:val="000000"/>
        </w:rPr>
        <w:t xml:space="preserve">” </w:t>
      </w:r>
      <w:r>
        <w:rPr>
          <w:rFonts w:ascii="Times New Roman;sans-serif" w:hAnsi="Times New Roman;sans-serif"/>
          <w:b w:val="false"/>
          <w:color w:val="000000"/>
          <w:sz w:val="24"/>
        </w:rPr>
        <w:t>applies):</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pStyle w:val="TextBody"/>
        <w:bidi w:val="0"/>
        <w:spacing w:lineRule="auto" w:line="240" w:before="275" w:after="283"/>
        <w:ind w:left="0" w:right="0" w:hanging="360"/>
        <w:jc w:val="both"/>
        <w:rPr/>
      </w:pPr>
      <w:r>
        <w:rPr>
          <w:color w:val="000000"/>
        </w:rPr>
        <w:t>•</w:t>
      </w:r>
      <w:r>
        <w:rPr>
          <w:rFonts w:ascii="Times New Roman;sans-serif" w:hAnsi="Times New Roman;sans-serif"/>
          <w:b w:val="false"/>
          <w:color w:val="000000"/>
          <w:sz w:val="24"/>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pStyle w:val="TextBody"/>
        <w:bidi w:val="0"/>
        <w:spacing w:before="0" w:after="0"/>
        <w:jc w:val="left"/>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4"/>
        </w:rPr>
        <w:t>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 plans, such as earnings accrued on notional amounts of Incentive-Based Compensation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330960"/>
                <wp:effectExtent l="0" t="0" r="0" b="0"/>
                <wp:wrapNone/>
                <wp:docPr id="181" name="Frame180"/>
                <a:graphic xmlns:a="http://schemas.openxmlformats.org/drawingml/2006/main">
                  <a:graphicData uri="http://schemas.microsoft.com/office/word/2010/wordprocessingShape">
                    <wps:wsp>
                      <wps:cNvSpPr txBox="1"/>
                      <wps:spPr>
                        <a:xfrm>
                          <a:off x="0" y="0"/>
                          <a:ext cx="6480175" cy="1330960"/>
                        </a:xfrm>
                        <a:prstGeom prst="rect"/>
                        <a:solidFill>
                          <a:srgbClr val="FFFFFF"/>
                        </a:solidFill>
                      </wps:spPr>
                      <wps:txbx>
                        <w:txbxContent>
                          <w:tbl>
                            <w:tblPr>
                              <w:tblW w:w="1605" w:type="dxa"/>
                              <w:jc w:val="left"/>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r>
                                    <w:br w:type="page"/>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NAI-1538025872v1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4.8pt;mso-wrap-distance-left:0pt;mso-wrap-distance-right:0pt;mso-wrap-distance-top:0pt;mso-wrap-distance-bottom:0pt;margin-top:0pt;mso-position-vertical:top;mso-position-vertical-relative:text;margin-left:0pt;mso-position-horizontal:left;mso-position-horizontal-relative:text">
                <v:textbox>
                  <w:txbxContent>
                    <w:tbl>
                      <w:tblPr>
                        <w:tblW w:w="1605" w:type="dxa"/>
                        <w:jc w:val="left"/>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NAI-1538025872v1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40" w:before="79"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contributed to such plans.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Prohibitions</w:t>
      </w:r>
    </w:p>
    <w:p>
      <w:pPr>
        <w:pStyle w:val="TextBody"/>
        <w:bidi w:val="0"/>
        <w:spacing w:before="0" w:after="0"/>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is prohibited from paying or reimbursing the cost of insurance for, or indemnifying, any Covered Officer against the loss of erroneously awarded Covered Compensation.</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Administration and Interpretation</w:t>
      </w:r>
    </w:p>
    <w:p>
      <w:pPr>
        <w:pStyle w:val="TextBody"/>
        <w:bidi w:val="0"/>
        <w:spacing w:before="0" w:after="0"/>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will administer this Policy in accordance with the Final Guidance, and will have full and exclusive authority and discretion to supplement, amend, repeal, interpret, terminate, construe, modify, replace and/or enforce (in whole or in part) this Policy, including the authority to correct any defect, supply any omission or reconcile any ambiguity, inconsistency or conflict in the Policy, subject to the Final Guidance. The Committee will review the Policy from time to time and will have full and exclusive authority to take any action it deems appropriate.</w:t>
      </w:r>
    </w:p>
    <w:p>
      <w:pPr>
        <w:pStyle w:val="TextBody"/>
        <w:bidi w:val="0"/>
        <w:spacing w:before="1" w:after="283"/>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The Committee will have the authority to offset any compensation or benefit amounts that become due to the applicable Covered Officers to the extent permissible under Section 409A of the Internal Revenue Code of 1986, as amended, and as it deems necessary or desirable to recover any Covered Compensation.</w:t>
      </w:r>
    </w:p>
    <w:p>
      <w:pPr>
        <w:pStyle w:val="TextBody"/>
        <w:bidi w:val="0"/>
        <w:spacing w:before="0" w:after="0"/>
        <w:jc w:val="left"/>
        <w:rPr/>
      </w:pPr>
      <w:r>
        <w:rPr/>
      </w:r>
    </w:p>
    <w:p>
      <w:pPr>
        <w:pStyle w:val="TextBody"/>
        <w:bidi w:val="0"/>
        <w:spacing w:lineRule="auto" w:line="240" w:before="0" w:after="0"/>
        <w:ind w:left="0" w:right="0" w:firstLine="719"/>
        <w:jc w:val="both"/>
        <w:rPr/>
      </w:pPr>
      <w:r>
        <w:rPr>
          <w:rFonts w:ascii="Times New Roman;sans-serif" w:hAnsi="Times New Roman;sans-serif"/>
          <w:b w:val="false"/>
          <w:color w:val="000000"/>
          <w:sz w:val="24"/>
        </w:rPr>
        <w:t>This Policy shall not preclude any other compensation recoupment or clawback policies, arrangements or provisions of the Company (“</w:t>
      </w:r>
      <w:r>
        <w:rPr>
          <w:rFonts w:ascii="Times New Roman;sans-serif" w:hAnsi="Times New Roman;sans-serif"/>
          <w:b/>
          <w:i/>
          <w:color w:val="000000"/>
          <w:sz w:val="24"/>
        </w:rPr>
        <w:t>Other Recovery Provisions</w:t>
      </w:r>
      <w:r>
        <w:rPr>
          <w:color w:val="000000"/>
        </w:rPr>
        <w:t>”</w:t>
      </w:r>
      <w:r>
        <w:rPr>
          <w:rFonts w:ascii="Times New Roman;sans-serif" w:hAnsi="Times New Roman;sans-serif"/>
          <w:b w:val="false"/>
          <w:color w:val="000000"/>
          <w:sz w:val="24"/>
        </w:rPr>
        <w:t>); to the extent recovery of compensation is achieved by the Company under this Policy, there shall be no duplication of recovery under Other Recovery Provisions, except as may be required by law.</w:t>
      </w:r>
    </w:p>
    <w:p>
      <w:pPr>
        <w:pStyle w:val="TextBody"/>
        <w:bidi w:val="0"/>
        <w:spacing w:before="1" w:after="283"/>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Disclosure</w:t>
      </w:r>
    </w:p>
    <w:p>
      <w:pPr>
        <w:pStyle w:val="TextBody"/>
        <w:bidi w:val="0"/>
        <w:spacing w:before="0" w:after="0"/>
        <w:jc w:val="left"/>
        <w:rPr/>
      </w:pPr>
      <w:r>
        <w:rPr/>
      </w:r>
    </w:p>
    <w:p>
      <w:pPr>
        <w:pStyle w:val="TextBody"/>
        <w:bidi w:val="0"/>
        <w:spacing w:lineRule="auto" w:line="240" w:before="0" w:after="0"/>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 Final Guidance.</w:t>
      </w:r>
    </w:p>
    <w:p>
      <w:pPr>
        <w:pStyle w:val="TextBody"/>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330960"/>
                <wp:effectExtent l="0" t="0" r="0" b="0"/>
                <wp:wrapNone/>
                <wp:docPr id="182" name="Frame181"/>
                <a:graphic xmlns:a="http://schemas.openxmlformats.org/drawingml/2006/main">
                  <a:graphicData uri="http://schemas.microsoft.com/office/word/2010/wordprocessingShape">
                    <wps:wsp>
                      <wps:cNvSpPr txBox="1"/>
                      <wps:spPr>
                        <a:xfrm>
                          <a:off x="0" y="0"/>
                          <a:ext cx="6480175" cy="1330960"/>
                        </a:xfrm>
                        <a:prstGeom prst="rect"/>
                        <a:solidFill>
                          <a:srgbClr val="FFFFFF"/>
                        </a:solidFill>
                      </wps:spPr>
                      <wps:txbx>
                        <w:txbxContent>
                          <w:tbl>
                            <w:tblPr>
                              <w:tblW w:w="1605" w:type="dxa"/>
                              <w:jc w:val="left"/>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r>
                                    <w:br w:type="page"/>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NAI-1538025872v1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4.8pt;mso-wrap-distance-left:0pt;mso-wrap-distance-right:0pt;mso-wrap-distance-top:0pt;mso-wrap-distance-bottom:0pt;margin-top:0pt;mso-position-vertical:top;mso-position-vertical-relative:text;margin-left:0pt;mso-position-horizontal:left;mso-position-horizontal-relative:text">
                <v:textbox>
                  <w:txbxContent>
                    <w:tbl>
                      <w:tblPr>
                        <w:tblW w:w="1605" w:type="dxa"/>
                        <w:jc w:val="left"/>
                        <w:tblInd w:w="0" w:type="dxa"/>
                        <w:tblLayout w:type="fixed"/>
                        <w:tblCellMar>
                          <w:top w:w="28" w:type="dxa"/>
                          <w:left w:w="28" w:type="dxa"/>
                          <w:bottom w:w="28" w:type="dxa"/>
                          <w:right w:w="28" w:type="dxa"/>
                        </w:tblCellMar>
                      </w:tblPr>
                      <w:tblGrid>
                        <w:gridCol w:w="514"/>
                        <w:gridCol w:w="451"/>
                        <w:gridCol w:w="640"/>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14"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NAI-1538025872v1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75454/000162828023005444/ex31certificateofincorpora.htm" TargetMode="External"/><Relationship Id="rId4" Type="http://schemas.openxmlformats.org/officeDocument/2006/relationships/hyperlink" Target="https://www.sec.gov/Archives/edgar/data/1175454/000162828022017144/flt-bylaws2022bdmeeting.htm" TargetMode="External"/><Relationship Id="rId5" Type="http://schemas.openxmlformats.org/officeDocument/2006/relationships/hyperlink" Target="http://www.sec.gov/Archives/edgar/data/1175454/000119312510149947/dex41.htm" TargetMode="External"/><Relationship Id="rId6" Type="http://schemas.openxmlformats.org/officeDocument/2006/relationships/hyperlink" Target="http://www.sec.gov/Archives/edgar/data/1175454/000117545420000008/descriptionoffleetcort.htm" TargetMode="External"/><Relationship Id="rId7" Type="http://schemas.openxmlformats.org/officeDocument/2006/relationships/hyperlink" Target="http://www.sec.gov/Archives/edgar/data/1175454/000119312510149947/dex101.htm" TargetMode="External"/><Relationship Id="rId8" Type="http://schemas.openxmlformats.org/officeDocument/2006/relationships/hyperlink" Target="http://www.sec.gov/Archives/edgar/data/1175454/000119312510124434/dex107.htm" TargetMode="External"/><Relationship Id="rId9" Type="http://schemas.openxmlformats.org/officeDocument/2006/relationships/hyperlink" Target="http://www.sec.gov/Archives/edgar/data/1175454/000119312510124434/dex108.htm" TargetMode="External"/><Relationship Id="rId10" Type="http://schemas.openxmlformats.org/officeDocument/2006/relationships/hyperlink" Target="http://www.sec.gov/Archives/edgar/data/1175454/000119312510124434/dex109.htm" TargetMode="External"/><Relationship Id="rId11" Type="http://schemas.openxmlformats.org/officeDocument/2006/relationships/hyperlink" Target="http://www.sec.gov/Archives/edgar/data/1175454/000119312510134183/dex1011.htm" TargetMode="External"/><Relationship Id="rId12" Type="http://schemas.openxmlformats.org/officeDocument/2006/relationships/hyperlink" Target="http://www.sec.gov/Archives/edgar/data/1175454/000119312510134183/dex1012.htm" TargetMode="External"/><Relationship Id="rId13" Type="http://schemas.openxmlformats.org/officeDocument/2006/relationships/hyperlink" Target="http://www.sec.gov/Archives/edgar/data/1175454/000119312510134183/dex1017.htm" TargetMode="External"/><Relationship Id="rId14" Type="http://schemas.openxmlformats.org/officeDocument/2006/relationships/hyperlink" Target="http://www.sec.gov/Archives/edgar/data/1175454/000119312511078175/dex1017.htm" TargetMode="External"/><Relationship Id="rId15" Type="http://schemas.openxmlformats.org/officeDocument/2006/relationships/hyperlink" Target="http://www.sec.gov/Archives/edgar/data/1175454/000119312510149947/dex1037.htm" TargetMode="External"/><Relationship Id="rId16" Type="http://schemas.openxmlformats.org/officeDocument/2006/relationships/hyperlink" Target="http://www.sec.gov/Archives/edgar/data/1175454/000119312510271283/dex1038.htm" TargetMode="External"/><Relationship Id="rId17" Type="http://schemas.openxmlformats.org/officeDocument/2006/relationships/hyperlink" Target="http://www.sec.gov/Archives/edgar/data/1175454/000119312510271283/dex1039.htm" TargetMode="External"/><Relationship Id="rId18" Type="http://schemas.openxmlformats.org/officeDocument/2006/relationships/hyperlink" Target="http://www.sec.gov/Archives/edgar/data/1175454/000119312510271283/dex1040.htm" TargetMode="External"/><Relationship Id="rId19" Type="http://schemas.openxmlformats.org/officeDocument/2006/relationships/hyperlink" Target="http://www.sec.gov/Archives/edgar/data/1175454/000119312510271283/dex1041.htm" TargetMode="External"/><Relationship Id="rId20" Type="http://schemas.openxmlformats.org/officeDocument/2006/relationships/hyperlink" Target="http://www.sec.gov/Archives/edgar/data/1175454/000119312510271283/dex1042.htm" TargetMode="External"/><Relationship Id="rId21" Type="http://schemas.openxmlformats.org/officeDocument/2006/relationships/hyperlink" Target="http://www.sec.gov/Archives/edgar/data/1175454/000119312510271283/dex1043.htm" TargetMode="External"/><Relationship Id="rId22" Type="http://schemas.openxmlformats.org/officeDocument/2006/relationships/hyperlink" Target="http://www.sec.gov/Archives/edgar/data/1175454/000119312512225964/d330922dex101.htm" TargetMode="External"/><Relationship Id="rId23" Type="http://schemas.openxmlformats.org/officeDocument/2006/relationships/hyperlink" Target="https://www.sec.gov/Archives/edgar/data/1175454/000162828023005444/ex1017equitycompensationpl.htm" TargetMode="External"/><Relationship Id="rId24" Type="http://schemas.openxmlformats.org/officeDocument/2006/relationships/hyperlink" Target="https://www.sec.gov/Archives/edgar/data/1175454/000117545421000047/exh104.htm" TargetMode="External"/><Relationship Id="rId25" Type="http://schemas.openxmlformats.org/officeDocument/2006/relationships/hyperlink" Target="http://www.sec.gov/Archives/edgar/data/1175454/000119312514406270/d783602dex104.htm" TargetMode="External"/><Relationship Id="rId26" Type="http://schemas.openxmlformats.org/officeDocument/2006/relationships/hyperlink" Target="http://www.sec.gov/Archives/edgar/data/1175454/000119312514414305/d822326dex101.htm" TargetMode="External"/><Relationship Id="rId27" Type="http://schemas.openxmlformats.org/officeDocument/2006/relationships/hyperlink" Target="http://www.sec.gov/Archives/edgar/data/1175454/000119312515073581/d831300dex1032.htm" TargetMode="External"/><Relationship Id="rId28" Type="http://schemas.openxmlformats.org/officeDocument/2006/relationships/hyperlink" Target="http://www.sec.gov/Archives/edgar/data/1175454/000119312515073581/d831300dex1033.htm" TargetMode="External"/><Relationship Id="rId29" Type="http://schemas.openxmlformats.org/officeDocument/2006/relationships/hyperlink" Target="http://www.sec.gov/Archives/edgar/data/1175454/000119312515073581/d831300dex1034.htm" TargetMode="External"/><Relationship Id="rId30" Type="http://schemas.openxmlformats.org/officeDocument/2006/relationships/hyperlink" Target="http://www.sec.gov/Archives/edgar/data/1175454/000119312515073581/d831300dex1035.htm" TargetMode="External"/><Relationship Id="rId31" Type="http://schemas.openxmlformats.org/officeDocument/2006/relationships/hyperlink" Target="http://www.sec.gov/Archives/edgar/data/1175454/000119312515181886/d896506dex101.htm" TargetMode="External"/><Relationship Id="rId32" Type="http://schemas.openxmlformats.org/officeDocument/2006/relationships/hyperlink" Target="http://www.sec.gov/Archives/edgar/data/1175454/000119312515372089/d34595dex102.htm" TargetMode="External"/><Relationship Id="rId33" Type="http://schemas.openxmlformats.org/officeDocument/2006/relationships/hyperlink" Target="http://www.sec.gov/Archives/edgar/data/1175454/000119312516485752/d18451dex1038.htm" TargetMode="External"/><Relationship Id="rId34" Type="http://schemas.openxmlformats.org/officeDocument/2006/relationships/hyperlink" Target="http://www.sec.gov/Archives/edgar/data/1175454/000119312516485752/d18451dex1039.htm" TargetMode="External"/><Relationship Id="rId35" Type="http://schemas.openxmlformats.org/officeDocument/2006/relationships/hyperlink" Target="http://www.sec.gov/Archives/edgar/data/1175454/000117545416000015/ex101firstamendmenttocredi.htm" TargetMode="External"/><Relationship Id="rId36" Type="http://schemas.openxmlformats.org/officeDocument/2006/relationships/hyperlink" Target="http://www.sec.gov/Archives/edgar/data/1175454/000117545417000005/ex1041.htm" TargetMode="External"/><Relationship Id="rId37" Type="http://schemas.openxmlformats.org/officeDocument/2006/relationships/hyperlink" Target="http://www.sec.gov/Archives/edgar/data/1175454/000117545417000021/exhibitthirdamendmenttocre.htm" TargetMode="External"/><Relationship Id="rId38" Type="http://schemas.openxmlformats.org/officeDocument/2006/relationships/hyperlink" Target="http://www.sec.gov/Archives/edgar/data/1175454/000117545418000007/ex1043.htm" TargetMode="External"/><Relationship Id="rId39" Type="http://schemas.openxmlformats.org/officeDocument/2006/relationships/hyperlink" Target="http://www.sec.gov/Archives/edgar/data/1175454/000117545418000032/fourthamendmenttocreditagre.htm" TargetMode="External"/><Relationship Id="rId40" Type="http://schemas.openxmlformats.org/officeDocument/2006/relationships/hyperlink" Target="http://www.sec.gov/Archives/edgar/data/1175454/000117545418000032/fleetcorfourthamendmenttofi.htm" TargetMode="External"/><Relationship Id="rId41" Type="http://schemas.openxmlformats.org/officeDocument/2006/relationships/hyperlink" Target="https://www.sec.gov/Archives/edgar/data/1175454/000117545419000004/fifthamendment-flt2.htm" TargetMode="External"/><Relationship Id="rId42" Type="http://schemas.openxmlformats.org/officeDocument/2006/relationships/hyperlink" Target="https://www.sec.gov/Archives/edgar/data/1175454/000117545419000017/fleetcor_-xfifthxamendment.htm" TargetMode="External"/><Relationship Id="rId43" Type="http://schemas.openxmlformats.org/officeDocument/2006/relationships/hyperlink" Target="https://www.sec.gov/Archives/edgar/data/1175454/000117545419000017/fleetcor-sixthamendmenttof.htm" TargetMode="External"/><Relationship Id="rId44" Type="http://schemas.openxmlformats.org/officeDocument/2006/relationships/hyperlink" Target="http://www.sec.gov/Archives/edgar/data/1175454/000162828019010570/fleetcorbaml-execution.htm" TargetMode="External"/><Relationship Id="rId45" Type="http://schemas.openxmlformats.org/officeDocument/2006/relationships/hyperlink" Target="http://www.sec.gov/Archives/edgar/data/1175454/000117545420000008/char1-1688978v2xsevent.htm" TargetMode="External"/><Relationship Id="rId46" Type="http://schemas.openxmlformats.org/officeDocument/2006/relationships/hyperlink" Target="http://www.sec.gov/Archives/edgar/data/1175454/000117545420000020/exh101eighthamendment2.htm" TargetMode="External"/><Relationship Id="rId47" Type="http://schemas.openxmlformats.org/officeDocument/2006/relationships/hyperlink" Target="http://www.sec.gov/Archives/edgar/data/1175454/000117545421000022/seventhamendmenttofiftharr.htm" TargetMode="External"/><Relationship Id="rId48" Type="http://schemas.openxmlformats.org/officeDocument/2006/relationships/hyperlink" Target="http://www.sec.gov/Archives/edgar/data/0001175454/000117545421000028/fleetcor-eighthamendmentto.htm" TargetMode="External"/><Relationship Id="rId49" Type="http://schemas.openxmlformats.org/officeDocument/2006/relationships/hyperlink" Target="http://www.sec.gov/Archives/edgar/data/0001175454/000117545421000028/fleetcorboa-9thamendmentto.htm" TargetMode="External"/><Relationship Id="rId50" Type="http://schemas.openxmlformats.org/officeDocument/2006/relationships/hyperlink" Target="http://www.sec.gov/Archives/edgar/data/0001175454/000117545421000047/exh103.htm" TargetMode="External"/><Relationship Id="rId51" Type="http://schemas.openxmlformats.org/officeDocument/2006/relationships/hyperlink" Target="https://www.sec.gov/Archives/edgar/data/1175454/000162828022004531/exhibit1054executed10thame.htm" TargetMode="External"/><Relationship Id="rId52" Type="http://schemas.openxmlformats.org/officeDocument/2006/relationships/hyperlink" Target="https://www.sec.gov/Archives/edgar/data/1175454/000162828022004531/exhibit1055executed11thame.htm" TargetMode="External"/><Relationship Id="rId53" Type="http://schemas.openxmlformats.org/officeDocument/2006/relationships/hyperlink" Target="https://www.sec.gov/Archives/edgar/data/1175454/000162828022013388/ex101.htm" TargetMode="External"/><Relationship Id="rId54" Type="http://schemas.openxmlformats.org/officeDocument/2006/relationships/hyperlink" Target="https://www.sec.gov/Archives/edgar/data/1175454/000162828022022016/ex10212thcreditamendment.htm" TargetMode="External"/><Relationship Id="rId55" Type="http://schemas.openxmlformats.org/officeDocument/2006/relationships/hyperlink" Target="https://www.sec.gov/Archives/edgar/data/1175454/000162828022022016/ex103alankingofferletter.htm" TargetMode="External"/><Relationship Id="rId56" Type="http://schemas.openxmlformats.org/officeDocument/2006/relationships/hyperlink" Target="https://www.sec.gov/Archives/edgar/data/1175454/000162828022028729/ex10411thamendmenttothe5th.htm" TargetMode="External"/><Relationship Id="rId57" Type="http://schemas.openxmlformats.org/officeDocument/2006/relationships/hyperlink" Target="https://www.sec.gov/Archives/edgar/data/1175454/000162828023008566/ex101cooperationagreement.htm" TargetMode="External"/><Relationship Id="rId58" Type="http://schemas.openxmlformats.org/officeDocument/2006/relationships/hyperlink" Target="https://www.sec.gov/Archives/edgar/data/1175454/000162828023017203/ex102tompantherofferletter.htm" TargetMode="External"/><Relationship Id="rId59" Type="http://schemas.openxmlformats.org/officeDocument/2006/relationships/hyperlink" Target="https://www.sec.gov/Archives/edgar/data/1175454/000162828023017203/ex10313thamendmenttothecre.htm" TargetMode="External"/><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73</Pages>
  <Words>84684</Words>
  <Characters>484152</Characters>
  <CharactersWithSpaces>566609</CharactersWithSpaces>
  <Paragraphs>6975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