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3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Corpay, Inc.</w:t>
      </w:r>
    </w:p>
    <w:p>
      <w:pPr>
        <w:spacing w:after="0" w:line="5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83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2800" w:type="dxa"/>
            <w:vAlign w:val="bottom"/>
          </w:tcPr>
          <w:p>
            <w:pPr>
              <w:spacing w:after="0"/>
              <w:rPr>
                <w:sz w:val="20"/>
                <w:szCs w:val="20"/>
                <w:color w:val="auto"/>
              </w:rPr>
            </w:pPr>
          </w:p>
        </w:tc>
      </w:tr>
      <w:tr>
        <w:trPr>
          <w:trHeight w:val="25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001-35004</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210"/>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100" w:type="dxa"/>
            <w:vAlign w:val="bottom"/>
          </w:tcPr>
          <w:p>
            <w:pPr>
              <w:spacing w:after="0"/>
              <w:rPr>
                <w:sz w:val="18"/>
                <w:szCs w:val="18"/>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39"/>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Atlanta</w:t>
            </w:r>
          </w:p>
        </w:tc>
        <w:tc>
          <w:tcPr>
            <w:tcW w:w="28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6"/>
              </w:rPr>
              <w:t>GA</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449-0479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46"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40" w:firstLine="26"/>
        <w:spacing w:after="0" w:line="339"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Trading</w:t>
            </w:r>
          </w:p>
        </w:tc>
        <w:tc>
          <w:tcPr>
            <w:tcW w:w="4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49"/>
        </w:trPr>
        <w:tc>
          <w:tcPr>
            <w:tcW w:w="4600" w:type="dxa"/>
            <w:vAlign w:val="bottom"/>
            <w:tcBorders>
              <w:left w:val="single" w:sz="8" w:color="auto"/>
              <w:right w:val="single" w:sz="8" w:color="auto"/>
            </w:tcBorders>
            <w:vMerge w:val="continue"/>
          </w:tcPr>
          <w:p>
            <w:pPr>
              <w:spacing w:after="0"/>
              <w:rPr>
                <w:sz w:val="12"/>
                <w:szCs w:val="12"/>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Symbols(s)</w:t>
            </w:r>
          </w:p>
        </w:tc>
        <w:tc>
          <w:tcPr>
            <w:tcW w:w="4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600" w:type="dxa"/>
            <w:vAlign w:val="bottom"/>
            <w:tcBorders>
              <w:left w:val="single" w:sz="8" w:color="auto"/>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vMerge w:val="continue"/>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CPAY</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7, 2026, Corpay, Inc. (the "Company") issued a press release announcing its financial results for the three months ended March 31, 2026. A copy of the press release is attached as Exhibit 99.1, which is incorporated by reference in its entirety.</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information in this item, including Exhibit 99.1, is being furnished, not filed. Accordingly, the information in this item will not be incorporated by reference into any registration statement filed by Corpay, Inc. under the Securities Act of 1933, as amended, unless specifically identified as being incorporated into it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Release Supplement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made available on its website in the investor relations section an earnings release supplement.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540" w:hanging="51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Corpay, Inc. press release dated May 7, 2026, regarding first quarter financial results</w:t>
            </w:r>
          </w:p>
        </w:tc>
        <w:tc>
          <w:tcPr>
            <w:tcW w:w="0" w:type="dxa"/>
            <w:vAlign w:val="bottom"/>
          </w:tcPr>
          <w:p>
            <w:pPr>
              <w:spacing w:after="0"/>
              <w:rPr>
                <w:sz w:val="1"/>
                <w:szCs w:val="1"/>
                <w:color w:val="auto"/>
              </w:rPr>
            </w:pPr>
          </w:p>
        </w:tc>
      </w:tr>
      <w:tr>
        <w:trPr>
          <w:trHeight w:val="129"/>
        </w:trPr>
        <w:tc>
          <w:tcPr>
            <w:tcW w:w="32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1"/>
                <w:szCs w:val="11"/>
                <w:color w:val="auto"/>
              </w:rPr>
            </w:pPr>
          </w:p>
        </w:tc>
        <w:tc>
          <w:tcPr>
            <w:tcW w:w="6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43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Corpay, Inc.</w:t>
            </w:r>
          </w:p>
        </w:tc>
      </w:tr>
      <w:tr>
        <w:trPr>
          <w:trHeight w:val="50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4300" w:type="dxa"/>
            <w:vAlign w:val="bottom"/>
          </w:tcPr>
          <w:p>
            <w:pPr>
              <w:ind w:left="2780"/>
              <w:spacing w:after="0"/>
              <w:rPr>
                <w:sz w:val="20"/>
                <w:szCs w:val="20"/>
                <w:color w:val="auto"/>
              </w:rPr>
            </w:pPr>
            <w:r>
              <w:rPr>
                <w:rFonts w:ascii="Times New Roman" w:cs="Times New Roman" w:eastAsia="Times New Roman" w:hAnsi="Times New Roman"/>
                <w:sz w:val="18"/>
                <w:szCs w:val="18"/>
                <w:i w:val="1"/>
                <w:iCs w:val="1"/>
                <w:color w:val="auto"/>
                <w:w w:val="99"/>
              </w:rPr>
              <w:t>By:  /s/ Peter Walker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0</wp:posOffset>
            </wp:positionV>
            <wp:extent cx="30086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7220"/>
        <w:spacing w:after="0"/>
        <w:rPr>
          <w:sz w:val="20"/>
          <w:szCs w:val="20"/>
          <w:color w:val="auto"/>
        </w:rPr>
      </w:pPr>
      <w:r>
        <w:rPr>
          <w:rFonts w:ascii="Times New Roman" w:cs="Times New Roman" w:eastAsia="Times New Roman" w:hAnsi="Times New Roman"/>
          <w:sz w:val="18"/>
          <w:szCs w:val="18"/>
          <w:i w:val="1"/>
          <w:iCs w:val="1"/>
          <w:color w:val="auto"/>
        </w:rPr>
        <w:t>Peter Walker</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00"/>
          </w:cols>
          <w:pgMar w:left="320" w:top="887" w:right="3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Corpay Reports First Quarter Financial Results</w:t>
      </w:r>
    </w:p>
    <w:p>
      <w:pPr>
        <w:jc w:val="center"/>
        <w:spacing w:after="0"/>
        <w:rPr>
          <w:sz w:val="20"/>
          <w:szCs w:val="20"/>
          <w:color w:val="auto"/>
        </w:rPr>
      </w:pPr>
      <w:r>
        <w:rPr>
          <w:rFonts w:ascii="Times New Roman" w:cs="Times New Roman" w:eastAsia="Times New Roman" w:hAnsi="Times New Roman"/>
          <w:sz w:val="20"/>
          <w:szCs w:val="20"/>
          <w:i w:val="1"/>
          <w:iCs w:val="1"/>
          <w:color w:val="auto"/>
        </w:rPr>
        <w:t>25% revenue growth, 11% organic revenue growth, and 29% adjusted EPS growth</w:t>
      </w:r>
      <w:r>
        <w:rPr>
          <w:rFonts w:ascii="Times New Roman" w:cs="Times New Roman" w:eastAsia="Times New Roman" w:hAnsi="Times New Roman"/>
          <w:sz w:val="25"/>
          <w:szCs w:val="25"/>
          <w:i w:val="1"/>
          <w:iCs w:val="1"/>
          <w:color w:val="auto"/>
          <w:vertAlign w:val="superscript"/>
        </w:rPr>
        <w:t>1</w:t>
      </w:r>
    </w:p>
    <w:p>
      <w:pPr>
        <w:spacing w:after="0" w:line="16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Atlanta, Ga., May 7, 2026 — Corpay, Inc. (NYSE: CPAY), the corporate payments company, today reported financial results for its first quarter ending March 31, 2026.</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first quarter results were outstanding, with revenue growth of 25% and adjusted net income per share growth of 29%, finishing well ahead of expectations," said Ron Clarke, chairman and chief executive officer, Corpay, Inc. "Organic revenue growth was 11% for the fourth consecutive quarter and our strong first quarter performance gives us increased confidence in our rest of year guidance," concluded Clarke.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Results for First Quarter of 2026</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Results</w:t>
      </w:r>
    </w:p>
    <w:p>
      <w:pPr>
        <w:spacing w:after="0" w:line="67"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Revenues increased 25% to $1,261.0 million in the first quarter of 2026, compared with $1,005.7 million in the first quarter of 2025.</w:t>
      </w:r>
    </w:p>
    <w:p>
      <w:pPr>
        <w:spacing w:after="0" w:line="67"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increased 44% to $350.1 million in the first quarter of 2026, compared with $243.2 million in the first quarter of 2025.</w:t>
      </w:r>
    </w:p>
    <w:p>
      <w:pPr>
        <w:spacing w:after="0" w:line="29" w:lineRule="exact"/>
        <w:rPr>
          <w:rFonts w:ascii="Times New Roman" w:cs="Times New Roman" w:eastAsia="Times New Roman" w:hAnsi="Times New Roman"/>
          <w:sz w:val="20"/>
          <w:szCs w:val="20"/>
          <w:color w:val="auto"/>
        </w:rPr>
      </w:pPr>
    </w:p>
    <w:p>
      <w:pPr>
        <w:ind w:left="660" w:right="20" w:hanging="328"/>
        <w:spacing w:after="0" w:line="222"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per diluted share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increased 49% to $5.07 in the first quarter of 2026, compared with $3.40 per diluted share in the first quarter of 2025.</w:t>
      </w:r>
    </w:p>
    <w:p>
      <w:pPr>
        <w:spacing w:after="0" w:line="25" w:lineRule="exact"/>
        <w:rPr>
          <w:rFonts w:ascii="Times New Roman" w:cs="Times New Roman" w:eastAsia="Times New Roman" w:hAnsi="Times New Roman"/>
          <w:sz w:val="20"/>
          <w:szCs w:val="20"/>
          <w:color w:val="auto"/>
        </w:rPr>
      </w:pPr>
    </w:p>
    <w:p>
      <w:pPr>
        <w:ind w:left="660" w:right="20" w:hanging="328"/>
        <w:spacing w:after="0" w:line="282" w:lineRule="auto"/>
        <w:tabs>
          <w:tab w:leader="none" w:pos="621"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First quarter net income and net income per diluted share attributable to Corpay include a gain on the sale of a business, which increased net income by approximately $81 million, or $1.19 of earnings per diluted share.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Non-GAAP Results</w:t>
      </w:r>
      <w:r>
        <w:rPr>
          <w:rFonts w:ascii="Times New Roman" w:cs="Times New Roman" w:eastAsia="Times New Roman" w:hAnsi="Times New Roman"/>
          <w:sz w:val="25"/>
          <w:szCs w:val="25"/>
          <w:color w:val="auto"/>
          <w:vertAlign w:val="superscript"/>
        </w:rPr>
        <w:t>1</w:t>
      </w:r>
    </w:p>
    <w:p>
      <w:pPr>
        <w:spacing w:after="0" w:line="26"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Organic revenue growth</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11% in the first quarter of 2026.</w:t>
      </w:r>
    </w:p>
    <w:p>
      <w:pPr>
        <w:spacing w:after="0" w:line="15" w:lineRule="exact"/>
        <w:rPr>
          <w:rFonts w:ascii="Times New Roman" w:cs="Times New Roman" w:eastAsia="Times New Roman" w:hAnsi="Times New Roman"/>
          <w:sz w:val="20"/>
          <w:szCs w:val="20"/>
          <w:color w:val="auto"/>
        </w:rPr>
      </w:pPr>
    </w:p>
    <w:p>
      <w:pPr>
        <w:ind w:left="660" w:hanging="328"/>
        <w:spacing w:after="0" w:line="21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increased 24% to $688.6 million in the first quarter of 2026, compared to $555.4 million in the first quarter of 2025.</w:t>
      </w:r>
    </w:p>
    <w:p>
      <w:pPr>
        <w:spacing w:after="0" w:line="38" w:lineRule="exact"/>
        <w:rPr>
          <w:rFonts w:ascii="Times New Roman" w:cs="Times New Roman" w:eastAsia="Times New Roman" w:hAnsi="Times New Roman"/>
          <w:sz w:val="20"/>
          <w:szCs w:val="20"/>
          <w:color w:val="auto"/>
        </w:rPr>
      </w:pPr>
    </w:p>
    <w:p>
      <w:pPr>
        <w:ind w:left="660" w:hanging="328"/>
        <w:spacing w:after="0" w:line="22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20"/>
          <w:szCs w:val="20"/>
          <w:color w:val="auto"/>
        </w:rPr>
        <w:t xml:space="preserve"> increased 23% to $397.2 million in the first quarter of 2026, compared with $322.9 million in the first quarter of 2025.</w:t>
      </w:r>
    </w:p>
    <w:p>
      <w:pPr>
        <w:spacing w:after="0" w:line="39" w:lineRule="exact"/>
        <w:rPr>
          <w:rFonts w:ascii="Times New Roman" w:cs="Times New Roman" w:eastAsia="Times New Roman" w:hAnsi="Times New Roman"/>
          <w:sz w:val="20"/>
          <w:szCs w:val="20"/>
          <w:color w:val="auto"/>
        </w:rPr>
      </w:pPr>
    </w:p>
    <w:p>
      <w:pPr>
        <w:ind w:left="660" w:hanging="328"/>
        <w:spacing w:after="0" w:line="232"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per diluted share</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20"/>
          <w:szCs w:val="20"/>
          <w:color w:val="auto"/>
        </w:rPr>
        <w:t xml:space="preserve"> increased 29% to $5.80 per diluted share in the first quarter of 2026, compared with $4.51 per diluted share in the first quarter of 2025.</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Corporate Payments segment delivered 16% organic revenue growth, and lodging improved significantly sequentially," said Peter Walker, chief financial officer, Corpay, Inc. "Revenue over performance had a high flow through resulting in EBITDA margins over 100 basis points higher than we expected. We repurchased 2.4 million shares for $786 million, and still exited the quarter with 2.7x leverage," concluded Walker.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Year 2026 Outlook</w:t>
      </w:r>
      <w:r>
        <w:rPr>
          <w:rFonts w:ascii="Times New Roman" w:cs="Times New Roman" w:eastAsia="Times New Roman" w:hAnsi="Times New Roman"/>
          <w:sz w:val="20"/>
          <w:szCs w:val="20"/>
          <w:b w:val="1"/>
          <w:bCs w:val="1"/>
          <w:color w:val="auto"/>
        </w:rPr>
        <w:t>:</w:t>
      </w:r>
    </w:p>
    <w:p>
      <w:pPr>
        <w:spacing w:after="0" w:line="2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are raising our full-year outlook as a result of our first quarter over-performance, the expected higher rest of year fuel prices and our first quarter fundamental trends running ahead of our expectations,” said Peter Walker.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year 2026, Corpay, Inc.'s financial guidance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is revised as follows:</w:t>
      </w:r>
    </w:p>
    <w:p>
      <w:pPr>
        <w:spacing w:after="0" w:line="185"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revenues between $5.250 billion and $5.330 billion;</w:t>
      </w:r>
    </w:p>
    <w:p>
      <w:pPr>
        <w:spacing w:after="0" w:line="21"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between $1.352 billion and $1.432 billion;</w:t>
      </w: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per diluted share between $20.39 and $21.19;</w:t>
      </w: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between $1.746 billion and $1.826 billion; and</w:t>
      </w: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per diluted share between $26.30 and $27.10.</w:t>
      </w:r>
    </w:p>
    <w:p>
      <w:pPr>
        <w:sectPr>
          <w:pgSz w:w="11900" w:h="16838" w:orient="portrait"/>
          <w:cols w:equalWidth="0" w:num="1">
            <w:col w:w="11240"/>
          </w:cols>
          <w:pgMar w:left="320" w:top="7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Corpay’s guidance assumptions are as follows:</w:t>
      </w:r>
    </w:p>
    <w:p>
      <w:pPr>
        <w:spacing w:after="0" w:line="24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Weighted average U.S. fuel prices equal to $4.17 per gallon based on the April 2026 EIA short-term energy outlook;</w:t>
      </w:r>
    </w:p>
    <w:p>
      <w:pPr>
        <w:spacing w:after="0" w:line="20" w:lineRule="exact"/>
        <w:rPr>
          <w:rFonts w:ascii="Arial" w:cs="Arial" w:eastAsia="Arial" w:hAnsi="Arial"/>
          <w:sz w:val="20"/>
          <w:szCs w:val="20"/>
          <w:color w:val="auto"/>
        </w:rPr>
      </w:pPr>
    </w:p>
    <w:p>
      <w:pPr>
        <w:ind w:left="640" w:hanging="308"/>
        <w:spacing w:after="0" w:line="238" w:lineRule="auto"/>
        <w:tabs>
          <w:tab w:leader="none" w:pos="6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Fuel price spreads flat with the 2025 average;</w:t>
      </w:r>
    </w:p>
    <w:p>
      <w:pPr>
        <w:ind w:left="640" w:hanging="308"/>
        <w:spacing w:after="0" w:line="224" w:lineRule="auto"/>
        <w:tabs>
          <w:tab w:leader="none" w:pos="6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Foreign exchange rates unchanged from our prior guidance in February 2026;</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between $415 million and $445 million, based on the SOFR forward curve as of April 29, 2026;</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cashflow is used to pay down debt;</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67 million fully diluted shares outstanding;</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adjusted effective tax rate of approximately 25% to 27%; and</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impact related to material acquisitions or divestitures not closed.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of 2026 Outlook:</w:t>
      </w:r>
    </w:p>
    <w:p>
      <w:pPr>
        <w:spacing w:after="0" w:line="233"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“Revenue for the second quarter of 2026 is expected to be approximately $1.295 billion at the midpoint, growing 18% year over year, and adjusted net income per diluted share is expected to be $6.55 at the midpoint, growing 28% year over year,” said Peter Walker.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always, guidance may change in the future based on new information and therefore may not reflect actual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 xml:space="preserve">The Company will host a conference call to discuss first quarter </w:t>
      </w:r>
      <w:r>
        <w:rPr>
          <w:rFonts w:ascii="Times New Roman" w:cs="Times New Roman" w:eastAsia="Times New Roman" w:hAnsi="Times New Roman"/>
          <w:sz w:val="21"/>
          <w:szCs w:val="21"/>
          <w:color w:val="auto"/>
        </w:rPr>
        <w:t>2026</w:t>
      </w:r>
      <w:r>
        <w:rPr>
          <w:rFonts w:ascii="Times New Roman" w:cs="Times New Roman" w:eastAsia="Times New Roman" w:hAnsi="Times New Roman"/>
          <w:sz w:val="20"/>
          <w:szCs w:val="20"/>
          <w:color w:val="auto"/>
        </w:rPr>
        <w:t xml:space="preserve"> financial results today at 5:30 pm ET. Hosting the call will be Ron Clarke, chief executive officer, Peter Walker, chief financial officer and Jim Eglseder, investor relations. The conference call will be webcast live from the Company's investor relations website at http://investor.corpay.com. The conference call can also be accessed live over the phone by dialing (800)-267-6316 or (203)-518-9783; the Conference ID is CORPAY. A replay will be available one hour after the call and can be accessed by dialing (844)-512-2921 or (412)-317-6671 for international callers; the replay conference ID is 11161333. The replay will be available through Thursday, May 21, 2026. Prior to the conference call, the Company will post supplemental financial information that will be discussed during the call and live webcast.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federal securities laws. Statements that are not historical facts, including statements about Corpay’s beliefs, assumptions, expectations and future performance, are forward-looking statements. Forward-looking statements can be identified by the use of words such as “anticipate,” “intend,” “believe,” “estimate,” “plan,” “seek,” “project,” “expect,” “may,” “will,” “would,” “could” or “should,” the negative of these terms or other comparable terminology and similar expressions.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forward-looking statements are not a guarantee of performance, and you should not place undue reliance on such statements. We have based these forward-looking statements on preliminary information, internal estimates and management’s assumptions, expectations and plans about future conditions, events and results. Forward-looking statements are subject to many uncertainties and other variable circumstances, such as risks related to our ability to successfully execute our strategic plan, manage our growth and achieve our performance targets; the impact of macroeconomic conditions, including any recession or economic downturn that has occurred or may occur in the future, and whether expected trends, including retail fuel prices, fuel price spreads, fuel transaction patterns, electric vehicle adoption, retail lodging prices, foreign exchange rates and interest rates trends develop as anticipated, and whether we are able to develop and implement successful strategies in light of these trends; our ability to attract new and retain existing partners, fuel merchants, and lodging providers, their promotion and support of our products, and their financial performance; our ability to successfully manage the derivative financial instruments that we use in our Cross-Border solutions to manage our exposure to various market risks, including changes in foreign exchange rates; the failure of management assumptions and estimates, as well as differences in, and changes to, economic, market, interest rate, interchange fees, foreign exchange rates, and credit conditions, including changes in borrowers’ credit risks and payment behaviors; the risk of higher borrowing costs and adverse financial market conditions impacting our funding and liquidity, and any reduction in our credit ratings; our ability to successfully manage our credit risks and the sufficiency of our allowance for expected credit losses; our ability to securitize our trade receivables; the occurrence of fraudulent activity, data breaches or failures of</w:t>
      </w:r>
    </w:p>
    <w:p>
      <w:pPr>
        <w:sectPr>
          <w:pgSz w:w="11900" w:h="16838" w:orient="portrait"/>
          <w:cols w:equalWidth="0" w:num="1">
            <w:col w:w="11240"/>
          </w:cols>
          <w:pgMar w:left="320" w:top="1008" w:right="339" w:bottom="1440" w:gutter="0" w:footer="0" w:header="0"/>
        </w:sectPr>
      </w:pPr>
    </w:p>
    <w:bookmarkStart w:id="4" w:name="page5"/>
    <w:bookmarkEnd w:id="4"/>
    <w:p>
      <w:pPr>
        <w:jc w:val="both"/>
        <w:spacing w:after="0" w:line="238" w:lineRule="auto"/>
        <w:rPr>
          <w:sz w:val="20"/>
          <w:szCs w:val="20"/>
          <w:color w:val="auto"/>
        </w:rPr>
      </w:pPr>
      <w:r>
        <w:rPr>
          <w:rFonts w:ascii="Times New Roman" w:cs="Times New Roman" w:eastAsia="Times New Roman" w:hAnsi="Times New Roman"/>
          <w:sz w:val="20"/>
          <w:szCs w:val="20"/>
          <w:color w:val="auto"/>
        </w:rPr>
        <w:t>information security controls, or other technology or cybersecurity-related incidents that may compromise our systems or customers’ information; any disruptions in the operations of our computer systems and data centers; the operational and political risks and compliance and regulatory risks and costs associated with international operations; the impact of international conflicts, including between Russia and Ukraine, as well as within the Middle East, on the global economy or our business and operations; the impact of changes in global tariff and trade policies and potential retaliatory actions by affected countries; our ability to develop and implement new technology, products, and services; any alleged infringement of intellectual property rights of others and our ability to protect our intellectual property; the regulation, supervision, and examination of our business by foreign and domestic governmental authorities, as well as litigation and regulatory actions, including the lawsuit filed by the Federal Trade Commission (FTC); the impact of regulations and related requirements relating to privacy, information security and data protection; derivative and hedging activities and the related regulations and regulatory environment; use of third-party vendors and other third-party business relationships; and failure to comply with anti-money laundering (AML) and anti-terrorism financing laws; changes in our senior management team and our ability to attract, motivate and retain qualified personnel consistent with our strategic plan; tax legislation initiatives or challenges to our tax positions and/or interpretations, and state sales tax rules and regulations; the risks of mergers, acquisitions and divestitures, such as our recent acquisition of a partnership interest in AvidXchange and the acquisition of Alpha, including, without limitation, the time and costs of implementing such transactions, integrating operations as part of these transactions and possible failures to achieve expected gains, revenue growth and/or expense savings from such transactions, as well as the other risks and uncertainties identified under the caption "Risk Factors" in the 2025 Form 10-K filed with the Securities and Exchange Commission (“SEC”) on February 27, 2026 and subsequent filings with the SEC made by us. These factors could cause our actual results and experience to differ materially from any forward-looking statement made herein. The forward-looking statements included in this press release are made only as of the date hereof and we do not undertake, and specifically disclaim, any obligation to update any such statements as a result of new information, future events or developments, except as required by law. You may access Corpay’s SEC filings for free by visiting the SEC web site at www.sec.gov.</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Non-GAAP Financial Measures: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press release includes non-GAAP financial measures, which are used by the Company as supplemental measures to evaluate its overall operating performance. The Company’s definitions of the non-GAAP financial measures used herein may differ from similarly titled measures used by others, including within our industry. By providing these non-GAAP financial measures, together with reconciliations to the most directly comparable GAAP financial measures, we believe we are enhancing investors’ understanding of our business and our results of operations, as well as assisting investors in evaluating how well we are executing strategic initiatives. See the appendix for additional information regarding these non-GAAP financial measures and a reconciliation to the most directly comparable GAAP measure.</w:t>
      </w:r>
    </w:p>
    <w:p>
      <w:pPr>
        <w:spacing w:after="0" w:line="130"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Company refers to free cash flow, cash net income and adjusted net income attributable to Corpay interchangeably, a non-GAAP financial measure. Adjusted net income attributable to Corpay is calculated as net income attributable to Corpay, adjusted to eliminate (a) non-cash stock-based compensation expense related to stock-based compensation awards, (b) amortization of deferred financing costs, discounts, intangible assets, amortization of the premium recognized on the purchase of receivables and amortization attributable to the Company's noncontrolling interest, (c) integration and deal related costs, and (d) other non-recurring items, including unusual credit losses, certain discrete tax items, the impact of business dispositions, impairment losses, asset write-offs, restructuring costs, loss on extinguishment of debt, taxes associated with stock-based compensation programs, losses and gains on foreign currency transactions, redemption value adjustment for a non-controlling interest and legal settlements and related legal fees. We adjust net income for the tax effect of adjustments using our effective income tax rate, exclusive of certain discrete tax items. We calculate adjusted net income attributable to Corpay and adjusted net income per diluted share attributable to Corpay to eliminate the effect of items that we do not consider indicative of our core operating performance.</w:t>
      </w:r>
    </w:p>
    <w:p>
      <w:pPr>
        <w:spacing w:after="0" w:line="12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Adjusted net income attributable to Corpay and adjusted net income per diluted share attributable to Corpay are supplemental measures of operating performance that do not represent and should not be considered as an alternative to net income, net income per diluted share or cash flow from operations, as determined by U.S. generally accepted accounting principles, or U.S. GAAP. We believe it is useful to exclude non-cash stock-based compensation expense from adjusted net income because non-cash equity grants made at a certain price and point in time do not necessarily reflect how our business is performing at any particular time and stock-based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w:t>
      </w:r>
    </w:p>
    <w:p>
      <w:pPr>
        <w:sectPr>
          <w:pgSz w:w="11900" w:h="16838" w:orient="portrait"/>
          <w:cols w:equalWidth="0" w:num="1">
            <w:col w:w="11240"/>
          </w:cols>
          <w:pgMar w:left="320" w:top="765" w:right="339" w:bottom="1440" w:gutter="0" w:footer="0" w:header="0"/>
        </w:sectPr>
      </w:pPr>
    </w:p>
    <w:bookmarkStart w:id="5" w:name="page6"/>
    <w:bookmarkEnd w:id="5"/>
    <w:p>
      <w:pPr>
        <w:ind w:right="260"/>
        <w:spacing w:after="0" w:line="239" w:lineRule="auto"/>
        <w:rPr>
          <w:sz w:val="20"/>
          <w:szCs w:val="20"/>
          <w:color w:val="auto"/>
        </w:rPr>
      </w:pPr>
      <w:r>
        <w:rPr>
          <w:rFonts w:ascii="Times New Roman" w:cs="Times New Roman" w:eastAsia="Times New Roman" w:hAnsi="Times New Roman"/>
          <w:sz w:val="20"/>
          <w:szCs w:val="20"/>
          <w:color w:val="auto"/>
        </w:rPr>
        <w:t>transaction costs, professional services fees, short-term retention bonuses and system migration costs, etc., that are not indicative of the performance of the underlying business. We also believe that certain expenses, discrete tax items, gains on business disposition, recoveries (e.g. legal settlements, write-off of customer receivable, etc.), gains and losses on investments, taxes related to stock-based compensation programs and impairment losses do not necessarily reflect how our investments and business are performing. We adjust net income for the tax effect of each of these adjustments using the effective tax rate during the period, exclusive of discrete tax items.</w:t>
      </w:r>
    </w:p>
    <w:p>
      <w:pPr>
        <w:spacing w:after="0" w:line="12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inclusive of changes in operational and capital structure, and non-recurring items that have occurred subsequent to that period. We believe that organic revenue growth on a macro-neutral, one-time item, and consistent acquisition/divestiture/non-recurring item basis is useful to investors for understanding the performance of Corpay.</w:t>
      </w:r>
    </w:p>
    <w:p>
      <w:pPr>
        <w:spacing w:after="0" w:line="117"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EBITDA is defined as earnings before interest, income taxes, interest expense, net, other expense (income), depreciation and amortization, loss on extinguishment of debt, goodwill impairment, investment loss/gain and other operating, net. Adjusted EBITDA is defined as EBITDA further adjusted for stock-based compensation expense and other one-time items including certain legal expenses, restructuring costs and integration and deal related costs and other items as listed above for adjusted net income. EBITDA and adjusted EBITDA margin are defined as EBITDA and adjusted EBITDA as a percentage of revenue.</w:t>
      </w:r>
    </w:p>
    <w:p>
      <w:pPr>
        <w:spacing w:after="0" w:line="2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Management uses adjusted net income attributable to Corpay, adjusted net income per diluted share attributable to Corpay, organic revenue growth, EBITDA and adjusted EBITDA:</w:t>
      </w:r>
    </w:p>
    <w:p>
      <w:pPr>
        <w:spacing w:after="0" w:line="1"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as measurements of operating performance because they assist us in comparing our operating performance on a consistent basis;</w:t>
      </w:r>
    </w:p>
    <w:p>
      <w:pPr>
        <w:spacing w:after="0" w:line="1" w:lineRule="exact"/>
        <w:rPr>
          <w:rFonts w:ascii="Arial" w:cs="Arial" w:eastAsia="Arial" w:hAnsi="Arial"/>
          <w:sz w:val="20"/>
          <w:szCs w:val="20"/>
          <w:color w:val="auto"/>
        </w:rPr>
      </w:pPr>
    </w:p>
    <w:p>
      <w:pPr>
        <w:ind w:left="640" w:hanging="308"/>
        <w:spacing w:after="0" w:line="224"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for planning purposes, including the preparation of our internal annual operating budget;</w:t>
      </w:r>
    </w:p>
    <w:p>
      <w:pPr>
        <w:ind w:left="640" w:hanging="308"/>
        <w:spacing w:after="0" w:line="224"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to allocate resources to enhance the financial performance of our business; and</w:t>
      </w:r>
    </w:p>
    <w:p>
      <w:pPr>
        <w:ind w:left="640" w:hanging="308"/>
        <w:spacing w:after="0"/>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to evaluate the performance and effectiveness of our operational strategies.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Corpay</w:t>
      </w:r>
    </w:p>
    <w:p>
      <w:pPr>
        <w:spacing w:after="0" w:line="23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Corpay (NYSE: CPAY), the Corporate Payments Company, is a global S&amp;P 500 provider of commercial cards (e.g, spend management, fleet cards, virtual cards), AP modernization solutions (e.g., invoice and payments automation) and cross-border services (mass payments, risk management solutions and global bank accounts) to businesses worldwide. Corpay solutions “keep business moving” and result in our customers better controlling business expenses, mitigating fraud, and ultimately spending less. To learn more, visit www.corpay.com.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Jim Eglseder, 770-417-4697</w:t>
      </w:r>
    </w:p>
    <w:p>
      <w:pPr>
        <w:spacing w:after="0" w:line="219" w:lineRule="auto"/>
        <w:rPr>
          <w:sz w:val="20"/>
          <w:szCs w:val="20"/>
          <w:color w:val="auto"/>
        </w:rPr>
      </w:pPr>
      <w:r>
        <w:rPr>
          <w:rFonts w:ascii="Times New Roman" w:cs="Times New Roman" w:eastAsia="Times New Roman" w:hAnsi="Times New Roman"/>
          <w:sz w:val="20"/>
          <w:szCs w:val="20"/>
          <w:color w:val="0000FF"/>
        </w:rPr>
        <w:t>Jim.Eglseder@corpay.com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__________________________________________________________________________________</w:t>
      </w:r>
    </w:p>
    <w:p>
      <w:pPr>
        <w:spacing w:after="0" w:line="3" w:lineRule="exact"/>
        <w:rPr>
          <w:sz w:val="20"/>
          <w:szCs w:val="20"/>
          <w:color w:val="auto"/>
        </w:rPr>
      </w:pPr>
    </w:p>
    <w:p>
      <w:pPr>
        <w:ind w:right="20" w:firstLine="8"/>
        <w:spacing w:after="0" w:line="204" w:lineRule="auto"/>
        <w:tabs>
          <w:tab w:leader="none" w:pos="114"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Reconciliations of GAAP results to non-GAAP results are provided in Exhibit 1, 5 and 6 attached. Additional supplemental data is provided in Exhibits 2-4. A reconciliation of GAAP guidance to non-GAAP guidance is provided in Exhibit 7.</w:t>
      </w:r>
    </w:p>
    <w:p>
      <w:pPr>
        <w:spacing w:after="0" w:line="1" w:lineRule="exact"/>
        <w:rPr>
          <w:rFonts w:ascii="Times New Roman" w:cs="Times New Roman" w:eastAsia="Times New Roman" w:hAnsi="Times New Roman"/>
          <w:sz w:val="26"/>
          <w:szCs w:val="26"/>
          <w:color w:val="auto"/>
          <w:vertAlign w:val="superscript"/>
        </w:rPr>
      </w:pP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Net income, net income per diluted share, adjusted net income and adjusted net income per diluted share is amount attributable to Corpay.</w:t>
      </w:r>
    </w:p>
    <w:p>
      <w:pPr>
        <w:sectPr>
          <w:pgSz w:w="11900" w:h="16838" w:orient="portrait"/>
          <w:cols w:equalWidth="0" w:num="1">
            <w:col w:w="11240"/>
          </w:cols>
          <w:pgMar w:left="320" w:top="927" w:right="339" w:bottom="1440" w:gutter="0" w:footer="0" w:header="0"/>
        </w:sectPr>
      </w:pPr>
    </w:p>
    <w:bookmarkStart w:id="6" w:name="page7"/>
    <w:bookmarkEnd w:id="6"/>
    <w:p>
      <w:pPr>
        <w:ind w:left="3920"/>
        <w:spacing w:after="0"/>
        <w:rPr>
          <w:sz w:val="20"/>
          <w:szCs w:val="20"/>
          <w:color w:val="auto"/>
        </w:rPr>
      </w:pPr>
      <w:r>
        <w:rPr>
          <w:rFonts w:ascii="Times New Roman" w:cs="Times New Roman" w:eastAsia="Times New Roman" w:hAnsi="Times New Roman"/>
          <w:sz w:val="20"/>
          <w:szCs w:val="20"/>
          <w:b w:val="1"/>
          <w:bCs w:val="1"/>
          <w:color w:val="auto"/>
        </w:rPr>
        <w:t>Corpay, Inc. and Subsidiaries</w:t>
      </w:r>
    </w:p>
    <w:p>
      <w:pPr>
        <w:spacing w:after="0" w:line="3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 and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20" w:type="dxa"/>
            <w:vAlign w:val="bottom"/>
            <w:tcBorders>
              <w:bottom w:val="single" w:sz="8" w:color="auto"/>
            </w:tcBorders>
            <w:gridSpan w:val="6"/>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Three Months Ended March 31,</w:t>
            </w:r>
          </w:p>
        </w:tc>
        <w:tc>
          <w:tcPr>
            <w:tcW w:w="0" w:type="dxa"/>
            <w:vAlign w:val="bottom"/>
          </w:tcPr>
          <w:p>
            <w:pPr>
              <w:spacing w:after="0"/>
              <w:rPr>
                <w:sz w:val="1"/>
                <w:szCs w:val="1"/>
                <w:color w:val="auto"/>
              </w:rPr>
            </w:pPr>
          </w:p>
        </w:tc>
      </w:tr>
      <w:tr>
        <w:trPr>
          <w:trHeight w:val="254"/>
        </w:trPr>
        <w:tc>
          <w:tcPr>
            <w:tcW w:w="6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6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(Unaudited)</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(Unaudited)</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1,260,987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1,005,667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57"/>
        </w:trPr>
        <w:tc>
          <w:tcPr>
            <w:tcW w:w="6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Expenses: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Processing</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272,062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221,844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0" w:type="dxa"/>
            <w:vAlign w:val="bottom"/>
          </w:tcPr>
          <w:p>
            <w:pPr>
              <w:spacing w:after="0"/>
              <w:rPr>
                <w:sz w:val="1"/>
                <w:szCs w:val="1"/>
                <w:color w:val="auto"/>
              </w:rPr>
            </w:pPr>
          </w:p>
        </w:tc>
      </w:tr>
      <w:tr>
        <w:trPr>
          <w:trHeight w:val="257"/>
        </w:trPr>
        <w:tc>
          <w:tcPr>
            <w:tcW w:w="62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Selling</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107,557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203,799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156,959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0" w:type="dxa"/>
            <w:vAlign w:val="bottom"/>
          </w:tcPr>
          <w:p>
            <w:pPr>
              <w:spacing w:after="0"/>
              <w:rPr>
                <w:sz w:val="1"/>
                <w:szCs w:val="1"/>
                <w:color w:val="auto"/>
              </w:rPr>
            </w:pPr>
          </w:p>
        </w:tc>
      </w:tr>
      <w:tr>
        <w:trPr>
          <w:trHeight w:val="256"/>
        </w:trPr>
        <w:tc>
          <w:tcPr>
            <w:tcW w:w="62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114,826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92,188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Other operating, net</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Gain on disposition, net</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121,423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income</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636,165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427,124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0" w:type="dxa"/>
            <w:vAlign w:val="bottom"/>
          </w:tcPr>
          <w:p>
            <w:pPr>
              <w:spacing w:after="0"/>
              <w:rPr>
                <w:sz w:val="1"/>
                <w:szCs w:val="1"/>
                <w:color w:val="auto"/>
              </w:rPr>
            </w:pP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expenses: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Other expense, net</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4,095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7"/>
        </w:trPr>
        <w:tc>
          <w:tcPr>
            <w:tcW w:w="62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Interest expense, net</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Total other expenses, net</w:t>
            </w:r>
          </w:p>
        </w:tc>
        <w:tc>
          <w:tcPr>
            <w:tcW w:w="1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131,148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99,613</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0" w:type="dxa"/>
            <w:vAlign w:val="bottom"/>
          </w:tcPr>
          <w:p>
            <w:pPr>
              <w:spacing w:after="0"/>
              <w:rPr>
                <w:sz w:val="1"/>
                <w:szCs w:val="1"/>
                <w:color w:val="auto"/>
              </w:rPr>
            </w:pPr>
          </w:p>
        </w:tc>
      </w:tr>
      <w:tr>
        <w:trPr>
          <w:trHeight w:val="25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505,017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327,511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54 %</w:t>
            </w:r>
          </w:p>
        </w:tc>
        <w:tc>
          <w:tcPr>
            <w:tcW w:w="0" w:type="dxa"/>
            <w:vAlign w:val="bottom"/>
          </w:tcPr>
          <w:p>
            <w:pPr>
              <w:spacing w:after="0"/>
              <w:rPr>
                <w:sz w:val="1"/>
                <w:szCs w:val="1"/>
                <w:color w:val="auto"/>
              </w:rPr>
            </w:pPr>
          </w:p>
        </w:tc>
      </w:tr>
      <w:tr>
        <w:trPr>
          <w:trHeight w:val="25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151,303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83,636</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0" w:type="dxa"/>
            <w:vAlign w:val="bottom"/>
          </w:tcPr>
          <w:p>
            <w:pPr>
              <w:spacing w:after="0"/>
              <w:rPr>
                <w:sz w:val="1"/>
                <w:szCs w:val="1"/>
                <w:color w:val="auto"/>
              </w:rPr>
            </w:pPr>
          </w:p>
        </w:tc>
      </w:tr>
      <w:tr>
        <w:trPr>
          <w:trHeight w:val="25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353,714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243,875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Less: Net income attributable to noncontrolling interests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75"/>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attributable to Corpay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350,066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243,233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20"/>
                <w:szCs w:val="20"/>
                <w:color w:val="auto"/>
              </w:rPr>
              <w:t>Basic 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0" w:type="dxa"/>
            <w:vAlign w:val="bottom"/>
          </w:tcPr>
          <w:p>
            <w:pPr>
              <w:spacing w:after="0" w:line="20" w:lineRule="exact"/>
              <w:rPr>
                <w:sz w:val="1"/>
                <w:szCs w:val="1"/>
                <w:color w:val="auto"/>
              </w:rPr>
            </w:pPr>
          </w:p>
        </w:tc>
      </w:tr>
      <w:tr>
        <w:trPr>
          <w:trHeight w:val="230"/>
        </w:trPr>
        <w:tc>
          <w:tcPr>
            <w:tcW w:w="62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c>
          <w:tcPr>
            <w:tcW w:w="0" w:type="dxa"/>
            <w:vAlign w:val="bottom"/>
          </w:tcPr>
          <w:p>
            <w:pPr>
              <w:spacing w:after="0"/>
              <w:rPr>
                <w:sz w:val="1"/>
                <w:szCs w:val="1"/>
                <w:color w:val="auto"/>
              </w:rPr>
            </w:pPr>
          </w:p>
        </w:tc>
      </w:tr>
      <w:tr>
        <w:trPr>
          <w:trHeight w:val="256"/>
        </w:trPr>
        <w:tc>
          <w:tcPr>
            <w:tcW w:w="6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Weighted average shares outstanding:</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Basic shares</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67,541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70,316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2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Diluted shares</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71,558</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2360"/>
        <w:spacing w:after="0" w:line="297" w:lineRule="auto"/>
        <w:rPr>
          <w:sz w:val="20"/>
          <w:szCs w:val="20"/>
          <w:color w:val="auto"/>
        </w:rPr>
      </w:pPr>
      <w:r>
        <w:rPr>
          <w:rFonts w:ascii="Times New Roman" w:cs="Times New Roman" w:eastAsia="Times New Roman" w:hAnsi="Times New Roman"/>
          <w:sz w:val="20"/>
          <w:szCs w:val="20"/>
          <w:color w:val="auto"/>
        </w:rPr>
        <w:t>*For 2026, Basic and Diluted earnings per share amounts are determined under the two-class method NM - Not Meaningful</w:t>
      </w:r>
    </w:p>
    <w:p>
      <w:pPr>
        <w:sectPr>
          <w:pgSz w:w="11900" w:h="16838" w:orient="portrait"/>
          <w:cols w:equalWidth="0" w:num="1">
            <w:col w:w="10380"/>
          </w:cols>
          <w:pgMar w:left="780" w:top="761" w:right="739" w:bottom="1440" w:gutter="0" w:footer="0" w:header="0"/>
        </w:sectPr>
      </w:pPr>
    </w:p>
    <w:bookmarkStart w:id="7" w:name="page8"/>
    <w:bookmarkEnd w:id="7"/>
    <w:p>
      <w:pPr>
        <w:ind w:left="4340"/>
        <w:spacing w:after="0"/>
        <w:rPr>
          <w:sz w:val="20"/>
          <w:szCs w:val="20"/>
          <w:color w:val="auto"/>
        </w:rPr>
      </w:pPr>
      <w:r>
        <w:rPr>
          <w:rFonts w:ascii="Times New Roman" w:cs="Times New Roman" w:eastAsia="Times New Roman" w:hAnsi="Times New Roman"/>
          <w:sz w:val="20"/>
          <w:szCs w:val="20"/>
          <w:b w:val="1"/>
          <w:bCs w:val="1"/>
          <w:color w:val="auto"/>
        </w:rPr>
        <w:t>Corpay, Inc. and Subsidiaries</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March 31, 2026</w:t>
            </w:r>
          </w:p>
        </w:tc>
        <w:tc>
          <w:tcPr>
            <w:tcW w:w="160" w:type="dxa"/>
            <w:vAlign w:val="bottom"/>
          </w:tcPr>
          <w:p>
            <w:pPr>
              <w:spacing w:after="0"/>
              <w:rPr>
                <w:sz w:val="23"/>
                <w:szCs w:val="23"/>
                <w:color w:val="auto"/>
              </w:rPr>
            </w:pPr>
          </w:p>
        </w:tc>
        <w:tc>
          <w:tcPr>
            <w:tcW w:w="188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December 31, 2025</w:t>
            </w:r>
          </w:p>
        </w:tc>
      </w:tr>
      <w:tr>
        <w:trPr>
          <w:trHeight w:val="254"/>
        </w:trPr>
        <w:tc>
          <w:tcPr>
            <w:tcW w:w="7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(Unaudited)</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tcPr>
          <w:p>
            <w:pPr>
              <w:spacing w:after="0"/>
              <w:rPr>
                <w:sz w:val="22"/>
                <w:szCs w:val="22"/>
                <w:color w:val="auto"/>
              </w:rPr>
            </w:pPr>
          </w:p>
        </w:tc>
      </w:tr>
      <w:tr>
        <w:trPr>
          <w:trHeight w:val="25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r>
      <w:tr>
        <w:trPr>
          <w:trHeight w:val="257"/>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2,536,812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2,408,097</w:t>
            </w:r>
          </w:p>
        </w:tc>
      </w:tr>
      <w:tr>
        <w:trPr>
          <w:trHeight w:val="257"/>
        </w:trPr>
        <w:tc>
          <w:tcPr>
            <w:tcW w:w="70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Restricted cash</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6,279,515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6,583,843</w:t>
            </w:r>
          </w:p>
        </w:tc>
      </w:tr>
      <w:tr>
        <w:trPr>
          <w:trHeight w:val="257"/>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Accounts and other receivables (less allowance)</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2,630,917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2,145,679</w:t>
            </w:r>
          </w:p>
        </w:tc>
      </w:tr>
      <w:tr>
        <w:trPr>
          <w:trHeight w:val="257"/>
        </w:trPr>
        <w:tc>
          <w:tcPr>
            <w:tcW w:w="70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Securitized accounts receivable — restricted for securitization investors</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2,144,000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1,823,000</w:t>
            </w:r>
          </w:p>
        </w:tc>
      </w:tr>
      <w:tr>
        <w:trPr>
          <w:trHeight w:val="257"/>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1,045,865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1,002,621</w:t>
            </w:r>
          </w:p>
        </w:tc>
      </w:tr>
      <w:tr>
        <w:trPr>
          <w:trHeight w:val="250"/>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14,637,109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13,963,240</w:t>
            </w:r>
          </w:p>
        </w:tc>
      </w:tr>
      <w:tr>
        <w:trPr>
          <w:trHeight w:val="25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468,544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472,310</w:t>
            </w:r>
          </w:p>
        </w:tc>
      </w:tr>
      <w:tr>
        <w:trPr>
          <w:trHeight w:val="256"/>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other intangibles, net</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10,398,588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10,802,551</w:t>
            </w:r>
          </w:p>
        </w:tc>
      </w:tr>
      <w:tr>
        <w:trPr>
          <w:trHeight w:val="25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1,160,549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1,170,034</w:t>
            </w:r>
          </w:p>
        </w:tc>
      </w:tr>
      <w:tr>
        <w:trPr>
          <w:trHeight w:val="25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26,664,790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26,408,135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shd w:val="clear" w:color="auto" w:fill="CCEEFF"/>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Liabilities, Redeemable Noncontrolling Interest and Equity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57"/>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7"/>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Customer deposits</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7,852,839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8,118,566</w:t>
            </w:r>
          </w:p>
        </w:tc>
      </w:tr>
      <w:tr>
        <w:trPr>
          <w:trHeight w:val="257"/>
        </w:trPr>
        <w:tc>
          <w:tcPr>
            <w:tcW w:w="70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Accounts payable, accrued expenses and other current liabilities</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3,382,668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2,832,581</w:t>
            </w:r>
          </w:p>
        </w:tc>
      </w:tr>
      <w:tr>
        <w:trPr>
          <w:trHeight w:val="25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Securitization facility</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2,144,000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1,823,000</w:t>
            </w:r>
          </w:p>
        </w:tc>
      </w:tr>
      <w:tr>
        <w:trPr>
          <w:trHeight w:val="256"/>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20"/>
                <w:szCs w:val="20"/>
                <w:color w:val="auto"/>
              </w:rPr>
              <w:t>Current portion of notes payable and lines of credit</w:t>
            </w:r>
          </w:p>
        </w:tc>
        <w:tc>
          <w:tcPr>
            <w:tcW w:w="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1,609,770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1,522,530</w:t>
            </w:r>
          </w:p>
        </w:tc>
      </w:tr>
      <w:tr>
        <w:trPr>
          <w:trHeight w:val="25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14,989,277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14,296,677</w:t>
            </w:r>
          </w:p>
        </w:tc>
      </w:tr>
      <w:tr>
        <w:trPr>
          <w:trHeight w:val="25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Notes payable and other obligations, less current portion</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6,606,870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6,656,157</w:t>
            </w:r>
          </w:p>
        </w:tc>
      </w:tr>
      <w:tr>
        <w:trPr>
          <w:trHeight w:val="25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Deferred income taxes</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595,880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614,345</w:t>
            </w:r>
          </w:p>
        </w:tc>
      </w:tr>
      <w:tr>
        <w:trPr>
          <w:trHeight w:val="256"/>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609,261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612,279</w:t>
            </w:r>
          </w:p>
        </w:tc>
      </w:tr>
      <w:tr>
        <w:trPr>
          <w:trHeight w:val="25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noncurrent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7,812,011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7,882,781</w:t>
            </w:r>
          </w:p>
        </w:tc>
      </w:tr>
      <w:tr>
        <w:trPr>
          <w:trHeight w:val="237"/>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Redeemable noncontrolling interest</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308,000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302,000</w:t>
            </w:r>
          </w:p>
        </w:tc>
      </w:tr>
      <w:tr>
        <w:trPr>
          <w:trHeight w:val="257"/>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Common stock</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57"/>
        </w:trPr>
        <w:tc>
          <w:tcPr>
            <w:tcW w:w="70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4,009,290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3,970,077</w:t>
            </w:r>
          </w:p>
        </w:tc>
      </w:tr>
      <w:tr>
        <w:trPr>
          <w:trHeight w:val="256"/>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Retained earnings</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10,611,840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10,264,751</w:t>
            </w:r>
          </w:p>
        </w:tc>
      </w:tr>
      <w:tr>
        <w:trPr>
          <w:trHeight w:val="257"/>
        </w:trPr>
        <w:tc>
          <w:tcPr>
            <w:tcW w:w="70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(1,358,886)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(1,392,154)</w:t>
            </w:r>
          </w:p>
        </w:tc>
      </w:tr>
      <w:tr>
        <w:trPr>
          <w:trHeight w:val="257"/>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Treasury stock</w:t>
            </w:r>
          </w:p>
        </w:tc>
        <w:tc>
          <w:tcPr>
            <w:tcW w:w="2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(9,752,248)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(8,958,942)</w:t>
            </w:r>
          </w:p>
        </w:tc>
      </w:tr>
      <w:tr>
        <w:trPr>
          <w:trHeight w:val="25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Total Corpay stockholders’ equity</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3,510,128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3,883,864</w:t>
            </w:r>
          </w:p>
        </w:tc>
      </w:tr>
      <w:tr>
        <w:trPr>
          <w:trHeight w:val="25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2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45,374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42,813</w:t>
            </w:r>
          </w:p>
        </w:tc>
      </w:tr>
      <w:tr>
        <w:trPr>
          <w:trHeight w:val="250"/>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equity</w:t>
            </w: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3,555,502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3,926,677</w:t>
            </w:r>
          </w:p>
        </w:tc>
      </w:tr>
      <w:tr>
        <w:trPr>
          <w:trHeight w:val="275"/>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liabilities, redeemable noncontrolling interest and equity</w:t>
            </w: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26,664,790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26,408,135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761" w:right="3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Pr>
          <w:p>
            <w:pPr>
              <w:ind w:left="4340"/>
              <w:spacing w:after="0"/>
              <w:rPr>
                <w:sz w:val="20"/>
                <w:szCs w:val="20"/>
                <w:color w:val="auto"/>
              </w:rPr>
            </w:pPr>
            <w:r>
              <w:rPr>
                <w:rFonts w:ascii="Times New Roman" w:cs="Times New Roman" w:eastAsia="Times New Roman" w:hAnsi="Times New Roman"/>
                <w:sz w:val="20"/>
                <w:szCs w:val="20"/>
                <w:b w:val="1"/>
                <w:bCs w:val="1"/>
                <w:color w:val="auto"/>
              </w:rPr>
              <w:t>Corpay, Inc. and Subsidiaries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9360" w:type="dxa"/>
            <w:vAlign w:val="bottom"/>
            <w:gridSpan w:val="4"/>
          </w:tcPr>
          <w:p>
            <w:pPr>
              <w:ind w:left="278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(In thousands)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74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Three Months Ended March 31,</w:t>
            </w:r>
          </w:p>
        </w:tc>
        <w:tc>
          <w:tcPr>
            <w:tcW w:w="0" w:type="dxa"/>
            <w:vAlign w:val="bottom"/>
          </w:tcPr>
          <w:p>
            <w:pPr>
              <w:spacing w:after="0"/>
              <w:rPr>
                <w:sz w:val="1"/>
                <w:szCs w:val="1"/>
                <w:color w:val="auto"/>
              </w:rPr>
            </w:pPr>
          </w:p>
        </w:tc>
      </w:tr>
      <w:tr>
        <w:trPr>
          <w:trHeight w:val="254"/>
        </w:trPr>
        <w:tc>
          <w:tcPr>
            <w:tcW w:w="7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(Unaudited)</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(Unaudited)</w:t>
            </w:r>
          </w:p>
        </w:tc>
        <w:tc>
          <w:tcPr>
            <w:tcW w:w="0" w:type="dxa"/>
            <w:vAlign w:val="bottom"/>
          </w:tcPr>
          <w:p>
            <w:pPr>
              <w:spacing w:after="0"/>
              <w:rPr>
                <w:sz w:val="1"/>
                <w:szCs w:val="1"/>
                <w:color w:val="auto"/>
              </w:rPr>
            </w:pP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353,714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243,875</w:t>
            </w:r>
          </w:p>
        </w:tc>
        <w:tc>
          <w:tcPr>
            <w:tcW w:w="0" w:type="dxa"/>
            <w:vAlign w:val="bottom"/>
          </w:tcPr>
          <w:p>
            <w:pPr>
              <w:spacing w:after="0"/>
              <w:rPr>
                <w:sz w:val="1"/>
                <w:szCs w:val="1"/>
                <w:color w:val="auto"/>
              </w:rPr>
            </w:pP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Adjustments to reconcile net income to net cash used in operating activities: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Depreciation</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28,396</w:t>
            </w:r>
          </w:p>
        </w:tc>
        <w:tc>
          <w:tcPr>
            <w:tcW w:w="0" w:type="dxa"/>
            <w:vAlign w:val="bottom"/>
          </w:tcPr>
          <w:p>
            <w:pPr>
              <w:spacing w:after="0"/>
              <w:rPr>
                <w:sz w:val="1"/>
                <w:szCs w:val="1"/>
                <w:color w:val="auto"/>
              </w:rPr>
            </w:pPr>
          </w:p>
        </w:tc>
      </w:tr>
      <w:tr>
        <w:trPr>
          <w:trHeight w:val="257"/>
        </w:trPr>
        <w:tc>
          <w:tcPr>
            <w:tcW w:w="74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Stock-based compensation</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18,366</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Provision for credit losses on accounts and other receivables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42,350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30,661</w:t>
            </w:r>
          </w:p>
        </w:tc>
        <w:tc>
          <w:tcPr>
            <w:tcW w:w="0" w:type="dxa"/>
            <w:vAlign w:val="bottom"/>
          </w:tcPr>
          <w:p>
            <w:pPr>
              <w:spacing w:after="0"/>
              <w:rPr>
                <w:sz w:val="1"/>
                <w:szCs w:val="1"/>
                <w:color w:val="auto"/>
              </w:rPr>
            </w:pPr>
          </w:p>
        </w:tc>
      </w:tr>
      <w:tr>
        <w:trPr>
          <w:trHeight w:val="257"/>
        </w:trPr>
        <w:tc>
          <w:tcPr>
            <w:tcW w:w="74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Amortization of deferred financing costs and discounts</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2,274</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Amortization of intangible assets and premium on receivables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79,449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63,792</w:t>
            </w:r>
          </w:p>
        </w:tc>
        <w:tc>
          <w:tcPr>
            <w:tcW w:w="0" w:type="dxa"/>
            <w:vAlign w:val="bottom"/>
          </w:tcPr>
          <w:p>
            <w:pPr>
              <w:spacing w:after="0"/>
              <w:rPr>
                <w:sz w:val="1"/>
                <w:szCs w:val="1"/>
                <w:color w:val="auto"/>
              </w:rPr>
            </w:pPr>
          </w:p>
        </w:tc>
      </w:tr>
      <w:tr>
        <w:trPr>
          <w:trHeight w:val="257"/>
        </w:trPr>
        <w:tc>
          <w:tcPr>
            <w:tcW w:w="74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Deferred income taxes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(7,983)</w:t>
            </w:r>
          </w:p>
        </w:tc>
        <w:tc>
          <w:tcPr>
            <w:tcW w:w="0" w:type="dxa"/>
            <w:vAlign w:val="bottom"/>
          </w:tcPr>
          <w:p>
            <w:pPr>
              <w:spacing w:after="0"/>
              <w:rPr>
                <w:sz w:val="1"/>
                <w:szCs w:val="1"/>
                <w:color w:val="auto"/>
              </w:rPr>
            </w:pPr>
          </w:p>
        </w:tc>
      </w:tr>
      <w:tr>
        <w:trPr>
          <w:trHeight w:val="257"/>
        </w:trPr>
        <w:tc>
          <w:tcPr>
            <w:tcW w:w="74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Gain on disposition of business</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Other non-cash operating expense, net</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20"/>
                <w:szCs w:val="20"/>
                <w:color w:val="auto"/>
              </w:rPr>
              <w:t>Changes in operating assets and liabilities (net of acquisitions/disposition)</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(531,850)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(455,082)</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(56,620)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(74,151)</w:t>
            </w:r>
          </w:p>
        </w:tc>
        <w:tc>
          <w:tcPr>
            <w:tcW w:w="0" w:type="dxa"/>
            <w:vAlign w:val="bottom"/>
          </w:tcPr>
          <w:p>
            <w:pPr>
              <w:spacing w:after="0"/>
              <w:rPr>
                <w:sz w:val="1"/>
                <w:szCs w:val="1"/>
                <w:color w:val="auto"/>
              </w:rPr>
            </w:pPr>
          </w:p>
        </w:tc>
      </w:tr>
      <w:tr>
        <w:trPr>
          <w:trHeight w:val="237"/>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Acquisitions, net of cash acquired</w:t>
            </w:r>
          </w:p>
        </w:tc>
        <w:tc>
          <w:tcPr>
            <w:tcW w:w="2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(153,719)</w:t>
            </w:r>
          </w:p>
        </w:tc>
        <w:tc>
          <w:tcPr>
            <w:tcW w:w="0" w:type="dxa"/>
            <w:vAlign w:val="bottom"/>
          </w:tcPr>
          <w:p>
            <w:pPr>
              <w:spacing w:after="0"/>
              <w:rPr>
                <w:sz w:val="1"/>
                <w:szCs w:val="1"/>
                <w:color w:val="auto"/>
              </w:rPr>
            </w:pP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(44,771)</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Proceeds from disposition, net of cash</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420,210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14,572</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369,118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(183,918)</w:t>
            </w:r>
          </w:p>
        </w:tc>
        <w:tc>
          <w:tcPr>
            <w:tcW w:w="0" w:type="dxa"/>
            <w:vAlign w:val="bottom"/>
          </w:tcPr>
          <w:p>
            <w:pPr>
              <w:spacing w:after="0"/>
              <w:rPr>
                <w:sz w:val="1"/>
                <w:szCs w:val="1"/>
                <w:color w:val="auto"/>
              </w:rPr>
            </w:pPr>
          </w:p>
        </w:tc>
      </w:tr>
      <w:tr>
        <w:trPr>
          <w:trHeight w:val="237"/>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Proceeds from issuance of common stock</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32,079</w:t>
            </w:r>
          </w:p>
        </w:tc>
        <w:tc>
          <w:tcPr>
            <w:tcW w:w="0" w:type="dxa"/>
            <w:vAlign w:val="bottom"/>
          </w:tcPr>
          <w:p>
            <w:pPr>
              <w:spacing w:after="0"/>
              <w:rPr>
                <w:sz w:val="1"/>
                <w:szCs w:val="1"/>
                <w:color w:val="auto"/>
              </w:rPr>
            </w:pP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(785,971)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(58,718)</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Borrowings on securitization facility, net</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0" w:type="dxa"/>
            <w:vAlign w:val="bottom"/>
          </w:tcPr>
          <w:p>
            <w:pPr>
              <w:spacing w:after="0"/>
              <w:rPr>
                <w:sz w:val="1"/>
                <w:szCs w:val="1"/>
                <w:color w:val="auto"/>
              </w:rPr>
            </w:pP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Deferred financing costs</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(10,827)</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Proceeds from notes payable</w:t>
            </w:r>
          </w:p>
        </w:tc>
        <w:tc>
          <w:tcPr>
            <w:tcW w:w="2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256"/>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payments on notes payable</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(49,285)</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Borrowings from revolver</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3,177,000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2,454,000</w:t>
            </w:r>
          </w:p>
        </w:tc>
        <w:tc>
          <w:tcPr>
            <w:tcW w:w="0" w:type="dxa"/>
            <w:vAlign w:val="bottom"/>
          </w:tcPr>
          <w:p>
            <w:pPr>
              <w:spacing w:after="0"/>
              <w:rPr>
                <w:sz w:val="1"/>
                <w:szCs w:val="1"/>
                <w:color w:val="auto"/>
              </w:rPr>
            </w:pPr>
          </w:p>
        </w:tc>
      </w:tr>
      <w:tr>
        <w:trPr>
          <w:trHeight w:val="256"/>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Payments on revolver</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(3,135,000)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(3,120,000)</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Borrowings on swing line of credit, net</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46,678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(416,174)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142,297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Effect of foreign currency exchange rates on cash</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(71,937)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42,850</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decrease in cash and cash equivalents and restricted cash</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(175,613)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(72,922)</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Cash and cash equivalents and restricted cash, beginning of period</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8,991,940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4,456,345</w:t>
            </w: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and cash equivalents and restricted cash, end of period</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8,816,327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4,383,423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paid for interest, net</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136,288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119,022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Cash paid for income taxes, net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102,807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114,745</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761" w:right="359" w:bottom="1440" w:gutter="0" w:footer="0" w:header="0"/>
        </w:sectPr>
      </w:pPr>
    </w:p>
    <w:bookmarkStart w:id="9" w:name="page10"/>
    <w:bookmarkEnd w:id="9"/>
    <w:p>
      <w:pPr>
        <w:ind w:left="5240"/>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RECONCILIATION OF NON-GAAP MEASURES</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 shares in millions)</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0"/>
          <w:szCs w:val="20"/>
          <w:color w:val="auto"/>
        </w:rPr>
        <w:t>The following table reconciles net income attributable to Corpay to adjusted net income attributable to Corpay and adjusted net income per diluted share attributable to Corpay.*</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266"/>
        </w:trPr>
        <w:tc>
          <w:tcPr>
            <w:tcW w:w="59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Three Months Ended March 31,</w:t>
            </w:r>
          </w:p>
        </w:tc>
      </w:tr>
      <w:tr>
        <w:trPr>
          <w:trHeight w:val="254"/>
        </w:trPr>
        <w:tc>
          <w:tcPr>
            <w:tcW w:w="59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5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attributable to Corpay</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350,066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243,233</w:t>
            </w:r>
          </w:p>
        </w:tc>
      </w:tr>
      <w:tr>
        <w:trPr>
          <w:trHeight w:val="162"/>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Stock-based compensation</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18,366</w:t>
            </w:r>
          </w:p>
        </w:tc>
      </w:tr>
      <w:tr>
        <w:trPr>
          <w:trHeight w:val="257"/>
        </w:trPr>
        <w:tc>
          <w:tcPr>
            <w:tcW w:w="590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Amortization</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83,164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66,066</w:t>
            </w:r>
          </w:p>
        </w:tc>
      </w:tr>
      <w:tr>
        <w:trPr>
          <w:trHeight w:val="25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1,596</w:t>
            </w:r>
          </w:p>
        </w:tc>
      </w:tr>
      <w:tr>
        <w:trPr>
          <w:trHeight w:val="257"/>
        </w:trPr>
        <w:tc>
          <w:tcPr>
            <w:tcW w:w="5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Integration and deal related costs</w:t>
            </w:r>
          </w:p>
        </w:tc>
        <w:tc>
          <w:tcPr>
            <w:tcW w:w="2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11,389</w:t>
            </w:r>
          </w:p>
        </w:tc>
      </w:tr>
      <w:tr>
        <w:trPr>
          <w:trHeight w:val="25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Restructuring and related costs</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4,040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2,800</w:t>
            </w:r>
          </w:p>
        </w:tc>
      </w:tr>
      <w:tr>
        <w:trPr>
          <w:trHeight w:val="257"/>
        </w:trPr>
        <w:tc>
          <w:tcPr>
            <w:tcW w:w="5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Gain on disposition, net</w:t>
            </w:r>
          </w:p>
        </w:tc>
        <w:tc>
          <w:tcPr>
            <w:tcW w:w="2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Adjustments at equity method investment, net of tax</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21,390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5900" w:type="dxa"/>
            <w:vAlign w:val="bottom"/>
            <w:tcBorders>
              <w:bottom w:val="single" w:sz="8" w:color="CCEEFF"/>
            </w:tcBorders>
          </w:tcPr>
          <w:p>
            <w:pPr>
              <w:ind w:left="20"/>
              <w:spacing w:after="0" w:line="257" w:lineRule="exact"/>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5"/>
                <w:szCs w:val="25"/>
                <w:color w:val="auto"/>
                <w:vertAlign w:val="superscript"/>
              </w:rPr>
              <w:t>2</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10,963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7,092</w:t>
            </w:r>
          </w:p>
        </w:tc>
      </w:tr>
      <w:tr>
        <w:trPr>
          <w:trHeight w:val="25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adjustments</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42,555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107,309</w:t>
            </w:r>
          </w:p>
        </w:tc>
      </w:tr>
      <w:tr>
        <w:trPr>
          <w:trHeight w:val="257"/>
        </w:trPr>
        <w:tc>
          <w:tcPr>
            <w:tcW w:w="5900" w:type="dxa"/>
            <w:vAlign w:val="bottom"/>
          </w:tcPr>
          <w:p>
            <w:pPr>
              <w:ind w:left="20"/>
              <w:spacing w:after="0" w:line="257" w:lineRule="exact"/>
              <w:rPr>
                <w:sz w:val="20"/>
                <w:szCs w:val="20"/>
                <w:color w:val="auto"/>
              </w:rPr>
            </w:pPr>
            <w:r>
              <w:rPr>
                <w:rFonts w:ascii="Times New Roman" w:cs="Times New Roman" w:eastAsia="Times New Roman" w:hAnsi="Times New Roman"/>
                <w:sz w:val="20"/>
                <w:szCs w:val="20"/>
                <w:color w:val="auto"/>
              </w:rPr>
              <w:t>Income tax impact of pre-tax adjustments at the effective tax rate</w:t>
            </w:r>
            <w:r>
              <w:rPr>
                <w:rFonts w:ascii="Times New Roman" w:cs="Times New Roman" w:eastAsia="Times New Roman" w:hAnsi="Times New Roman"/>
                <w:sz w:val="25"/>
                <w:szCs w:val="25"/>
                <w:color w:val="auto"/>
                <w:vertAlign w:val="superscript"/>
              </w:rPr>
              <w:t>3</w:t>
            </w:r>
          </w:p>
        </w:tc>
        <w:tc>
          <w:tcPr>
            <w:tcW w:w="2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(39,554)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(27,616)</w:t>
            </w:r>
          </w:p>
        </w:tc>
      </w:tr>
      <w:tr>
        <w:trPr>
          <w:trHeight w:val="257"/>
        </w:trPr>
        <w:tc>
          <w:tcPr>
            <w:tcW w:w="590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Discrete tax items</w:t>
            </w:r>
            <w:r>
              <w:rPr>
                <w:rFonts w:ascii="Times New Roman" w:cs="Times New Roman" w:eastAsia="Times New Roman" w:hAnsi="Times New Roman"/>
                <w:sz w:val="25"/>
                <w:szCs w:val="25"/>
                <w:color w:val="auto"/>
                <w:vertAlign w:val="superscript"/>
              </w:rPr>
              <w:t>4</w:t>
            </w:r>
          </w:p>
        </w:tc>
        <w:tc>
          <w:tcPr>
            <w:tcW w:w="2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44,103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Adjusted net income attributable to Corpay</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397,170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322,926</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590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20"/>
                <w:szCs w:val="20"/>
                <w:color w:val="auto"/>
              </w:rPr>
              <w:t>Adjusted net income per diluted share attributable to Corpay</w:t>
            </w:r>
            <w:r>
              <w:rPr>
                <w:rFonts w:ascii="Times New Roman" w:cs="Times New Roman" w:eastAsia="Times New Roman" w:hAnsi="Times New Roman"/>
                <w:sz w:val="25"/>
                <w:szCs w:val="25"/>
                <w:color w:val="auto"/>
                <w:vertAlign w:val="superscript"/>
              </w:rPr>
              <w:t>5</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4.51</w:t>
            </w:r>
          </w:p>
        </w:tc>
      </w:tr>
      <w:tr>
        <w:trPr>
          <w:trHeight w:val="258"/>
        </w:trPr>
        <w:tc>
          <w:tcPr>
            <w:tcW w:w="5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Diluted shares</w:t>
            </w:r>
          </w:p>
        </w:tc>
        <w:tc>
          <w:tcPr>
            <w:tcW w:w="2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w:t>
            </w:r>
          </w:p>
        </w:tc>
      </w:tr>
    </w:tbl>
    <w:p>
      <w:pPr>
        <w:spacing w:after="0" w:line="85" w:lineRule="exact"/>
        <w:rPr>
          <w:sz w:val="20"/>
          <w:szCs w:val="20"/>
          <w:color w:val="auto"/>
        </w:rPr>
      </w:pPr>
    </w:p>
    <w:p>
      <w:pPr>
        <w:ind w:left="160" w:hanging="85"/>
        <w:spacing w:after="0"/>
        <w:tabs>
          <w:tab w:leader="none" w:pos="1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consolidated amortization related to intangible assets, premium on receivables, deferred financing costs and debt discounts.</w:t>
      </w:r>
    </w:p>
    <w:p>
      <w:pPr>
        <w:spacing w:after="0" w:line="4" w:lineRule="exact"/>
        <w:rPr>
          <w:sz w:val="20"/>
          <w:szCs w:val="20"/>
          <w:color w:val="auto"/>
        </w:rPr>
      </w:pPr>
    </w:p>
    <w:p>
      <w:pPr>
        <w:ind w:left="80" w:right="140" w:hanging="5"/>
        <w:spacing w:after="0" w:line="208" w:lineRule="auto"/>
        <w:tabs>
          <w:tab w:leader="none" w:pos="16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losses and gains on foreign currency transactions, certain legal expenses, amortization expense attributable to the Company's noncontrolling interests, taxes associated with stock-based compensation programs and a loss on an economic hedge of a foreign-denominated purchase price of an acquisition.</w:t>
      </w:r>
    </w:p>
    <w:p>
      <w:pPr>
        <w:spacing w:after="0" w:line="2" w:lineRule="exact"/>
        <w:rPr>
          <w:sz w:val="20"/>
          <w:szCs w:val="20"/>
          <w:color w:val="auto"/>
        </w:rPr>
      </w:pPr>
    </w:p>
    <w:p>
      <w:pPr>
        <w:ind w:left="80" w:hanging="5"/>
        <w:spacing w:after="0" w:line="206" w:lineRule="auto"/>
        <w:tabs>
          <w:tab w:leader="none" w:pos="184"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provision for income taxes of pre-tax adjustments. Adjustments related to our equity method investment are tax effected at the effective tax rate of the investment as stated.</w:t>
      </w:r>
    </w:p>
    <w:p>
      <w:pPr>
        <w:spacing w:after="0" w:line="9" w:lineRule="exact"/>
        <w:rPr>
          <w:sz w:val="20"/>
          <w:szCs w:val="20"/>
          <w:color w:val="auto"/>
        </w:rPr>
      </w:pPr>
    </w:p>
    <w:p>
      <w:pPr>
        <w:ind w:left="80" w:right="240" w:hanging="5"/>
        <w:spacing w:after="0" w:line="208" w:lineRule="auto"/>
        <w:tabs>
          <w:tab w:leader="none" w:pos="184"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2026, represents discrete taxes on net gain realized upon disposition of our PaybyPhone business within Vehicle Payments of $40.0 million and taxes related to our equity method investment.</w:t>
      </w:r>
    </w:p>
    <w:p>
      <w:pPr>
        <w:spacing w:after="0" w:line="37" w:lineRule="exact"/>
        <w:rPr>
          <w:sz w:val="20"/>
          <w:szCs w:val="20"/>
          <w:color w:val="auto"/>
        </w:rPr>
      </w:pPr>
    </w:p>
    <w:p>
      <w:pPr>
        <w:ind w:left="80" w:right="840" w:hanging="5"/>
        <w:spacing w:after="0" w:line="236" w:lineRule="auto"/>
        <w:tabs>
          <w:tab w:leader="none" w:pos="184"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the impact on earnings per share of the adjustment of a non-controlling interest to its maximum redemption value of $3.0 million. * Columns may not calculate due to rounding.</w:t>
      </w:r>
    </w:p>
    <w:p>
      <w:pPr>
        <w:sectPr>
          <w:pgSz w:w="11900" w:h="16838" w:orient="portrait"/>
          <w:cols w:equalWidth="0" w:num="1">
            <w:col w:w="11040"/>
          </w:cols>
          <w:pgMar w:left="320" w:top="761" w:right="539" w:bottom="1440" w:gutter="0" w:footer="0" w:header="0"/>
        </w:sectPr>
      </w:pPr>
    </w:p>
    <w:bookmarkStart w:id="10" w:name="page11"/>
    <w:bookmarkEnd w:id="10"/>
    <w:p>
      <w:pPr>
        <w:ind w:left="5240"/>
        <w:spacing w:after="0"/>
        <w:rPr>
          <w:sz w:val="20"/>
          <w:szCs w:val="20"/>
          <w:color w:val="auto"/>
        </w:rPr>
      </w:pPr>
      <w:r>
        <w:rPr>
          <w:rFonts w:ascii="Times New Roman" w:cs="Times New Roman" w:eastAsia="Times New Roman" w:hAnsi="Times New Roman"/>
          <w:sz w:val="20"/>
          <w:szCs w:val="20"/>
          <w:b w:val="1"/>
          <w:bCs w:val="1"/>
          <w:color w:val="auto"/>
        </w:rPr>
        <w:t>Exhibit 2</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Key Performance Indicators, by Segment and Revenue Per Performance Metric on a GAAP Basis and Pro Forma and Macro</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Adjusted</w:t>
      </w:r>
    </w:p>
    <w:p>
      <w:pPr>
        <w:spacing w:after="0" w:line="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b w:val="1"/>
          <w:bCs w:val="1"/>
          <w:color w:val="auto"/>
        </w:rPr>
        <w:t>(In millions except revenues, net per key performance metric and percentages)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8240" w:type="dxa"/>
            <w:vAlign w:val="bottom"/>
            <w:tcBorders>
              <w:top w:val="single" w:sz="8" w:color="auto"/>
            </w:tcBorders>
            <w:gridSpan w:val="14"/>
          </w:tcPr>
          <w:p>
            <w:pPr>
              <w:ind w:left="20"/>
              <w:spacing w:after="0"/>
              <w:rPr>
                <w:sz w:val="20"/>
                <w:szCs w:val="20"/>
                <w:color w:val="auto"/>
              </w:rPr>
            </w:pPr>
            <w:r>
              <w:rPr>
                <w:rFonts w:ascii="Times New Roman" w:cs="Times New Roman" w:eastAsia="Times New Roman" w:hAnsi="Times New Roman"/>
                <w:sz w:val="20"/>
                <w:szCs w:val="20"/>
                <w:color w:val="auto"/>
                <w:w w:val="99"/>
              </w:rPr>
              <w:t>The following table presents revenues, net and revenues, net per key performance metric by segment.*</w:t>
            </w:r>
          </w:p>
        </w:tc>
        <w:tc>
          <w:tcPr>
            <w:tcW w:w="8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As Reported</w:t>
            </w: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gridSpan w:val="4"/>
          </w:tcPr>
          <w:p>
            <w:pPr>
              <w:jc w:val="center"/>
              <w:spacing w:after="0" w:line="270" w:lineRule="exact"/>
              <w:rPr>
                <w:sz w:val="20"/>
                <w:szCs w:val="20"/>
                <w:color w:val="auto"/>
              </w:rPr>
            </w:pPr>
            <w:r>
              <w:rPr>
                <w:rFonts w:ascii="Times New Roman" w:cs="Times New Roman" w:eastAsia="Times New Roman" w:hAnsi="Times New Roman"/>
                <w:sz w:val="20"/>
                <w:szCs w:val="20"/>
                <w:b w:val="1"/>
                <w:bCs w:val="1"/>
                <w:color w:val="auto"/>
                <w:w w:val="98"/>
              </w:rPr>
              <w:t>Pro Forma and Macro Adjusted</w:t>
            </w:r>
            <w:r>
              <w:rPr>
                <w:rFonts w:ascii="Times New Roman" w:cs="Times New Roman" w:eastAsia="Times New Roman" w:hAnsi="Times New Roman"/>
                <w:sz w:val="25"/>
                <w:szCs w:val="25"/>
                <w:b w:val="1"/>
                <w:bCs w:val="1"/>
                <w:color w:val="auto"/>
                <w:w w:val="98"/>
                <w:vertAlign w:val="superscript"/>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20" w:type="dxa"/>
            <w:vAlign w:val="bottom"/>
            <w:gridSpan w:val="5"/>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Three Months Ended March 31,</w:t>
            </w:r>
          </w:p>
        </w:tc>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Three Months Ended March 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2026</w:t>
            </w:r>
          </w:p>
        </w:tc>
        <w:tc>
          <w:tcPr>
            <w:tcW w:w="10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2025</w:t>
            </w:r>
          </w:p>
        </w:tc>
        <w:tc>
          <w:tcPr>
            <w:tcW w:w="10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060" w:type="dxa"/>
            <w:vAlign w:val="bottom"/>
            <w:tcBorders>
              <w:top w:val="single" w:sz="8" w:color="auto"/>
            </w:tcBorders>
          </w:tcPr>
          <w:p>
            <w:pPr>
              <w:jc w:val="right"/>
              <w:ind w:right="377"/>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15"/>
                <w:szCs w:val="15"/>
                <w:color w:val="auto"/>
              </w:rPr>
            </w:pPr>
          </w:p>
        </w:tc>
        <w:tc>
          <w:tcPr>
            <w:tcW w:w="1160" w:type="dxa"/>
            <w:vAlign w:val="bottom"/>
            <w:tcBorders>
              <w:top w:val="single" w:sz="8" w:color="auto"/>
            </w:tcBorders>
            <w:vMerge w:val="restart"/>
          </w:tcPr>
          <w:p>
            <w:pPr>
              <w:jc w:val="center"/>
              <w:ind w:right="116"/>
              <w:spacing w:after="0"/>
              <w:rPr>
                <w:sz w:val="20"/>
                <w:szCs w:val="20"/>
                <w:color w:val="auto"/>
              </w:rPr>
            </w:pPr>
            <w:r>
              <w:rPr>
                <w:rFonts w:ascii="Times New Roman" w:cs="Times New Roman" w:eastAsia="Times New Roman" w:hAnsi="Times New Roman"/>
                <w:sz w:val="20"/>
                <w:szCs w:val="20"/>
                <w:b w:val="1"/>
                <w:bCs w:val="1"/>
                <w:color w:val="auto"/>
                <w:w w:val="99"/>
              </w:rPr>
              <w:t>2026</w:t>
            </w:r>
          </w:p>
        </w:tc>
        <w:tc>
          <w:tcPr>
            <w:tcW w:w="860" w:type="dxa"/>
            <w:vAlign w:val="bottom"/>
            <w:tcBorders>
              <w:top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060" w:type="dxa"/>
            <w:vAlign w:val="bottom"/>
            <w:tcBorders>
              <w:top w:val="single" w:sz="8" w:color="auto"/>
            </w:tcBorders>
          </w:tcPr>
          <w:p>
            <w:pPr>
              <w:jc w:val="right"/>
              <w:ind w:right="357"/>
              <w:spacing w:after="0" w:line="183"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16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60" w:type="dxa"/>
            <w:vAlign w:val="bottom"/>
            <w:tcBorders>
              <w:left w:val="single" w:sz="8" w:color="CCEEFF"/>
            </w:tcBorders>
            <w:gridSpan w:val="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CORPORATE PAYMENTS</w:t>
            </w:r>
            <w:r>
              <w:rPr>
                <w:rFonts w:ascii="Times New Roman" w:cs="Times New Roman" w:eastAsia="Times New Roman" w:hAnsi="Times New Roman"/>
                <w:sz w:val="23"/>
                <w:szCs w:val="23"/>
                <w:b w:val="1"/>
                <w:bCs w:val="1"/>
                <w:u w:val="single" w:color="auto"/>
                <w:color w:val="auto"/>
                <w:vertAlign w:val="superscript"/>
              </w:rPr>
              <w:t>2</w:t>
            </w: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0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w:t>
            </w:r>
          </w:p>
        </w:tc>
        <w:tc>
          <w:tcPr>
            <w:tcW w:w="460" w:type="dxa"/>
            <w:vAlign w:val="bottom"/>
            <w:tcBorders>
              <w:top w:val="single" w:sz="8" w:color="CCEEFF"/>
            </w:tcBorders>
            <w:gridSpan w:val="2"/>
          </w:tcPr>
          <w:p>
            <w:pPr>
              <w:spacing w:after="0"/>
              <w:rPr>
                <w:sz w:val="22"/>
                <w:szCs w:val="22"/>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$503.9</w:t>
            </w:r>
          </w:p>
        </w:tc>
        <w:tc>
          <w:tcPr>
            <w:tcW w:w="10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$345.1</w:t>
            </w:r>
          </w:p>
        </w:tc>
        <w:tc>
          <w:tcPr>
            <w:tcW w:w="10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$158.8</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9"/>
              </w:rPr>
              <w:t>$481.8</w:t>
            </w:r>
          </w:p>
        </w:tc>
        <w:tc>
          <w:tcPr>
            <w:tcW w:w="860" w:type="dxa"/>
            <w:vAlign w:val="bottom"/>
            <w:tcBorders>
              <w:top w:val="single" w:sz="8" w:color="CCEEFF"/>
            </w:tcBorders>
          </w:tcPr>
          <w:p>
            <w:pPr>
              <w:jc w:val="center"/>
              <w:ind w:right="18"/>
              <w:spacing w:after="0"/>
              <w:rPr>
                <w:sz w:val="20"/>
                <w:szCs w:val="20"/>
                <w:color w:val="auto"/>
              </w:rPr>
            </w:pPr>
            <w:r>
              <w:rPr>
                <w:rFonts w:ascii="Times New Roman" w:cs="Times New Roman" w:eastAsia="Times New Roman" w:hAnsi="Times New Roman"/>
                <w:sz w:val="16"/>
                <w:szCs w:val="16"/>
                <w:color w:val="auto"/>
                <w:w w:val="99"/>
              </w:rPr>
              <w:t>$416.8</w:t>
            </w:r>
          </w:p>
        </w:tc>
        <w:tc>
          <w:tcPr>
            <w:tcW w:w="10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$65.0</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5"/>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Spend volume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$81,850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$47,846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$34,005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6"/>
                <w:szCs w:val="16"/>
                <w:color w:val="auto"/>
                <w:w w:val="99"/>
              </w:rPr>
              <w:t>$81,850</w:t>
            </w:r>
          </w:p>
        </w:tc>
        <w:tc>
          <w:tcPr>
            <w:tcW w:w="8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6"/>
                <w:szCs w:val="16"/>
                <w:color w:val="auto"/>
                <w:w w:val="99"/>
              </w:rPr>
              <w:t>$57,371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$24,479</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 per spend $</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0.72%</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Pr>
          <w:p>
            <w:pPr>
              <w:spacing w:after="0"/>
              <w:rPr>
                <w:sz w:val="22"/>
                <w:szCs w:val="22"/>
                <w:color w:val="auto"/>
              </w:rPr>
            </w:pPr>
          </w:p>
        </w:tc>
        <w:tc>
          <w:tcPr>
            <w:tcW w:w="1160" w:type="dxa"/>
            <w:vAlign w:val="bottom"/>
          </w:tcPr>
          <w:p>
            <w:pPr>
              <w:jc w:val="center"/>
              <w:ind w:right="96"/>
              <w:spacing w:after="0"/>
              <w:rPr>
                <w:sz w:val="20"/>
                <w:szCs w:val="20"/>
                <w:color w:val="auto"/>
              </w:rPr>
            </w:pPr>
            <w:r>
              <w:rPr>
                <w:rFonts w:ascii="Times New Roman" w:cs="Times New Roman" w:eastAsia="Times New Roman" w:hAnsi="Times New Roman"/>
                <w:sz w:val="16"/>
                <w:szCs w:val="16"/>
                <w:color w:val="auto"/>
              </w:rPr>
              <w:t>0.59%</w:t>
            </w: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rPr>
              <w:t>0.73%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860" w:type="dxa"/>
            <w:vAlign w:val="bottom"/>
            <w:tcBorders>
              <w:left w:val="single" w:sz="8" w:color="CCEEFF"/>
            </w:tcBorders>
            <w:gridSpan w:val="8"/>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VEHICLE PAYMENTS</w:t>
            </w: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w:t>
            </w:r>
          </w:p>
        </w:tc>
        <w:tc>
          <w:tcPr>
            <w:tcW w:w="800" w:type="dxa"/>
            <w:vAlign w:val="bottom"/>
            <w:tcBorders>
              <w:top w:val="single" w:sz="8" w:color="CCEEFF"/>
            </w:tcBorders>
            <w:gridSpan w:val="4"/>
          </w:tcPr>
          <w:p>
            <w:pPr>
              <w:spacing w:after="0"/>
              <w:rPr>
                <w:sz w:val="22"/>
                <w:szCs w:val="22"/>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$563.9</w:t>
            </w:r>
          </w:p>
        </w:tc>
        <w:tc>
          <w:tcPr>
            <w:tcW w:w="10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$474.3</w:t>
            </w:r>
          </w:p>
        </w:tc>
        <w:tc>
          <w:tcPr>
            <w:tcW w:w="10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$89.6</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9"/>
              </w:rPr>
              <w:t>$523.6</w:t>
            </w:r>
          </w:p>
        </w:tc>
        <w:tc>
          <w:tcPr>
            <w:tcW w:w="860" w:type="dxa"/>
            <w:vAlign w:val="bottom"/>
            <w:tcBorders>
              <w:top w:val="single" w:sz="8" w:color="CCEEFF"/>
            </w:tcBorders>
          </w:tcPr>
          <w:p>
            <w:pPr>
              <w:jc w:val="center"/>
              <w:ind w:right="18"/>
              <w:spacing w:after="0"/>
              <w:rPr>
                <w:sz w:val="20"/>
                <w:szCs w:val="20"/>
                <w:color w:val="auto"/>
              </w:rPr>
            </w:pPr>
            <w:r>
              <w:rPr>
                <w:rFonts w:ascii="Times New Roman" w:cs="Times New Roman" w:eastAsia="Times New Roman" w:hAnsi="Times New Roman"/>
                <w:sz w:val="16"/>
                <w:szCs w:val="16"/>
                <w:color w:val="auto"/>
                <w:w w:val="99"/>
              </w:rPr>
              <w:t>$477.6</w:t>
            </w:r>
          </w:p>
        </w:tc>
        <w:tc>
          <w:tcPr>
            <w:tcW w:w="10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$46.0</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Transactions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209.0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200.7</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6"/>
                <w:szCs w:val="16"/>
                <w:color w:val="auto"/>
                <w:w w:val="99"/>
              </w:rPr>
              <w:t>208.4</w:t>
            </w:r>
          </w:p>
        </w:tc>
        <w:tc>
          <w:tcPr>
            <w:tcW w:w="8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6"/>
                <w:szCs w:val="16"/>
                <w:color w:val="auto"/>
                <w:w w:val="99"/>
              </w:rPr>
              <w:t>199.8</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 per transaction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$2.70</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$2.36</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2"/>
                <w:szCs w:val="22"/>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w w:val="99"/>
              </w:rPr>
              <w:t>$2.51</w:t>
            </w: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$2.39</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CCEEFF"/>
            </w:tcBorders>
            <w:shd w:val="clear" w:color="auto" w:fill="CCEEFF"/>
          </w:tcPr>
          <w:p>
            <w:pPr>
              <w:spacing w:after="0"/>
              <w:rPr>
                <w:sz w:val="22"/>
                <w:szCs w:val="22"/>
                <w:color w:val="auto"/>
              </w:rPr>
            </w:pPr>
          </w:p>
        </w:tc>
        <w:tc>
          <w:tcPr>
            <w:tcW w:w="2820" w:type="dxa"/>
            <w:vAlign w:val="bottom"/>
            <w:gridSpan w:val="7"/>
            <w:shd w:val="clear" w:color="auto" w:fill="CCEEFF"/>
          </w:tcPr>
          <w:p>
            <w:pPr>
              <w:ind w:left="100"/>
              <w:spacing w:after="0" w:line="257" w:lineRule="exact"/>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Tag transactions</w:t>
            </w:r>
            <w:r>
              <w:rPr>
                <w:rFonts w:ascii="Times New Roman" w:cs="Times New Roman" w:eastAsia="Times New Roman" w:hAnsi="Times New Roman"/>
                <w:sz w:val="25"/>
                <w:szCs w:val="25"/>
                <w:color w:val="000000"/>
                <w:vertAlign w:val="superscript"/>
              </w:rPr>
              <w:t>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22.9</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6"/>
                <w:szCs w:val="16"/>
                <w:color w:val="auto"/>
                <w:w w:val="99"/>
              </w:rPr>
              <w:t>24.1</w:t>
            </w:r>
          </w:p>
        </w:tc>
        <w:tc>
          <w:tcPr>
            <w:tcW w:w="8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6"/>
                <w:szCs w:val="16"/>
                <w:color w:val="auto"/>
                <w:w w:val="99"/>
              </w:rPr>
              <w:t>22.9</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2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 Parking transactions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66.3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65.1</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2"/>
                <w:szCs w:val="22"/>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w w:val="99"/>
              </w:rPr>
              <w:t>66.3</w:t>
            </w: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65.1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CCEEFF"/>
            </w:tcBorders>
            <w:shd w:val="clear" w:color="auto" w:fill="CCEEFF"/>
          </w:tcPr>
          <w:p>
            <w:pPr>
              <w:spacing w:after="0"/>
              <w:rPr>
                <w:sz w:val="22"/>
                <w:szCs w:val="22"/>
                <w:color w:val="auto"/>
              </w:rPr>
            </w:pPr>
          </w:p>
        </w:tc>
        <w:tc>
          <w:tcPr>
            <w:tcW w:w="282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 Fleet transactions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6"/>
                <w:szCs w:val="16"/>
                <w:color w:val="auto"/>
                <w:w w:val="99"/>
              </w:rPr>
              <w:t>101.0</w:t>
            </w:r>
          </w:p>
        </w:tc>
        <w:tc>
          <w:tcPr>
            <w:tcW w:w="8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6"/>
                <w:szCs w:val="16"/>
                <w:color w:val="auto"/>
                <w:w w:val="99"/>
              </w:rPr>
              <w:t>98.7</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2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 Other transactions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17.0</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2"/>
                <w:szCs w:val="22"/>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w w:val="99"/>
              </w:rPr>
              <w:t>17.0</w:t>
            </w: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13.1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860" w:type="dxa"/>
            <w:vAlign w:val="bottom"/>
            <w:tcBorders>
              <w:left w:val="single" w:sz="8" w:color="CCEEFF"/>
            </w:tcBorders>
            <w:gridSpan w:val="8"/>
            <w:shd w:val="clear" w:color="auto" w:fill="CCEEFF"/>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LODGING PAYMENTS</w:t>
            </w:r>
          </w:p>
        </w:tc>
        <w:tc>
          <w:tcPr>
            <w:tcW w:w="10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0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w:t>
            </w:r>
          </w:p>
        </w:tc>
        <w:tc>
          <w:tcPr>
            <w:tcW w:w="760" w:type="dxa"/>
            <w:vAlign w:val="bottom"/>
            <w:tcBorders>
              <w:top w:val="single" w:sz="8" w:color="CCEEFF"/>
            </w:tcBorders>
            <w:gridSpan w:val="3"/>
          </w:tcPr>
          <w:p>
            <w:pPr>
              <w:spacing w:after="0"/>
              <w:rPr>
                <w:sz w:val="22"/>
                <w:szCs w:val="22"/>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5"/>
              </w:rPr>
              <w:t>$111.0</w:t>
            </w:r>
          </w:p>
        </w:tc>
        <w:tc>
          <w:tcPr>
            <w:tcW w:w="10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$110.2</w:t>
            </w:r>
          </w:p>
        </w:tc>
        <w:tc>
          <w:tcPr>
            <w:tcW w:w="10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9"/>
              </w:rPr>
              <w:t>$109.7</w:t>
            </w:r>
          </w:p>
        </w:tc>
        <w:tc>
          <w:tcPr>
            <w:tcW w:w="860" w:type="dxa"/>
            <w:vAlign w:val="bottom"/>
            <w:tcBorders>
              <w:top w:val="single" w:sz="8" w:color="CCEEFF"/>
            </w:tcBorders>
          </w:tcPr>
          <w:p>
            <w:pPr>
              <w:jc w:val="center"/>
              <w:ind w:right="18"/>
              <w:spacing w:after="0"/>
              <w:rPr>
                <w:sz w:val="20"/>
                <w:szCs w:val="20"/>
                <w:color w:val="auto"/>
              </w:rPr>
            </w:pPr>
            <w:r>
              <w:rPr>
                <w:rFonts w:ascii="Times New Roman" w:cs="Times New Roman" w:eastAsia="Times New Roman" w:hAnsi="Times New Roman"/>
                <w:sz w:val="16"/>
                <w:szCs w:val="16"/>
                <w:color w:val="auto"/>
                <w:w w:val="99"/>
              </w:rPr>
              <w:t>$110.2</w:t>
            </w:r>
          </w:p>
        </w:tc>
        <w:tc>
          <w:tcPr>
            <w:tcW w:w="10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$(0.5)</w:t>
            </w:r>
          </w:p>
        </w:tc>
        <w:tc>
          <w:tcPr>
            <w:tcW w:w="10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Room nights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6"/>
                <w:szCs w:val="16"/>
                <w:color w:val="auto"/>
                <w:w w:val="99"/>
              </w:rPr>
              <w:t>7.4</w:t>
            </w:r>
          </w:p>
        </w:tc>
        <w:tc>
          <w:tcPr>
            <w:tcW w:w="8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6"/>
                <w:szCs w:val="16"/>
                <w:color w:val="auto"/>
                <w:w w:val="99"/>
              </w:rPr>
              <w:t>9.8</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 per room night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$15.06</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$11.26</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$3.79</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2"/>
                <w:szCs w:val="22"/>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w w:val="99"/>
              </w:rPr>
              <w:t>$14.88</w:t>
            </w: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$11.26</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860" w:type="dxa"/>
            <w:vAlign w:val="bottom"/>
            <w:tcBorders>
              <w:left w:val="single" w:sz="8" w:color="CCEEFF"/>
            </w:tcBorders>
            <w:gridSpan w:val="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4</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auto"/>
              <w:left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$76.0</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2"/>
                <w:szCs w:val="22"/>
                <w:color w:val="auto"/>
              </w:rPr>
            </w:pPr>
          </w:p>
        </w:tc>
        <w:tc>
          <w:tcPr>
            <w:tcW w:w="116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w w:val="99"/>
              </w:rPr>
              <w:t>$81.1</w:t>
            </w: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6"/>
                <w:szCs w:val="16"/>
                <w:color w:val="auto"/>
                <w:w w:val="99"/>
              </w:rPr>
              <w:t>$76.0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Transactions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429.0</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6"/>
                <w:szCs w:val="16"/>
                <w:color w:val="auto"/>
                <w:w w:val="99"/>
              </w:rPr>
              <w:t>465.0</w:t>
            </w:r>
          </w:p>
        </w:tc>
        <w:tc>
          <w:tcPr>
            <w:tcW w:w="8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6"/>
                <w:szCs w:val="16"/>
                <w:color w:val="auto"/>
                <w:w w:val="99"/>
              </w:rPr>
              <w:t>429.0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 per transaction</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$0.18</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$0.18</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9"/>
              </w:rPr>
              <w:t>$0.17</w:t>
            </w: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w w:val="99"/>
              </w:rPr>
              <w:t>$0.18</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20"/>
                <w:szCs w:val="20"/>
                <w:b w:val="1"/>
                <w:bCs w:val="1"/>
                <w:color w:val="auto"/>
                <w:w w:val="93"/>
              </w:rPr>
              <w:t>CORPAY</w:t>
            </w:r>
          </w:p>
        </w:tc>
        <w:tc>
          <w:tcPr>
            <w:tcW w:w="200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bottom w:val="single" w:sz="8" w:color="CCEEFF"/>
            </w:tcBorders>
            <w:shd w:val="clear" w:color="auto" w:fill="CCEEFF"/>
          </w:tcPr>
          <w:p>
            <w:pPr>
              <w:spacing w:after="0"/>
              <w:rPr>
                <w:sz w:val="17"/>
                <w:szCs w:val="17"/>
                <w:color w:val="auto"/>
              </w:rPr>
            </w:pPr>
          </w:p>
        </w:tc>
        <w:tc>
          <w:tcPr>
            <w:tcW w:w="2720" w:type="dxa"/>
            <w:vAlign w:val="bottom"/>
            <w:tcBorders>
              <w:bottom w:val="single" w:sz="8" w:color="auto"/>
            </w:tcBorders>
            <w:gridSpan w:val="6"/>
            <w:shd w:val="clear" w:color="auto" w:fill="CCEEFF"/>
          </w:tcPr>
          <w:p>
            <w:pPr>
              <w:spacing w:after="0" w:line="183" w:lineRule="exact"/>
              <w:rPr>
                <w:sz w:val="20"/>
                <w:szCs w:val="20"/>
                <w:color w:val="auto"/>
              </w:rPr>
            </w:pPr>
            <w:r>
              <w:rPr>
                <w:rFonts w:ascii="Times New Roman" w:cs="Times New Roman" w:eastAsia="Times New Roman" w:hAnsi="Times New Roman"/>
                <w:sz w:val="20"/>
                <w:szCs w:val="20"/>
                <w:b w:val="1"/>
                <w:bCs w:val="1"/>
                <w:color w:val="auto"/>
                <w:w w:val="97"/>
              </w:rPr>
              <w:t>CONSOLIDATED REVENUES</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bottom w:val="single" w:sz="8" w:color="auto"/>
            </w:tcBorders>
          </w:tcPr>
          <w:p>
            <w:pPr>
              <w:spacing w:after="0"/>
              <w:rPr>
                <w:sz w:val="22"/>
                <w:szCs w:val="22"/>
                <w:color w:val="auto"/>
              </w:rPr>
            </w:pPr>
          </w:p>
        </w:tc>
        <w:tc>
          <w:tcPr>
            <w:tcW w:w="28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FFFFFF"/>
              </w:rPr>
              <w:t>'</w:t>
            </w:r>
            <w:r>
              <w:rPr>
                <w:rFonts w:ascii="Times New Roman" w:cs="Times New Roman" w:eastAsia="Times New Roman" w:hAnsi="Times New Roman"/>
                <w:sz w:val="20"/>
                <w:szCs w:val="20"/>
                <w:color w:val="000000"/>
              </w:rPr>
              <w:t>- Revenues, net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$1,261.0</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$1,005.7</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$255.3</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9"/>
              </w:rPr>
              <w:t>$1,196.2</w:t>
            </w: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color w:val="auto"/>
                <w:w w:val="99"/>
              </w:rPr>
              <w:t>$1,080.7</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$115.5</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20" w:hanging="94"/>
        <w:spacing w:after="0"/>
        <w:tabs>
          <w:tab w:leader="none" w:pos="1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Exhibit 5 for a reconciliation of Pro forma and Macro Adjusted revenue by segment and metrics, non-GAAP measures, to the GAAP equivalent.</w:t>
      </w:r>
    </w:p>
    <w:p>
      <w:pPr>
        <w:spacing w:after="0" w:line="55" w:lineRule="exact"/>
        <w:rPr>
          <w:rFonts w:ascii="Times New Roman" w:cs="Times New Roman" w:eastAsia="Times New Roman" w:hAnsi="Times New Roman"/>
          <w:sz w:val="23"/>
          <w:szCs w:val="23"/>
          <w:color w:val="auto"/>
          <w:vertAlign w:val="superscript"/>
        </w:rPr>
      </w:pPr>
    </w:p>
    <w:p>
      <w:pPr>
        <w:ind w:left="20"/>
        <w:spacing w:after="0" w:line="23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Corporate payments revenue per spend dollar decreased over the prior year due to new payables and cross-border enterprise clients.</w:t>
      </w:r>
    </w:p>
    <w:p>
      <w:pPr>
        <w:ind w:left="20" w:right="1100"/>
        <w:spacing w:after="0" w:line="23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Represents total tag subscription transactions in the quarter. Average monthly tag subscriptions for the first quarter of 2026 was 8.0 million.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Other includes Gift, Outsourced Card Processing and Payroll Card.</w:t>
      </w:r>
    </w:p>
    <w:p>
      <w:pPr>
        <w:spacing w:after="0" w:line="1" w:lineRule="exact"/>
        <w:rPr>
          <w:rFonts w:ascii="Times New Roman" w:cs="Times New Roman" w:eastAsia="Times New Roman" w:hAnsi="Times New Roman"/>
          <w:sz w:val="23"/>
          <w:szCs w:val="23"/>
          <w:color w:val="auto"/>
          <w:vertAlign w:val="superscript"/>
        </w:rPr>
      </w:pPr>
    </w:p>
    <w:p>
      <w:pPr>
        <w:ind w:left="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Columns may not calculate due to rounding. 2025 recast to conform with current period segment presentation.</w:t>
      </w:r>
    </w:p>
    <w:p>
      <w:pPr>
        <w:sectPr>
          <w:pgSz w:w="11900" w:h="16838" w:orient="portrait"/>
          <w:cols w:equalWidth="0" w:num="1">
            <w:col w:w="11260"/>
          </w:cols>
          <w:pgMar w:left="320" w:top="761"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3"/>
        </w:trPr>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Exhibit 3</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12"/>
          </w:tcPr>
          <w:p>
            <w:pPr>
              <w:jc w:val="center"/>
              <w:ind w:left="1821"/>
              <w:spacing w:after="0"/>
              <w:rPr>
                <w:sz w:val="20"/>
                <w:szCs w:val="20"/>
                <w:color w:val="auto"/>
              </w:rPr>
            </w:pPr>
            <w:r>
              <w:rPr>
                <w:rFonts w:ascii="Times New Roman" w:cs="Times New Roman" w:eastAsia="Times New Roman" w:hAnsi="Times New Roman"/>
                <w:sz w:val="20"/>
                <w:szCs w:val="20"/>
                <w:b w:val="1"/>
                <w:bCs w:val="1"/>
                <w:color w:val="auto"/>
                <w:w w:val="98"/>
              </w:rPr>
              <w:t>Revenues by Geography and Segment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2"/>
          </w:tcPr>
          <w:p>
            <w:pPr>
              <w:jc w:val="center"/>
              <w:ind w:left="1821"/>
              <w:spacing w:after="0"/>
              <w:rPr>
                <w:sz w:val="20"/>
                <w:szCs w:val="20"/>
                <w:color w:val="auto"/>
              </w:rPr>
            </w:pPr>
            <w:r>
              <w:rPr>
                <w:rFonts w:ascii="Times New Roman" w:cs="Times New Roman" w:eastAsia="Times New Roman" w:hAnsi="Times New Roman"/>
                <w:sz w:val="20"/>
                <w:szCs w:val="20"/>
                <w:b w:val="1"/>
                <w:bCs w:val="1"/>
                <w:color w:val="auto"/>
                <w:w w:val="98"/>
              </w:rPr>
              <w:t>(In millions, except percentages)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7"/>
          </w:tcPr>
          <w:p>
            <w:pPr>
              <w:jc w:val="center"/>
              <w:ind w:left="121"/>
              <w:spacing w:after="0"/>
              <w:rPr>
                <w:sz w:val="20"/>
                <w:szCs w:val="20"/>
                <w:color w:val="auto"/>
              </w:rPr>
            </w:pPr>
            <w:r>
              <w:rPr>
                <w:rFonts w:ascii="Times New Roman" w:cs="Times New Roman" w:eastAsia="Times New Roman" w:hAnsi="Times New Roman"/>
                <w:sz w:val="20"/>
                <w:szCs w:val="20"/>
                <w:b w:val="1"/>
                <w:bCs w:val="1"/>
                <w:color w:val="auto"/>
                <w:w w:val="98"/>
              </w:rPr>
              <w:t>(Unaudited)</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2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Revenues, net by Geography*</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12"/>
          </w:tcPr>
          <w:p>
            <w:pPr>
              <w:ind w:left="480"/>
              <w:spacing w:after="0"/>
              <w:rPr>
                <w:sz w:val="20"/>
                <w:szCs w:val="20"/>
                <w:color w:val="auto"/>
              </w:rPr>
            </w:pPr>
            <w:r>
              <w:rPr>
                <w:rFonts w:ascii="Times New Roman" w:cs="Times New Roman" w:eastAsia="Times New Roman" w:hAnsi="Times New Roman"/>
                <w:sz w:val="20"/>
                <w:szCs w:val="20"/>
                <w:b w:val="1"/>
                <w:bCs w:val="1"/>
                <w:color w:val="auto"/>
                <w:w w:val="98"/>
              </w:rPr>
              <w:t>Three Months Ended March 31,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9"/>
              </w:rPr>
              <w:t>2026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US</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Brazil</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UK</w:t>
            </w: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Consolidated Revenues, net</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auto"/>
              </w:rPr>
              <w:t>*Columns may not calculate due to rounding.</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860" w:type="dxa"/>
            <w:vAlign w:val="bottom"/>
            <w:gridSpan w:val="6"/>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880" w:type="dxa"/>
            <w:vAlign w:val="bottom"/>
            <w:tcBorders>
              <w:bottom w:val="single" w:sz="8" w:color="auto"/>
            </w:tcBorders>
            <w:gridSpan w:val="3"/>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282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Revenues, net by Segment*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12"/>
          </w:tcPr>
          <w:p>
            <w:pPr>
              <w:ind w:left="480"/>
              <w:spacing w:after="0"/>
              <w:rPr>
                <w:sz w:val="20"/>
                <w:szCs w:val="20"/>
                <w:color w:val="auto"/>
              </w:rPr>
            </w:pPr>
            <w:r>
              <w:rPr>
                <w:rFonts w:ascii="Times New Roman" w:cs="Times New Roman" w:eastAsia="Times New Roman" w:hAnsi="Times New Roman"/>
                <w:sz w:val="20"/>
                <w:szCs w:val="20"/>
                <w:b w:val="1"/>
                <w:bCs w:val="1"/>
                <w:color w:val="auto"/>
                <w:w w:val="98"/>
              </w:rPr>
              <w:t>Three Months Ended March 31,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2026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w:t>
            </w: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Corporate Payments</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34 %</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82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Vehicle Payments</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47 %</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Lodging Payments</w:t>
            </w: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11 %</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2"/>
                <w:szCs w:val="22"/>
                <w:color w:val="auto"/>
              </w:rPr>
            </w:pPr>
          </w:p>
        </w:tc>
        <w:tc>
          <w:tcPr>
            <w:tcW w:w="28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8 %</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40" w:type="dxa"/>
            <w:vAlign w:val="bottom"/>
          </w:tcPr>
          <w:p>
            <w:pPr>
              <w:spacing w:after="0"/>
              <w:rPr>
                <w:sz w:val="23"/>
                <w:szCs w:val="23"/>
                <w:color w:val="auto"/>
              </w:rPr>
            </w:pPr>
          </w:p>
        </w:tc>
        <w:tc>
          <w:tcPr>
            <w:tcW w:w="28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Consolidated Revenues, net</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1,006</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100 %</w:t>
            </w: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*Columns may not calculate due to rounding. </w:t>
      </w:r>
      <w:r>
        <w:rPr>
          <w:rFonts w:ascii="Times New Roman" w:cs="Times New Roman" w:eastAsia="Times New Roman" w:hAnsi="Times New Roman"/>
          <w:sz w:val="17"/>
          <w:szCs w:val="17"/>
          <w:color w:val="auto"/>
        </w:rPr>
        <w:t>2025 recast to conform with current period segment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ind w:left="5000"/>
        <w:spacing w:after="0"/>
        <w:rPr>
          <w:sz w:val="20"/>
          <w:szCs w:val="20"/>
          <w:color w:val="auto"/>
        </w:rPr>
      </w:pPr>
      <w:r>
        <w:rPr>
          <w:rFonts w:ascii="Times New Roman" w:cs="Times New Roman" w:eastAsia="Times New Roman" w:hAnsi="Times New Roman"/>
          <w:sz w:val="20"/>
          <w:szCs w:val="20"/>
          <w:b w:val="1"/>
          <w:bCs w:val="1"/>
          <w:color w:val="auto"/>
        </w:rPr>
        <w:t>Exhibit 4</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Segment Results*</w:t>
      </w:r>
    </w:p>
    <w:p>
      <w:pPr>
        <w:spacing w:after="0" w:line="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(In thousands, except percentages)</w:t>
      </w:r>
    </w:p>
    <w:p>
      <w:pPr>
        <w:spacing w:after="0" w:line="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tbl>
      <w:tblPr>
        <w:tblLayout w:type="fixed"/>
        <w:tblInd w:w="198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6"/>
        </w:trPr>
        <w:tc>
          <w:tcPr>
            <w:tcW w:w="3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line="226" w:lineRule="exact"/>
              <w:rPr>
                <w:sz w:val="20"/>
                <w:szCs w:val="20"/>
                <w:color w:val="auto"/>
              </w:rPr>
            </w:pPr>
            <w:r>
              <w:rPr>
                <w:rFonts w:ascii="Times New Roman" w:cs="Times New Roman" w:eastAsia="Times New Roman" w:hAnsi="Times New Roman"/>
                <w:sz w:val="18"/>
                <w:szCs w:val="18"/>
                <w:b w:val="1"/>
                <w:bCs w:val="1"/>
                <w:color w:val="auto"/>
              </w:rPr>
              <w:t>2026</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line="226"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Payments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503,867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Vehicle Payments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474,278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Lodging Payments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0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3"/>
        </w:trPr>
        <w:tc>
          <w:tcPr>
            <w:tcW w:w="30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1,260,987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1,005,667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Payments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Vehicle Payments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0"/>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Lodging Payments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0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0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Payments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9"/>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Vehicle Payments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Lodging Payments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0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0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333" w:lineRule="exact"/>
        <w:rPr>
          <w:sz w:val="20"/>
          <w:szCs w:val="20"/>
          <w:color w:val="auto"/>
        </w:rPr>
      </w:pPr>
    </w:p>
    <w:p>
      <w:pPr>
        <w:ind w:firstLine="9"/>
        <w:spacing w:after="0" w:line="208" w:lineRule="auto"/>
        <w:tabs>
          <w:tab w:leader="none" w:pos="8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from Gringo acquired in the first quarter of 2025 are reported in the Vehicle Payments segment from the date of acquisition. Results from Alpha acquired in the fourth quarter of 2025 are reported in the Corporate Payments segment from the date of acquisition.</w:t>
      </w:r>
    </w:p>
    <w:p>
      <w:pPr>
        <w:ind w:left="100" w:hanging="91"/>
        <w:spacing w:after="0" w:line="221" w:lineRule="auto"/>
        <w:tabs>
          <w:tab w:leader="none" w:pos="1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results for 2025 have been recast to conform to current period segment presentation.</w:t>
      </w:r>
    </w:p>
    <w:p>
      <w:pPr>
        <w:spacing w:after="0" w:line="1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Other includes Gift, Outsourced Card Processing and Payroll Card.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ectPr>
          <w:pgSz w:w="11900" w:h="16838" w:orient="portrait"/>
          <w:cols w:equalWidth="0" w:num="1">
            <w:col w:w="10560"/>
          </w:cols>
          <w:pgMar w:left="560" w:top="761" w:right="779" w:bottom="1440" w:gutter="0" w:footer="0" w:header="0"/>
        </w:sectPr>
      </w:pPr>
    </w:p>
    <w:bookmarkStart w:id="13" w:name="page14"/>
    <w:bookmarkEnd w:id="13"/>
    <w:p>
      <w:pPr>
        <w:ind w:left="5180"/>
        <w:spacing w:after="0"/>
        <w:rPr>
          <w:sz w:val="20"/>
          <w:szCs w:val="20"/>
          <w:color w:val="auto"/>
        </w:rPr>
      </w:pPr>
      <w:r>
        <w:rPr>
          <w:rFonts w:ascii="Times New Roman" w:cs="Times New Roman" w:eastAsia="Times New Roman" w:hAnsi="Times New Roman"/>
          <w:sz w:val="20"/>
          <w:szCs w:val="20"/>
          <w:b w:val="1"/>
          <w:bCs w:val="1"/>
          <w:color w:val="auto"/>
        </w:rPr>
        <w:t>Exhibit 5</w:t>
      </w:r>
    </w:p>
    <w:p>
      <w:pPr>
        <w:spacing w:after="0" w:line="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Reconciliation of Non-GAAP Revenue and Key Performance Metric</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by Segment to GAAP</w:t>
      </w:r>
    </w:p>
    <w:p>
      <w:pPr>
        <w:spacing w:after="0" w:line="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77470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Revenues, net</w:t>
            </w: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Key Performance Metric</w:t>
            </w:r>
          </w:p>
        </w:tc>
        <w:tc>
          <w:tcPr>
            <w:tcW w:w="2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0" w:type="dxa"/>
            <w:vAlign w:val="bottom"/>
          </w:tcPr>
          <w:p>
            <w:pPr>
              <w:spacing w:after="0"/>
              <w:rPr>
                <w:sz w:val="19"/>
                <w:szCs w:val="19"/>
                <w:color w:val="auto"/>
              </w:rPr>
            </w:pPr>
          </w:p>
        </w:tc>
      </w:tr>
      <w:tr>
        <w:trPr>
          <w:trHeight w:val="223"/>
        </w:trPr>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189"/>
        </w:trPr>
        <w:tc>
          <w:tcPr>
            <w:tcW w:w="2920" w:type="dxa"/>
            <w:vAlign w:val="bottom"/>
            <w:tcBorders>
              <w:left w:val="single" w:sz="8" w:color="CCEEFF"/>
              <w:bottom w:val="single" w:sz="8" w:color="auto"/>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CORPORATE PAYMENTS - SPEND</w:t>
            </w:r>
          </w:p>
        </w:tc>
        <w:tc>
          <w:tcPr>
            <w:tcW w:w="1340" w:type="dxa"/>
            <w:vAlign w:val="bottom"/>
            <w:tcBorders>
              <w:bottom w:val="single" w:sz="8" w:color="CCEEFF"/>
            </w:tcBorders>
            <w:gridSpan w:val="4"/>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right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Pro forma and macro adjusted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4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60" w:type="dxa"/>
            <w:vAlign w:val="bottom"/>
            <w:tcBorders>
              <w:right w:val="single" w:sz="8" w:color="auto"/>
            </w:tcBorders>
          </w:tcPr>
          <w:p>
            <w:pPr>
              <w:spacing w:after="0"/>
              <w:rPr>
                <w:sz w:val="19"/>
                <w:szCs w:val="19"/>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81,850</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20" w:type="dxa"/>
            <w:vAlign w:val="bottom"/>
          </w:tcPr>
          <w:p>
            <w:pPr>
              <w:spacing w:after="0"/>
              <w:rPr>
                <w:sz w:val="19"/>
                <w:szCs w:val="19"/>
                <w:color w:val="auto"/>
              </w:rPr>
            </w:pPr>
          </w:p>
        </w:tc>
      </w:tr>
      <w:tr>
        <w:trPr>
          <w:trHeight w:val="229"/>
        </w:trPr>
        <w:tc>
          <w:tcPr>
            <w:tcW w:w="4260" w:type="dxa"/>
            <w:vAlign w:val="bottom"/>
            <w:tcBorders>
              <w:left w:val="single" w:sz="8" w:color="CCEEFF"/>
            </w:tcBorders>
            <w:gridSpan w:val="8"/>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Impact of acquisitions/dispositions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20" w:type="dxa"/>
            <w:vAlign w:val="bottom"/>
          </w:tcPr>
          <w:p>
            <w:pPr>
              <w:spacing w:after="0"/>
              <w:rPr>
                <w:sz w:val="19"/>
                <w:szCs w:val="19"/>
                <w:color w:val="auto"/>
              </w:rPr>
            </w:pPr>
          </w:p>
        </w:tc>
      </w:tr>
      <w:tr>
        <w:trPr>
          <w:trHeight w:val="229"/>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Impact of fuel prices/spread</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2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60" w:type="dxa"/>
            <w:vAlign w:val="bottom"/>
            <w:tcBorders>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81,850</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47,846</w:t>
            </w:r>
          </w:p>
        </w:tc>
        <w:tc>
          <w:tcPr>
            <w:tcW w:w="20" w:type="dxa"/>
            <w:vAlign w:val="bottom"/>
          </w:tcPr>
          <w:p>
            <w:pPr>
              <w:spacing w:after="0"/>
              <w:rPr>
                <w:sz w:val="19"/>
                <w:szCs w:val="19"/>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4260" w:type="dxa"/>
            <w:vAlign w:val="bottom"/>
            <w:tcBorders>
              <w:left w:val="single" w:sz="8" w:color="CCEEFF"/>
            </w:tcBorders>
            <w:gridSpan w:val="8"/>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VEHICLE PAYMENTS - TRANSACTIONS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344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Pro forma and macro adjusted</w:t>
            </w:r>
          </w:p>
        </w:tc>
        <w:tc>
          <w:tcPr>
            <w:tcW w:w="8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60" w:type="dxa"/>
            <w:vAlign w:val="bottom"/>
            <w:tcBorders>
              <w:top w:val="single" w:sz="8" w:color="CCEEFF"/>
              <w:right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0" w:type="dxa"/>
            <w:vAlign w:val="bottom"/>
          </w:tcPr>
          <w:p>
            <w:pPr>
              <w:spacing w:after="0"/>
              <w:rPr>
                <w:sz w:val="19"/>
                <w:szCs w:val="19"/>
                <w:color w:val="auto"/>
              </w:rPr>
            </w:pPr>
          </w:p>
        </w:tc>
      </w:tr>
      <w:tr>
        <w:trPr>
          <w:trHeight w:val="230"/>
        </w:trPr>
        <w:tc>
          <w:tcPr>
            <w:tcW w:w="42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acquisitions/dispositions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r>
      <w:tr>
        <w:trPr>
          <w:trHeight w:val="229"/>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Impact of fuel prices/spread</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2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260" w:type="dxa"/>
            <w:vAlign w:val="bottom"/>
            <w:tcBorders>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tcPr>
          <w:p>
            <w:pPr>
              <w:spacing w:after="0"/>
              <w:rPr>
                <w:sz w:val="19"/>
                <w:szCs w:val="19"/>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4260" w:type="dxa"/>
            <w:vAlign w:val="bottom"/>
            <w:tcBorders>
              <w:left w:val="single" w:sz="8" w:color="CCEEFF"/>
            </w:tcBorders>
            <w:gridSpan w:val="8"/>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LODGING PAYMENTS - ROOM NIGHTS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338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Pro forma and macro adjusted</w:t>
            </w:r>
          </w:p>
        </w:tc>
        <w:tc>
          <w:tcPr>
            <w:tcW w:w="880" w:type="dxa"/>
            <w:vAlign w:val="bottom"/>
            <w:tcBorders>
              <w:top w:val="single" w:sz="8" w:color="CCEEFF"/>
            </w:tcBorders>
            <w:gridSpan w:val="2"/>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60" w:type="dxa"/>
            <w:vAlign w:val="bottom"/>
            <w:tcBorders>
              <w:top w:val="single" w:sz="8" w:color="CCEEFF"/>
              <w:right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9"/>
                <w:szCs w:val="19"/>
                <w:color w:val="auto"/>
              </w:rPr>
            </w:pPr>
          </w:p>
        </w:tc>
      </w:tr>
      <w:tr>
        <w:trPr>
          <w:trHeight w:val="230"/>
        </w:trPr>
        <w:tc>
          <w:tcPr>
            <w:tcW w:w="42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acquisitions/dispositions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Impact of fuel prices/spread</w:t>
            </w: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2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60" w:type="dxa"/>
            <w:vAlign w:val="bottom"/>
            <w:tcBorders>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9"/>
                <w:szCs w:val="19"/>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4260" w:type="dxa"/>
            <w:vAlign w:val="bottom"/>
            <w:tcBorders>
              <w:left w:val="single" w:sz="8" w:color="CCEEFF"/>
            </w:tcBorders>
            <w:gridSpan w:val="8"/>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TRANSACTIONS</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6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66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Pro forma and macro adjusted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 w:type="dxa"/>
            <w:vAlign w:val="bottom"/>
          </w:tcPr>
          <w:p>
            <w:pPr>
              <w:spacing w:after="0"/>
              <w:rPr>
                <w:sz w:val="19"/>
                <w:szCs w:val="19"/>
                <w:color w:val="auto"/>
              </w:rPr>
            </w:pPr>
          </w:p>
        </w:tc>
      </w:tr>
      <w:tr>
        <w:trPr>
          <w:trHeight w:val="230"/>
        </w:trPr>
        <w:tc>
          <w:tcPr>
            <w:tcW w:w="42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acquisitions/dispositions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Impact of fuel prices/spread</w:t>
            </w: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26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exchange rates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60" w:type="dxa"/>
            <w:vAlign w:val="bottom"/>
            <w:tcBorders>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 w:type="dxa"/>
            <w:vAlign w:val="bottom"/>
          </w:tcPr>
          <w:p>
            <w:pPr>
              <w:spacing w:after="0"/>
              <w:rPr>
                <w:sz w:val="19"/>
                <w:szCs w:val="19"/>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
        </w:trPr>
        <w:tc>
          <w:tcPr>
            <w:tcW w:w="660" w:type="dxa"/>
            <w:vAlign w:val="bottom"/>
            <w:tcBorders>
              <w:left w:val="single" w:sz="8" w:color="CCEEFF"/>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right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75"/>
        </w:trPr>
        <w:tc>
          <w:tcPr>
            <w:tcW w:w="660" w:type="dxa"/>
            <w:vAlign w:val="bottom"/>
            <w:tcBorders>
              <w:lef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r>
      <w:tr>
        <w:trPr>
          <w:trHeight w:val="230"/>
        </w:trPr>
        <w:tc>
          <w:tcPr>
            <w:tcW w:w="4260" w:type="dxa"/>
            <w:vAlign w:val="bottom"/>
            <w:tcBorders>
              <w:left w:val="single" w:sz="8" w:color="auto"/>
            </w:tcBorders>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CORPAY CONSOLIDATED REVENUES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36"/>
        </w:trPr>
        <w:tc>
          <w:tcPr>
            <w:tcW w:w="3280" w:type="dxa"/>
            <w:vAlign w:val="bottom"/>
            <w:tcBorders>
              <w:top w:val="single" w:sz="8" w:color="auto"/>
              <w:lef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Pro forma and macro adjusted</w:t>
            </w:r>
          </w:p>
        </w:tc>
        <w:tc>
          <w:tcPr>
            <w:tcW w:w="980" w:type="dxa"/>
            <w:vAlign w:val="bottom"/>
            <w:tcBorders>
              <w:top w:val="single" w:sz="8" w:color="CCEEFF"/>
            </w:tcBorders>
            <w:gridSpan w:val="3"/>
          </w:tcPr>
          <w:p>
            <w:pPr>
              <w:spacing w:after="0"/>
              <w:rPr>
                <w:sz w:val="20"/>
                <w:szCs w:val="20"/>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4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260" w:type="dxa"/>
            <w:vAlign w:val="bottom"/>
            <w:tcBorders>
              <w:top w:val="single" w:sz="8" w:color="CCEEFF"/>
              <w:righ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shd w:val="clear" w:color="auto" w:fill="000000"/>
          </w:tcPr>
          <w:p>
            <w:pPr>
              <w:spacing w:after="0"/>
              <w:rPr>
                <w:sz w:val="20"/>
                <w:szCs w:val="20"/>
                <w:color w:val="auto"/>
              </w:rPr>
            </w:pPr>
          </w:p>
        </w:tc>
      </w:tr>
      <w:tr>
        <w:trPr>
          <w:trHeight w:val="257"/>
        </w:trPr>
        <w:tc>
          <w:tcPr>
            <w:tcW w:w="4260" w:type="dxa"/>
            <w:vAlign w:val="bottom"/>
            <w:tcBorders>
              <w:left w:val="single" w:sz="8" w:color="auto"/>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acquisitions/dispositions</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tcBorders>
              <w:right w:val="single" w:sz="8" w:color="auto"/>
            </w:tcBorders>
            <w:shd w:val="clear" w:color="auto" w:fill="CCEEFF"/>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57"/>
        </w:trPr>
        <w:tc>
          <w:tcPr>
            <w:tcW w:w="4260" w:type="dxa"/>
            <w:vAlign w:val="bottom"/>
            <w:tcBorders>
              <w:left w:val="single" w:sz="8" w:color="auto"/>
            </w:tcBorders>
            <w:gridSpan w:val="8"/>
          </w:tcPr>
          <w:p>
            <w:pPr>
              <w:ind w:left="20"/>
              <w:spacing w:after="0" w:line="256" w:lineRule="exact"/>
              <w:rPr>
                <w:sz w:val="20"/>
                <w:szCs w:val="20"/>
                <w:color w:val="auto"/>
              </w:rPr>
            </w:pPr>
            <w:r>
              <w:rPr>
                <w:rFonts w:ascii="Times New Roman" w:cs="Times New Roman" w:eastAsia="Times New Roman" w:hAnsi="Times New Roman"/>
                <w:sz w:val="18"/>
                <w:szCs w:val="18"/>
                <w:color w:val="auto"/>
              </w:rPr>
              <w:t>Impact of fuel prices/spread</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310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Intentionally Left Blank</w:t>
            </w:r>
          </w:p>
        </w:tc>
        <w:tc>
          <w:tcPr>
            <w:tcW w:w="20" w:type="dxa"/>
            <w:vAlign w:val="bottom"/>
            <w:shd w:val="clear" w:color="auto" w:fill="000000"/>
          </w:tcPr>
          <w:p>
            <w:pPr>
              <w:spacing w:after="0"/>
              <w:rPr>
                <w:sz w:val="22"/>
                <w:szCs w:val="22"/>
                <w:color w:val="auto"/>
              </w:rPr>
            </w:pPr>
          </w:p>
        </w:tc>
      </w:tr>
      <w:tr>
        <w:trPr>
          <w:trHeight w:val="256"/>
        </w:trPr>
        <w:tc>
          <w:tcPr>
            <w:tcW w:w="4260" w:type="dxa"/>
            <w:vAlign w:val="bottom"/>
            <w:tcBorders>
              <w:left w:val="single" w:sz="8" w:color="auto"/>
            </w:tcBorders>
            <w:gridSpan w:val="8"/>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Impact of foreign exchange rates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r>
      <w:tr>
        <w:trPr>
          <w:trHeight w:val="223"/>
        </w:trPr>
        <w:tc>
          <w:tcPr>
            <w:tcW w:w="4260" w:type="dxa"/>
            <w:vAlign w:val="bottom"/>
            <w:tcBorders>
              <w:lef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r>
      <w:tr>
        <w:trPr>
          <w:trHeight w:val="20"/>
        </w:trPr>
        <w:tc>
          <w:tcPr>
            <w:tcW w:w="660" w:type="dxa"/>
            <w:vAlign w:val="bottom"/>
            <w:tcBorders>
              <w:left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62"/>
        </w:trPr>
        <w:tc>
          <w:tcPr>
            <w:tcW w:w="660" w:type="dxa"/>
            <w:vAlign w:val="bottom"/>
            <w:tcBorders>
              <w:left w:val="single" w:sz="8" w:color="auto"/>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right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r>
    </w:tbl>
    <w:p>
      <w:pPr>
        <w:spacing w:after="0" w:line="6" w:lineRule="exact"/>
        <w:rPr>
          <w:sz w:val="20"/>
          <w:szCs w:val="20"/>
          <w:color w:val="auto"/>
        </w:rPr>
      </w:pPr>
    </w:p>
    <w:p>
      <w:pPr>
        <w:ind w:left="100" w:hanging="87"/>
        <w:spacing w:after="0"/>
        <w:tabs>
          <w:tab w:leader="none" w:pos="1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includes Gift, Outsourced Card Processing and Payroll Card.</w:t>
      </w:r>
    </w:p>
    <w:p>
      <w:pPr>
        <w:spacing w:after="0" w:line="6" w:lineRule="exact"/>
        <w:rPr>
          <w:sz w:val="20"/>
          <w:szCs w:val="20"/>
          <w:color w:val="auto"/>
        </w:rPr>
      </w:pPr>
    </w:p>
    <w:p>
      <w:pPr>
        <w:ind w:left="100" w:hanging="87"/>
        <w:spacing w:after="0"/>
        <w:tabs>
          <w:tab w:leader="none" w:pos="1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reflect 2025 proforma impact of acquisition of Alpha Group.</w:t>
      </w:r>
    </w:p>
    <w:p>
      <w:pPr>
        <w:spacing w:after="0" w:line="4" w:lineRule="exact"/>
        <w:rPr>
          <w:sz w:val="20"/>
          <w:szCs w:val="20"/>
          <w:color w:val="auto"/>
        </w:rPr>
      </w:pPr>
    </w:p>
    <w:p>
      <w:pPr>
        <w:ind w:left="20" w:right="780" w:hanging="7"/>
        <w:spacing w:after="0" w:line="204" w:lineRule="auto"/>
        <w:tabs>
          <w:tab w:leader="none" w:pos="10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reflect the positive impact of movements in foreign exchange rates of approximately $62 million, positive impact from fuel prices of approximately $4 million and the negative impact of fuel price spreads of approximately $2 million.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Columns may not calculate due to rounding. 2025 recast to conform with current period segment presentation.</w:t>
      </w:r>
    </w:p>
    <w:p>
      <w:pPr>
        <w:sectPr>
          <w:pgSz w:w="11900" w:h="16838" w:orient="portrait"/>
          <w:cols w:equalWidth="0" w:num="1">
            <w:col w:w="11160"/>
          </w:cols>
          <w:pgMar w:left="380" w:top="761" w:right="359" w:bottom="1440" w:gutter="0" w:footer="0" w:header="0"/>
        </w:sectPr>
      </w:pPr>
    </w:p>
    <w:bookmarkStart w:id="14" w:name="page15"/>
    <w:bookmarkEnd w:id="14"/>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RECONCILIATION OF NON-GAAP EBITDA AND ADJUSTED EBITDA MEASURES</w:t>
      </w:r>
    </w:p>
    <w:p>
      <w:pPr>
        <w:spacing w:after="0" w:line="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Adjusted EBITDA and Adjusted EBITDA margin to net income from operations.*</w:t>
      </w:r>
    </w:p>
    <w:p>
      <w:pPr>
        <w:spacing w:after="0" w:line="289" w:lineRule="exact"/>
        <w:rPr>
          <w:sz w:val="20"/>
          <w:szCs w:val="20"/>
          <w:color w:val="auto"/>
        </w:rPr>
      </w:pPr>
    </w:p>
    <w:tbl>
      <w:tblPr>
        <w:tblLayout w:type="fixed"/>
        <w:tblInd w:w="246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2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243.9</w:t>
            </w: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93.9</w:t>
            </w: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92.2</w:t>
            </w: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net</w:t>
            </w:r>
          </w:p>
        </w:tc>
        <w:tc>
          <w:tcPr>
            <w:tcW w:w="34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net</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636.9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519.3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278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Other addbacks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r>
      <w:tr>
        <w:trPr>
          <w:trHeight w:val="248"/>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555.4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1,005.7</w:t>
            </w: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r>
      <w:tr>
        <w:trPr>
          <w:trHeight w:val="108"/>
        </w:trPr>
        <w:tc>
          <w:tcPr>
            <w:tcW w:w="27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r>
    </w:tbl>
    <w:p>
      <w:pPr>
        <w:ind w:left="2460" w:right="1619" w:firstLine="9"/>
        <w:spacing w:after="0" w:line="213" w:lineRule="auto"/>
        <w:tabs>
          <w:tab w:leader="none" w:pos="25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legal expenses, restructuring costs and integration and deal related costs</w:t>
      </w:r>
    </w:p>
    <w:p>
      <w:pPr>
        <w:ind w:left="2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Columns may not calculate due to rounding.</w:t>
      </w:r>
    </w:p>
    <w:p>
      <w:pPr>
        <w:sectPr>
          <w:pgSz w:w="11900" w:h="16838" w:orient="portrait"/>
          <w:cols w:equalWidth="0" w:num="1">
            <w:col w:w="10139"/>
          </w:cols>
          <w:pgMar w:left="320" w:top="752" w:right="1440" w:bottom="1440" w:gutter="0" w:footer="0" w:header="0"/>
        </w:sectPr>
      </w:pPr>
    </w:p>
    <w:bookmarkStart w:id="15" w:name="page16"/>
    <w:bookmarkEnd w:id="15"/>
    <w:p>
      <w:pPr>
        <w:ind w:left="5240"/>
        <w:spacing w:after="0"/>
        <w:rPr>
          <w:sz w:val="20"/>
          <w:szCs w:val="20"/>
          <w:color w:val="auto"/>
        </w:rPr>
      </w:pPr>
      <w:r>
        <w:rPr>
          <w:rFonts w:ascii="Times New Roman" w:cs="Times New Roman" w:eastAsia="Times New Roman" w:hAnsi="Times New Roman"/>
          <w:sz w:val="20"/>
          <w:szCs w:val="20"/>
          <w:b w:val="1"/>
          <w:bCs w:val="1"/>
          <w:color w:val="auto"/>
        </w:rPr>
        <w:t>Exhibit 7</w:t>
      </w:r>
    </w:p>
    <w:p>
      <w:pPr>
        <w:spacing w:after="0" w:line="3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RECONCILIATION OF NON-GAAP GUIDANCE MEASURES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0"/>
          <w:szCs w:val="20"/>
          <w:color w:val="auto"/>
        </w:rPr>
        <w:t>The following table reconciles full year 2026 and second quarter 2026 financial guidance for net income to adjusted net income and adjusted net income per diluted share, at both ends of the range.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4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2026 GUIDANCE</w:t>
            </w:r>
          </w:p>
        </w:tc>
        <w:tc>
          <w:tcPr>
            <w:tcW w:w="0" w:type="dxa"/>
            <w:vAlign w:val="bottom"/>
          </w:tcPr>
          <w:p>
            <w:pPr>
              <w:spacing w:after="0"/>
              <w:rPr>
                <w:sz w:val="1"/>
                <w:szCs w:val="1"/>
                <w:color w:val="auto"/>
              </w:rPr>
            </w:pPr>
          </w:p>
        </w:tc>
      </w:tr>
      <w:tr>
        <w:trPr>
          <w:trHeight w:val="254"/>
        </w:trPr>
        <w:tc>
          <w:tcPr>
            <w:tcW w:w="8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Low*</w:t>
            </w:r>
          </w:p>
        </w:tc>
        <w:tc>
          <w:tcPr>
            <w:tcW w:w="280" w:type="dxa"/>
            <w:vAlign w:val="bottom"/>
          </w:tcPr>
          <w:p>
            <w:pPr>
              <w:spacing w:after="0"/>
              <w:rPr>
                <w:sz w:val="22"/>
                <w:szCs w:val="22"/>
                <w:color w:val="auto"/>
              </w:rPr>
            </w:pPr>
          </w:p>
        </w:tc>
        <w:tc>
          <w:tcPr>
            <w:tcW w:w="114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High*</w:t>
            </w:r>
          </w:p>
        </w:tc>
        <w:tc>
          <w:tcPr>
            <w:tcW w:w="0" w:type="dxa"/>
            <w:vAlign w:val="bottom"/>
          </w:tcPr>
          <w:p>
            <w:pPr>
              <w:spacing w:after="0"/>
              <w:rPr>
                <w:sz w:val="1"/>
                <w:szCs w:val="1"/>
                <w:color w:val="auto"/>
              </w:rPr>
            </w:pPr>
          </w:p>
        </w:tc>
      </w:tr>
      <w:tr>
        <w:trPr>
          <w:trHeight w:val="25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1,352</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1,432</w:t>
            </w:r>
          </w:p>
        </w:tc>
        <w:tc>
          <w:tcPr>
            <w:tcW w:w="0" w:type="dxa"/>
            <w:vAlign w:val="bottom"/>
          </w:tcPr>
          <w:p>
            <w:pPr>
              <w:spacing w:after="0"/>
              <w:rPr>
                <w:sz w:val="1"/>
                <w:szCs w:val="1"/>
                <w:color w:val="auto"/>
              </w:rPr>
            </w:pPr>
          </w:p>
        </w:tc>
      </w:tr>
      <w:tr>
        <w:trPr>
          <w:trHeight w:val="257"/>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 per diluted share</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20.39</w:t>
            </w:r>
          </w:p>
        </w:tc>
        <w:tc>
          <w:tcPr>
            <w:tcW w:w="2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21.19</w:t>
            </w:r>
          </w:p>
        </w:tc>
        <w:tc>
          <w:tcPr>
            <w:tcW w:w="0" w:type="dxa"/>
            <w:vAlign w:val="bottom"/>
          </w:tcPr>
          <w:p>
            <w:pPr>
              <w:spacing w:after="0"/>
              <w:rPr>
                <w:sz w:val="1"/>
                <w:szCs w:val="1"/>
                <w:color w:val="auto"/>
              </w:rPr>
            </w:pPr>
          </w:p>
        </w:tc>
      </w:tr>
      <w:tr>
        <w:trPr>
          <w:trHeight w:val="270"/>
        </w:trPr>
        <w:tc>
          <w:tcPr>
            <w:tcW w:w="8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Stock-based compensation</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5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Amortization</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0" w:type="dxa"/>
            <w:vAlign w:val="bottom"/>
          </w:tcPr>
          <w:p>
            <w:pPr>
              <w:spacing w:after="0"/>
              <w:rPr>
                <w:sz w:val="1"/>
                <w:szCs w:val="1"/>
                <w:color w:val="auto"/>
              </w:rPr>
            </w:pPr>
          </w:p>
        </w:tc>
      </w:tr>
      <w:tr>
        <w:trPr>
          <w:trHeight w:val="256"/>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Gain on disposition, net</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5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pre-tax adjustments</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20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0" w:type="dxa"/>
            <w:vAlign w:val="bottom"/>
          </w:tcPr>
          <w:p>
            <w:pPr>
              <w:spacing w:after="0"/>
              <w:rPr>
                <w:sz w:val="1"/>
                <w:szCs w:val="1"/>
                <w:color w:val="auto"/>
              </w:rPr>
            </w:pPr>
          </w:p>
        </w:tc>
      </w:tr>
      <w:tr>
        <w:trPr>
          <w:trHeight w:val="270"/>
        </w:trPr>
        <w:tc>
          <w:tcPr>
            <w:tcW w:w="8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taxes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82"/>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net income</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1,826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Adjusted net income per diluted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vMerge w:val="continue"/>
          </w:tcPr>
          <w:p>
            <w:pPr>
              <w:spacing w:after="0"/>
              <w:rPr>
                <w:sz w:val="20"/>
                <w:szCs w:val="20"/>
                <w:color w:val="auto"/>
              </w:rPr>
            </w:pP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w:t>
            </w:r>
          </w:p>
        </w:tc>
        <w:tc>
          <w:tcPr>
            <w:tcW w:w="200" w:type="dxa"/>
            <w:vAlign w:val="bottom"/>
          </w:tcPr>
          <w:p>
            <w:pPr>
              <w:spacing w:after="0"/>
              <w:rPr>
                <w:sz w:val="20"/>
                <w:szCs w:val="20"/>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27.10</w:t>
            </w:r>
          </w:p>
        </w:tc>
        <w:tc>
          <w:tcPr>
            <w:tcW w:w="0" w:type="dxa"/>
            <w:vAlign w:val="bottom"/>
          </w:tcPr>
          <w:p>
            <w:pPr>
              <w:spacing w:after="0"/>
              <w:rPr>
                <w:sz w:val="1"/>
                <w:szCs w:val="1"/>
                <w:color w:val="auto"/>
              </w:rPr>
            </w:pPr>
          </w:p>
        </w:tc>
      </w:tr>
      <w:tr>
        <w:trPr>
          <w:trHeight w:val="270"/>
        </w:trPr>
        <w:tc>
          <w:tcPr>
            <w:tcW w:w="8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Diluted shares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70"/>
        </w:trPr>
        <w:tc>
          <w:tcPr>
            <w:tcW w:w="84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20"/>
          <w:szCs w:val="20"/>
          <w:b w:val="1"/>
          <w:bCs w:val="1"/>
          <w:color w:val="auto"/>
        </w:rPr>
        <w:t>Q2 2026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Low*</w:t>
            </w: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High*</w:t>
            </w:r>
          </w:p>
        </w:tc>
      </w:tr>
      <w:tr>
        <w:trPr>
          <w:trHeight w:val="25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321</w:t>
            </w:r>
          </w:p>
        </w:tc>
      </w:tr>
      <w:tr>
        <w:trPr>
          <w:trHeight w:val="256"/>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 per diluted share</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2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w:t>
            </w:r>
          </w:p>
        </w:tc>
      </w:tr>
      <w:tr>
        <w:trPr>
          <w:trHeight w:val="270"/>
        </w:trPr>
        <w:tc>
          <w:tcPr>
            <w:tcW w:w="8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57"/>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Stock-based compensation</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Amortization</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5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pre-tax adjustments</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w:t>
            </w:r>
          </w:p>
        </w:tc>
      </w:tr>
      <w:tr>
        <w:trPr>
          <w:trHeight w:val="270"/>
        </w:trPr>
        <w:tc>
          <w:tcPr>
            <w:tcW w:w="8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taxes</w:t>
            </w:r>
          </w:p>
        </w:tc>
        <w:tc>
          <w:tcPr>
            <w:tcW w:w="2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Adjusted net income</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200" w:type="dxa"/>
            <w:vAlign w:val="bottom"/>
          </w:tcPr>
          <w:p>
            <w:pPr>
              <w:spacing w:after="0"/>
              <w:rPr>
                <w:sz w:val="21"/>
                <w:szCs w:val="21"/>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net income per diluted share</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6.65</w:t>
            </w:r>
          </w:p>
        </w:tc>
      </w:tr>
      <w:tr>
        <w:trPr>
          <w:trHeight w:val="270"/>
        </w:trPr>
        <w:tc>
          <w:tcPr>
            <w:tcW w:w="8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Diluted shares</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70"/>
        </w:trPr>
        <w:tc>
          <w:tcPr>
            <w:tcW w:w="8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 Columns may not calculate due to rounding.</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479"/>
        </w:trPr>
        <w:tc>
          <w:tcPr>
            <w:tcW w:w="8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5"/>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2"/>
      <w:numFmt w:val="bullet"/>
      <w:start w:val="1"/>
    </w:lvl>
  </w:abstractNum>
  <w:abstractNum w:abstractNumId="16">
    <w:nsid w:val="3F2DBA31"/>
    <w:multiLevelType w:val="hybridMultilevel"/>
    <w:lvl w:ilvl="0">
      <w:lvlJc w:val="left"/>
      <w:lvlText w:val="1"/>
      <w:numFmt w:val="bullet"/>
      <w:start w:val="1"/>
    </w:lvl>
  </w:abstractNum>
  <w:abstractNum w:abstractNumId="17">
    <w:nsid w:val="7C83E458"/>
    <w:multiLevelType w:val="hybridMultilevel"/>
    <w:lvl w:ilvl="0">
      <w:lvlJc w:val="left"/>
      <w:lvlText w:val="2"/>
      <w:numFmt w:val="bullet"/>
      <w:start w:val="1"/>
    </w:lvl>
  </w:abstractNum>
  <w:abstractNum w:abstractNumId="18">
    <w:nsid w:val="257130A3"/>
    <w:multiLevelType w:val="hybridMultilevel"/>
    <w:lvl w:ilvl="0">
      <w:lvlJc w:val="left"/>
      <w:lvlText w:val="3"/>
      <w:numFmt w:val="bullet"/>
      <w:start w:val="1"/>
    </w:lvl>
  </w:abstractNum>
  <w:abstractNum w:abstractNumId="19">
    <w:nsid w:val="62BBD9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2026-05-07T15:25:29Z</dcterms:created>
  <dcterms:modified xsi:type="dcterms:W3CDTF">2026-05-07T15:25:29Z</dcterms:modified>
</cp:coreProperties>
</file>