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FleetCor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339041105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339041105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122,409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122,409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122,409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700" w:hanging="787"/>
        <w:spacing w:after="0"/>
        <w:tabs>
          <w:tab w:leader="none" w:pos="17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00"/>
        <w:spacing w:after="0"/>
        <w:rPr>
          <w:rFonts w:ascii="Arial" w:cs="Arial" w:eastAsia="Arial" w:hAnsi="Arial"/>
          <w:sz w:val="22"/>
          <w:szCs w:val="22"/>
          <w:b w:val="1"/>
          <w:bCs w:val="1"/>
          <w:color w:val="auto"/>
        </w:rPr>
      </w:pPr>
      <w:r>
        <w:rPr>
          <w:rFonts w:ascii="Arial" w:cs="Arial" w:eastAsia="Arial" w:hAnsi="Arial"/>
          <w:sz w:val="22"/>
          <w:szCs w:val="22"/>
          <w:color w:val="auto"/>
        </w:rPr>
        <w:t>FleetCor Technologies, Inc.</w:t>
      </w:r>
    </w:p>
    <w:p>
      <w:pPr>
        <w:spacing w:after="0" w:line="101" w:lineRule="exact"/>
        <w:rPr>
          <w:rFonts w:ascii="Arial" w:cs="Arial" w:eastAsia="Arial" w:hAnsi="Arial"/>
          <w:sz w:val="22"/>
          <w:szCs w:val="22"/>
          <w:b w:val="1"/>
          <w:bCs w:val="1"/>
          <w:color w:val="auto"/>
        </w:rPr>
      </w:pPr>
    </w:p>
    <w:p>
      <w:pPr>
        <w:ind w:left="1700" w:right="4700" w:hanging="787"/>
        <w:spacing w:after="0" w:line="334" w:lineRule="auto"/>
        <w:tabs>
          <w:tab w:leader="none" w:pos="17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3280 Peachtree Road, Suite 2400, Atlanta, GA 30305</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00" w:hanging="787"/>
        <w:spacing w:after="0"/>
        <w:tabs>
          <w:tab w:leader="none" w:pos="17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0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1700" w:right="3920" w:hanging="787"/>
        <w:spacing w:after="0" w:line="334" w:lineRule="auto"/>
        <w:tabs>
          <w:tab w:leader="none" w:pos="1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700" w:right="8280" w:hanging="787"/>
        <w:spacing w:after="0" w:line="334" w:lineRule="auto"/>
        <w:tabs>
          <w:tab w:leader="none" w:pos="1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700" w:right="6920" w:hanging="787"/>
        <w:spacing w:after="0" w:line="334" w:lineRule="auto"/>
        <w:tabs>
          <w:tab w:leader="none" w:pos="1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00" w:right="7860" w:hanging="787"/>
        <w:spacing w:after="0" w:line="334" w:lineRule="auto"/>
        <w:tabs>
          <w:tab w:leader="none" w:pos="1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339041105</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jc w:val="both"/>
        <w:ind w:left="920"/>
        <w:spacing w:after="0"/>
        <w:tabs>
          <w:tab w:leader="none" w:pos="16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2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right="2880" w:firstLine="7"/>
        <w:spacing w:after="0" w:line="456" w:lineRule="auto"/>
        <w:tabs>
          <w:tab w:leader="none" w:pos="414"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2000" w:space="580"/>
            <w:col w:w="844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00" w:hanging="787"/>
        <w:spacing w:after="0"/>
        <w:tabs>
          <w:tab w:leader="none" w:pos="1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00"/>
        <w:spacing w:after="0"/>
        <w:rPr>
          <w:rFonts w:ascii="Arial" w:cs="Arial" w:eastAsia="Arial" w:hAnsi="Arial"/>
          <w:sz w:val="22"/>
          <w:szCs w:val="22"/>
          <w:color w:val="auto"/>
        </w:rPr>
      </w:pPr>
      <w:r>
        <w:rPr>
          <w:rFonts w:ascii="Arial" w:cs="Arial" w:eastAsia="Arial" w:hAnsi="Arial"/>
          <w:sz w:val="22"/>
          <w:szCs w:val="22"/>
          <w:color w:val="auto"/>
        </w:rPr>
        <w:t>122,409 **</w:t>
      </w:r>
    </w:p>
    <w:p>
      <w:pPr>
        <w:spacing w:after="0" w:line="125" w:lineRule="exact"/>
        <w:rPr>
          <w:rFonts w:ascii="Arial" w:cs="Arial" w:eastAsia="Arial" w:hAnsi="Arial"/>
          <w:sz w:val="22"/>
          <w:szCs w:val="22"/>
          <w:color w:val="auto"/>
        </w:rPr>
      </w:pPr>
    </w:p>
    <w:p>
      <w:pPr>
        <w:ind w:left="1700" w:hanging="787"/>
        <w:spacing w:after="0"/>
        <w:tabs>
          <w:tab w:leader="none" w:pos="1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00"/>
        <w:spacing w:after="0"/>
        <w:rPr>
          <w:rFonts w:ascii="Arial" w:cs="Arial" w:eastAsia="Arial" w:hAnsi="Arial"/>
          <w:sz w:val="22"/>
          <w:szCs w:val="22"/>
          <w:color w:val="auto"/>
        </w:rPr>
      </w:pPr>
      <w:r>
        <w:rPr>
          <w:rFonts w:ascii="Arial" w:cs="Arial" w:eastAsia="Arial" w:hAnsi="Arial"/>
          <w:sz w:val="22"/>
          <w:szCs w:val="22"/>
          <w:color w:val="auto"/>
        </w:rPr>
        <w:t>0.1%</w:t>
      </w:r>
    </w:p>
    <w:p>
      <w:pPr>
        <w:spacing w:after="0" w:line="125" w:lineRule="exact"/>
        <w:rPr>
          <w:rFonts w:ascii="Arial" w:cs="Arial" w:eastAsia="Arial" w:hAnsi="Arial"/>
          <w:sz w:val="22"/>
          <w:szCs w:val="22"/>
          <w:color w:val="auto"/>
        </w:rPr>
      </w:pPr>
    </w:p>
    <w:p>
      <w:pPr>
        <w:ind w:left="1700" w:hanging="787"/>
        <w:spacing w:after="0"/>
        <w:tabs>
          <w:tab w:leader="none" w:pos="1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38" w:orient="portrait"/>
          <w:cols w:equalWidth="0" w:num="1">
            <w:col w:w="11020"/>
          </w:cols>
          <w:pgMar w:left="400" w:top="423" w:right="479" w:bottom="0" w:gutter="0" w:footer="0" w:header="0"/>
          <w:type w:val="continuous"/>
        </w:sectPr>
      </w:pPr>
    </w:p>
    <w:p>
      <w:pPr>
        <w:spacing w:after="0" w:line="125" w:lineRule="exact"/>
        <w:rPr>
          <w:sz w:val="20"/>
          <w:szCs w:val="20"/>
          <w:color w:val="auto"/>
        </w:rPr>
      </w:pPr>
    </w:p>
    <w:p>
      <w:pPr>
        <w:ind w:left="2580" w:hanging="884"/>
        <w:spacing w:after="0"/>
        <w:tabs>
          <w:tab w:leader="none" w:pos="2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580" w:hanging="884"/>
        <w:spacing w:after="0"/>
        <w:tabs>
          <w:tab w:leader="none" w:pos="2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580" w:hanging="884"/>
        <w:spacing w:after="0" w:line="183" w:lineRule="auto"/>
        <w:tabs>
          <w:tab w:leader="none" w:pos="258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580" w:right="800" w:hanging="884"/>
        <w:spacing w:after="0" w:line="183" w:lineRule="auto"/>
        <w:tabs>
          <w:tab w:leader="none" w:pos="258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122,409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122,409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780" w:space="260"/>
            <w:col w:w="3980"/>
          </w:cols>
          <w:pgMar w:left="400" w:top="423" w:right="479" w:bottom="0" w:gutter="0" w:footer="0" w:header="0"/>
          <w:type w:val="continuous"/>
        </w:sectPr>
      </w:pPr>
    </w:p>
    <w:p>
      <w:pPr>
        <w:ind w:right="120"/>
        <w:spacing w:after="0" w:line="287"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CRGI's divisions of each of the investment management entities collectively provide investment</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80"/>
        <w:spacing w:after="0" w:line="251" w:lineRule="auto"/>
        <w:rPr>
          <w:sz w:val="20"/>
          <w:szCs w:val="20"/>
          <w:color w:val="auto"/>
        </w:rPr>
      </w:pPr>
      <w:r>
        <w:rPr>
          <w:rFonts w:ascii="Arial" w:cs="Arial" w:eastAsia="Arial" w:hAnsi="Arial"/>
          <w:sz w:val="22"/>
          <w:szCs w:val="22"/>
          <w:color w:val="auto"/>
        </w:rPr>
        <w:t>management services under the name "Capital Research Global Investors." CRGI is deemed to be the beneficial owner of 122,409 shares or 0.1% of the 83,401,626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2021-02-16T13:19:12Z</dcterms:created>
  <dcterms:modified xsi:type="dcterms:W3CDTF">2021-02-16T13:19:12Z</dcterms:modified>
</cp:coreProperties>
</file>