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276860</wp:posOffset>
            </wp:positionV>
            <wp:extent cx="7253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69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208280</wp:posOffset>
            </wp:positionV>
            <wp:extent cx="7253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698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119" w:lineRule="exact"/>
        <w:rPr>
          <w:sz w:val="24"/>
          <w:szCs w:val="24"/>
          <w:color w:val="auto"/>
        </w:rPr>
      </w:pPr>
    </w:p>
    <w:p>
      <w:pPr>
        <w:ind w:left="720" w:hanging="692"/>
        <w:spacing w:after="0"/>
        <w:tabs>
          <w:tab w:leader="none" w:pos="7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2019</w:t>
      </w:r>
    </w:p>
    <w:p>
      <w:pPr>
        <w:spacing w:after="0" w:line="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7" w:lineRule="exact"/>
        <w:rPr>
          <w:sz w:val="24"/>
          <w:szCs w:val="24"/>
          <w:color w:val="auto"/>
        </w:rPr>
      </w:pPr>
    </w:p>
    <w:p>
      <w:pPr>
        <w:ind w:left="740" w:hanging="696"/>
        <w:spacing w:after="0"/>
        <w:tabs>
          <w:tab w:leader="none" w:pos="7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3" w:lineRule="exact"/>
        <w:rPr>
          <w:sz w:val="24"/>
          <w:szCs w:val="24"/>
          <w:color w:val="auto"/>
        </w:rPr>
      </w:pPr>
    </w:p>
    <w:p>
      <w:pPr>
        <w:ind w:left="3980"/>
        <w:spacing w:after="0"/>
        <w:tabs>
          <w:tab w:leader="none" w:pos="66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3724910</wp:posOffset>
            </wp:positionH>
            <wp:positionV relativeFrom="paragraph">
              <wp:posOffset>-1905</wp:posOffset>
            </wp:positionV>
            <wp:extent cx="10337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3780" cy="6985"/>
                    </a:xfrm>
                    <a:prstGeom prst="rect">
                      <a:avLst/>
                    </a:prstGeom>
                    <a:noFill/>
                  </pic:spPr>
                </pic:pic>
              </a:graphicData>
            </a:graphic>
          </wp:anchor>
        </w:drawing>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001-35004</w:t>
      </w:r>
    </w:p>
    <w:p>
      <w:pPr>
        <w:spacing w:after="0" w:line="2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FleetCor Technologies, Inc.</w:t>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 w:lineRule="exact"/>
        <w:rPr>
          <w:sz w:val="24"/>
          <w:szCs w:val="24"/>
          <w:color w:val="auto"/>
        </w:rPr>
      </w:pPr>
    </w:p>
    <w:tbl>
      <w:tblPr>
        <w:tblLayout w:type="fixed"/>
        <w:tblInd w:w="1200" w:type="dxa"/>
        <w:tblCellMar>
          <w:top w:w="0" w:type="dxa"/>
          <w:left w:w="0" w:type="dxa"/>
          <w:bottom w:w="0" w:type="dxa"/>
          <w:right w:w="0" w:type="dxa"/>
        </w:tblCellMar>
      </w:tblPr>
      <w:tr>
        <w:trPr>
          <w:trHeight w:val="186"/>
        </w:trPr>
        <w:tc>
          <w:tcPr>
            <w:tcW w:w="678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tc>
        <w:tc>
          <w:tcPr>
            <w:tcW w:w="1280" w:type="dxa"/>
            <w:vAlign w:val="bottom"/>
          </w:tcPr>
          <w:p>
            <w:pPr>
              <w:spacing w:after="0"/>
              <w:rPr>
                <w:sz w:val="16"/>
                <w:szCs w:val="16"/>
                <w:color w:val="auto"/>
              </w:rPr>
            </w:pPr>
          </w:p>
        </w:tc>
      </w:tr>
      <w:tr>
        <w:trPr>
          <w:trHeight w:val="286"/>
        </w:trPr>
        <w:tc>
          <w:tcPr>
            <w:tcW w:w="6780" w:type="dxa"/>
            <w:vAlign w:val="bottom"/>
          </w:tcPr>
          <w:p>
            <w:pPr>
              <w:jc w:val="center"/>
              <w:ind w:right="34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72-1074903</w:t>
            </w:r>
          </w:p>
        </w:tc>
      </w:tr>
      <w:tr>
        <w:trPr>
          <w:trHeight w:val="200"/>
        </w:trPr>
        <w:tc>
          <w:tcPr>
            <w:tcW w:w="6780" w:type="dxa"/>
            <w:vAlign w:val="bottom"/>
          </w:tcPr>
          <w:p>
            <w:pPr>
              <w:jc w:val="center"/>
              <w:ind w:right="34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6780" w:type="dxa"/>
            <w:vAlign w:val="bottom"/>
          </w:tcPr>
          <w:p>
            <w:pPr>
              <w:jc w:val="center"/>
              <w:ind w:right="34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3"/>
        </w:trPr>
        <w:tc>
          <w:tcPr>
            <w:tcW w:w="6780" w:type="dxa"/>
            <w:vAlign w:val="bottom"/>
          </w:tcPr>
          <w:p>
            <w:pPr>
              <w:jc w:val="center"/>
              <w:ind w:right="3508"/>
              <w:spacing w:after="0"/>
              <w:rPr>
                <w:sz w:val="20"/>
                <w:szCs w:val="20"/>
                <w:color w:val="auto"/>
              </w:rPr>
            </w:pPr>
            <w:r>
              <w:rPr>
                <w:rFonts w:ascii="Times New Roman" w:cs="Times New Roman" w:eastAsia="Times New Roman" w:hAnsi="Times New Roman"/>
                <w:sz w:val="14"/>
                <w:szCs w:val="14"/>
                <w:b w:val="1"/>
                <w:bCs w:val="1"/>
                <w:color w:val="auto"/>
              </w:rPr>
              <w:t>5445 Triangle Parkway, Peachtree Corners, Georgia</w:t>
            </w:r>
          </w:p>
        </w:tc>
        <w:tc>
          <w:tcPr>
            <w:tcW w:w="12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30092</w:t>
            </w:r>
          </w:p>
        </w:tc>
      </w:tr>
      <w:tr>
        <w:trPr>
          <w:trHeight w:val="216"/>
        </w:trPr>
        <w:tc>
          <w:tcPr>
            <w:tcW w:w="6780" w:type="dxa"/>
            <w:vAlign w:val="bottom"/>
          </w:tcPr>
          <w:p>
            <w:pPr>
              <w:jc w:val="center"/>
              <w:ind w:right="34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7"/>
        </w:trPr>
        <w:tc>
          <w:tcPr>
            <w:tcW w:w="67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(770) 449-0479</w:t>
            </w:r>
          </w:p>
        </w:tc>
        <w:tc>
          <w:tcPr>
            <w:tcW w:w="1280" w:type="dxa"/>
            <w:vAlign w:val="bottom"/>
          </w:tcPr>
          <w:p>
            <w:pPr>
              <w:spacing w:after="0"/>
              <w:rPr>
                <w:sz w:val="23"/>
                <w:szCs w:val="23"/>
                <w:color w:val="auto"/>
              </w:rPr>
            </w:pPr>
          </w:p>
        </w:tc>
      </w:tr>
      <w:tr>
        <w:trPr>
          <w:trHeight w:val="186"/>
        </w:trPr>
        <w:tc>
          <w:tcPr>
            <w:tcW w:w="678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tc>
        <w:tc>
          <w:tcPr>
            <w:tcW w:w="1280" w:type="dxa"/>
            <w:vAlign w:val="bottom"/>
          </w:tcPr>
          <w:p>
            <w:pPr>
              <w:spacing w:after="0"/>
              <w:rPr>
                <w:sz w:val="16"/>
                <w:szCs w:val="16"/>
                <w:color w:val="auto"/>
              </w:rPr>
            </w:pPr>
          </w:p>
        </w:tc>
      </w:tr>
    </w:tbl>
    <w:p>
      <w:pPr>
        <w:spacing w:after="0" w:line="73" w:lineRule="exact"/>
        <w:rPr>
          <w:sz w:val="24"/>
          <w:szCs w:val="24"/>
          <w:color w:val="auto"/>
        </w:r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0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2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ind w:right="22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6" w:lineRule="exact"/>
        <w:rPr>
          <w:sz w:val="24"/>
          <w:szCs w:val="24"/>
          <w:color w:val="auto"/>
        </w:rPr>
      </w:pPr>
    </w:p>
    <w:p>
      <w:pPr>
        <w:ind w:right="384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ectPr>
          <w:pgSz w:w="11900" w:h="16838" w:orient="portrait"/>
          <w:cols w:equalWidth="0" w:num="1">
            <w:col w:w="11440"/>
          </w:cols>
          <w:pgMar w:left="220" w:top="21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480" w:type="dxa"/>
            <w:vAlign w:val="bottom"/>
            <w:gridSpan w:val="6"/>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6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476"/>
        </w:trPr>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8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Outstanding at April 15, 2019</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00" w:type="dxa"/>
            <w:vAlign w:val="bottom"/>
            <w:gridSpan w:val="4"/>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44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86,193,402</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30"/>
        </w:trPr>
        <w:tc>
          <w:tcPr>
            <w:tcW w:w="3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88"/>
        </w:trPr>
        <w:tc>
          <w:tcPr>
            <w:tcW w:w="20" w:type="dxa"/>
            <w:vAlign w:val="bottom"/>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162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1640" w:type="dxa"/>
            <w:vAlign w:val="bottom"/>
            <w:tcBorders>
              <w:top w:val="single" w:sz="8" w:color="auto"/>
              <w:bottom w:val="single" w:sz="8" w:color="auto"/>
            </w:tcBorders>
          </w:tcPr>
          <w:p>
            <w:pPr>
              <w:spacing w:after="0"/>
              <w:rPr>
                <w:sz w:val="7"/>
                <w:szCs w:val="7"/>
                <w:color w:val="auto"/>
              </w:rPr>
            </w:pPr>
          </w:p>
        </w:tc>
        <w:tc>
          <w:tcPr>
            <w:tcW w:w="2660" w:type="dxa"/>
            <w:vAlign w:val="bottom"/>
            <w:tcBorders>
              <w:top w:val="single" w:sz="8" w:color="auto"/>
              <w:bottom w:val="single" w:sz="8" w:color="auto"/>
            </w:tcBorders>
          </w:tcPr>
          <w:p>
            <w:pPr>
              <w:spacing w:after="0"/>
              <w:rPr>
                <w:sz w:val="7"/>
                <w:szCs w:val="7"/>
                <w:color w:val="auto"/>
              </w:rPr>
            </w:pPr>
          </w:p>
        </w:tc>
        <w:tc>
          <w:tcPr>
            <w:tcW w:w="1820" w:type="dxa"/>
            <w:vAlign w:val="bottom"/>
            <w:tcBorders>
              <w:top w:val="single" w:sz="8" w:color="auto"/>
              <w:bottom w:val="single" w:sz="8" w:color="auto"/>
            </w:tcBorders>
          </w:tcPr>
          <w:p>
            <w:pPr>
              <w:spacing w:after="0"/>
              <w:rPr>
                <w:sz w:val="7"/>
                <w:szCs w:val="7"/>
                <w:color w:val="auto"/>
              </w:rPr>
            </w:pPr>
          </w:p>
        </w:tc>
        <w:tc>
          <w:tcPr>
            <w:tcW w:w="158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r>
      <w:tr>
        <w:trPr>
          <w:trHeight w:val="335"/>
        </w:trPr>
        <w:tc>
          <w:tcPr>
            <w:tcW w:w="34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9"/>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r>
      <w:tr>
        <w:trPr>
          <w:trHeight w:val="184"/>
        </w:trPr>
        <w:tc>
          <w:tcPr>
            <w:tcW w:w="2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60" w:type="dxa"/>
            <w:vAlign w:val="bottom"/>
            <w:tcBorders>
              <w:top w:val="single" w:sz="8" w:color="auto"/>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Title of each class</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606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28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46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Common Stock</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FLT</w:t>
            </w:r>
          </w:p>
        </w:tc>
        <w:tc>
          <w:tcPr>
            <w:tcW w:w="2660" w:type="dxa"/>
            <w:vAlign w:val="bottom"/>
          </w:tcPr>
          <w:p>
            <w:pPr>
              <w:spacing w:after="0"/>
              <w:rPr>
                <w:sz w:val="15"/>
                <w:szCs w:val="15"/>
                <w:color w:val="auto"/>
              </w:rPr>
            </w:pPr>
          </w:p>
        </w:tc>
        <w:tc>
          <w:tcPr>
            <w:tcW w:w="3400" w:type="dxa"/>
            <w:vAlign w:val="bottom"/>
            <w:tcBorders>
              <w:right w:val="single" w:sz="8" w:color="auto"/>
            </w:tcBorders>
            <w:gridSpan w:val="2"/>
          </w:tcPr>
          <w:p>
            <w:pPr>
              <w:jc w:val="center"/>
              <w:ind w:right="2700"/>
              <w:spacing w:after="0"/>
              <w:rPr>
                <w:sz w:val="20"/>
                <w:szCs w:val="20"/>
                <w:color w:val="auto"/>
              </w:rPr>
            </w:pPr>
            <w:r>
              <w:rPr>
                <w:rFonts w:ascii="Times New Roman" w:cs="Times New Roman" w:eastAsia="Times New Roman" w:hAnsi="Times New Roman"/>
                <w:sz w:val="14"/>
                <w:szCs w:val="14"/>
                <w:color w:val="auto"/>
              </w:rPr>
              <w:t>NYSE</w:t>
            </w:r>
          </w:p>
        </w:tc>
        <w:tc>
          <w:tcPr>
            <w:tcW w:w="28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60"/>
          </w:cols>
          <w:pgMar w:left="220" w:top="119" w:right="21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p>
      <w:pPr>
        <w:spacing w:after="0" w:line="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0" w:type="dxa"/>
            <w:vAlign w:val="bottom"/>
            <w:gridSpan w:val="4"/>
          </w:tcPr>
          <w:p>
            <w:pPr>
              <w:ind w:left="2960"/>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205"/>
        </w:trPr>
        <w:tc>
          <w:tcPr>
            <w:tcW w:w="804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29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r>
      <w:tr>
        <w:trPr>
          <w:trHeight w:val="28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170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8"/>
              </w:rPr>
            </w:pPr>
            <w:hyperlink w:anchor="page4">
              <w:r>
                <w:rPr>
                  <w:rFonts w:ascii="Times New Roman" w:cs="Times New Roman" w:eastAsia="Times New Roman" w:hAnsi="Times New Roman"/>
                  <w:sz w:val="14"/>
                  <w:szCs w:val="14"/>
                  <w:color w:val="0000EE"/>
                  <w:w w:val="98"/>
                </w:rPr>
                <w:t>FINANCIAL STATEMENTS</w:t>
              </w:r>
            </w:hyperlink>
          </w:p>
        </w:tc>
        <w:tc>
          <w:tcPr>
            <w:tcW w:w="5400" w:type="dxa"/>
            <w:vAlign w:val="bottom"/>
            <w:gridSpan w:val="9"/>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3"/>
        </w:trPr>
        <w:tc>
          <w:tcPr>
            <w:tcW w:w="940" w:type="dxa"/>
            <w:vAlign w:val="bottom"/>
          </w:tcPr>
          <w:p>
            <w:pPr>
              <w:spacing w:after="0"/>
              <w:rPr>
                <w:sz w:val="24"/>
                <w:szCs w:val="24"/>
                <w:color w:val="auto"/>
              </w:rPr>
            </w:pPr>
          </w:p>
        </w:tc>
        <w:tc>
          <w:tcPr>
            <w:tcW w:w="7100" w:type="dxa"/>
            <w:vAlign w:val="bottom"/>
            <w:gridSpan w:val="13"/>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Consolidated Balance Sheets at March 31, 2019 (unaudited) and December 31, 2018</w:t>
              </w:r>
            </w:hyperlink>
          </w:p>
        </w:tc>
        <w:tc>
          <w:tcPr>
            <w:tcW w:w="3120" w:type="dxa"/>
            <w:vAlign w:val="bottom"/>
            <w:gridSpan w:val="3"/>
          </w:tcPr>
          <w:p>
            <w:pPr>
              <w:jc w:val="center"/>
              <w:ind w:left="2969"/>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1</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3"/>
        </w:trPr>
        <w:tc>
          <w:tcPr>
            <w:tcW w:w="940" w:type="dxa"/>
            <w:vAlign w:val="bottom"/>
          </w:tcPr>
          <w:p>
            <w:pPr>
              <w:spacing w:after="0"/>
              <w:rPr>
                <w:sz w:val="24"/>
                <w:szCs w:val="24"/>
                <w:color w:val="auto"/>
              </w:rPr>
            </w:pPr>
          </w:p>
        </w:tc>
        <w:tc>
          <w:tcPr>
            <w:tcW w:w="7100" w:type="dxa"/>
            <w:vAlign w:val="bottom"/>
            <w:gridSpan w:val="13"/>
          </w:tcPr>
          <w:p>
            <w:pPr>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Unaudited Consolidated Statements of Income for the Three Months Ended March 31, 2019 and 2018</w:t>
              </w:r>
            </w:hyperlink>
          </w:p>
        </w:tc>
        <w:tc>
          <w:tcPr>
            <w:tcW w:w="3120" w:type="dxa"/>
            <w:vAlign w:val="bottom"/>
            <w:gridSpan w:val="3"/>
          </w:tcPr>
          <w:p>
            <w:pPr>
              <w:jc w:val="center"/>
              <w:ind w:left="2969"/>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2</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3"/>
        </w:trPr>
        <w:tc>
          <w:tcPr>
            <w:tcW w:w="940" w:type="dxa"/>
            <w:vAlign w:val="bottom"/>
          </w:tcPr>
          <w:p>
            <w:pPr>
              <w:spacing w:after="0"/>
              <w:rPr>
                <w:sz w:val="24"/>
                <w:szCs w:val="24"/>
                <w:color w:val="auto"/>
              </w:rPr>
            </w:pPr>
          </w:p>
        </w:tc>
        <w:tc>
          <w:tcPr>
            <w:tcW w:w="7100" w:type="dxa"/>
            <w:vAlign w:val="bottom"/>
            <w:gridSpan w:val="13"/>
          </w:tcPr>
          <w:p>
            <w:pPr>
              <w:spacing w:after="0"/>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Unaudited Consolidated Statements of Comprehensive Income for the Three Months Ended March 31, 2019 and 2018</w:t>
              </w:r>
            </w:hyperlink>
          </w:p>
        </w:tc>
        <w:tc>
          <w:tcPr>
            <w:tcW w:w="3120" w:type="dxa"/>
            <w:vAlign w:val="bottom"/>
            <w:gridSpan w:val="3"/>
          </w:tcPr>
          <w:p>
            <w:pPr>
              <w:jc w:val="center"/>
              <w:ind w:left="2969"/>
              <w:spacing w:after="0"/>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3</w:t>
              </w:r>
            </w:hyperlink>
          </w:p>
        </w:tc>
        <w:tc>
          <w:tcPr>
            <w:tcW w:w="80" w:type="dxa"/>
            <w:vAlign w:val="bottom"/>
          </w:tcPr>
          <w:p>
            <w:pPr>
              <w:spacing w:after="0"/>
              <w:rPr>
                <w:sz w:val="24"/>
                <w:szCs w:val="24"/>
                <w:color w:val="auto"/>
              </w:rPr>
            </w:pPr>
          </w:p>
        </w:tc>
      </w:tr>
      <w:tr>
        <w:trPr>
          <w:trHeight w:val="293"/>
        </w:trPr>
        <w:tc>
          <w:tcPr>
            <w:tcW w:w="940" w:type="dxa"/>
            <w:vAlign w:val="bottom"/>
          </w:tcPr>
          <w:p>
            <w:pPr>
              <w:spacing w:after="0"/>
              <w:rPr>
                <w:sz w:val="24"/>
                <w:szCs w:val="24"/>
                <w:color w:val="auto"/>
              </w:rPr>
            </w:pPr>
          </w:p>
        </w:tc>
        <w:tc>
          <w:tcPr>
            <w:tcW w:w="53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Unaudited Statements of Cash Flows for the Three Months Ended March 31, 2019 and 2018</w:t>
              </w:r>
            </w:hyperlink>
          </w:p>
        </w:tc>
        <w:tc>
          <w:tcPr>
            <w:tcW w:w="1480" w:type="dxa"/>
            <w:vAlign w:val="bottom"/>
            <w:tcBorders>
              <w:top w:val="single" w:sz="8" w:color="0000EE"/>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2"/>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5</w:t>
              </w:r>
            </w:hyperlink>
          </w:p>
        </w:tc>
        <w:tc>
          <w:tcPr>
            <w:tcW w:w="80" w:type="dxa"/>
            <w:vAlign w:val="bottom"/>
          </w:tcPr>
          <w:p>
            <w:pPr>
              <w:spacing w:after="0"/>
              <w:rPr>
                <w:sz w:val="24"/>
                <w:szCs w:val="24"/>
                <w:color w:val="auto"/>
              </w:rPr>
            </w:pPr>
          </w:p>
        </w:tc>
      </w:tr>
      <w:tr>
        <w:trPr>
          <w:trHeight w:val="293"/>
        </w:trPr>
        <w:tc>
          <w:tcPr>
            <w:tcW w:w="94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w:anchor="page9">
              <w:r>
                <w:rPr>
                  <w:rFonts w:ascii="Times New Roman" w:cs="Times New Roman" w:eastAsia="Times New Roman" w:hAnsi="Times New Roman"/>
                  <w:sz w:val="14"/>
                  <w:szCs w:val="14"/>
                  <w:color w:val="0000EE"/>
                </w:rPr>
                <w:t>Notes to Unaudited Consolidated Financial Statements</w:t>
              </w:r>
            </w:hyperlink>
          </w:p>
        </w:tc>
        <w:tc>
          <w:tcPr>
            <w:tcW w:w="3960" w:type="dxa"/>
            <w:vAlign w:val="bottom"/>
            <w:gridSpan w:val="5"/>
          </w:tcPr>
          <w:p>
            <w:pPr>
              <w:spacing w:after="0"/>
              <w:rPr>
                <w:sz w:val="24"/>
                <w:szCs w:val="24"/>
                <w:color w:val="auto"/>
              </w:rPr>
            </w:pPr>
          </w:p>
        </w:tc>
        <w:tc>
          <w:tcPr>
            <w:tcW w:w="3040" w:type="dxa"/>
            <w:vAlign w:val="bottom"/>
            <w:gridSpan w:val="2"/>
          </w:tcPr>
          <w:p>
            <w:pPr>
              <w:spacing w:after="0"/>
              <w:rPr>
                <w:sz w:val="24"/>
                <w:szCs w:val="24"/>
                <w:color w:val="auto"/>
              </w:rPr>
            </w:pPr>
          </w:p>
        </w:tc>
        <w:tc>
          <w:tcPr>
            <w:tcW w:w="80" w:type="dxa"/>
            <w:vAlign w:val="bottom"/>
            <w:tcBorders>
              <w:bottom w:val="single" w:sz="8" w:color="0000EE"/>
            </w:tcBorders>
          </w:tcPr>
          <w:p>
            <w:pPr>
              <w:jc w:val="center"/>
              <w:spacing w:after="0"/>
              <w:rPr>
                <w:rFonts w:ascii="Times New Roman" w:cs="Times New Roman" w:eastAsia="Times New Roman" w:hAnsi="Times New Roman"/>
                <w:sz w:val="14"/>
                <w:szCs w:val="14"/>
                <w:color w:val="0000EE"/>
              </w:rPr>
            </w:pPr>
            <w:hyperlink w:anchor="page9">
              <w:r>
                <w:rPr>
                  <w:rFonts w:ascii="Times New Roman" w:cs="Times New Roman" w:eastAsia="Times New Roman" w:hAnsi="Times New Roman"/>
                  <w:sz w:val="14"/>
                  <w:szCs w:val="14"/>
                  <w:color w:val="0000EE"/>
                </w:rPr>
                <w:t>6</w:t>
              </w:r>
            </w:hyperlink>
          </w:p>
        </w:tc>
        <w:tc>
          <w:tcPr>
            <w:tcW w:w="80" w:type="dxa"/>
            <w:vAlign w:val="bottom"/>
          </w:tcPr>
          <w:p>
            <w:pPr>
              <w:spacing w:after="0"/>
              <w:rPr>
                <w:sz w:val="24"/>
                <w:szCs w:val="24"/>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7100" w:type="dxa"/>
            <w:vAlign w:val="bottom"/>
            <w:gridSpan w:val="13"/>
          </w:tcPr>
          <w:p>
            <w:pPr>
              <w:spacing w:after="0"/>
              <w:rPr>
                <w:rFonts w:ascii="Times New Roman" w:cs="Times New Roman" w:eastAsia="Times New Roman" w:hAnsi="Times New Roman"/>
                <w:sz w:val="14"/>
                <w:szCs w:val="14"/>
                <w:color w:val="0000EE"/>
              </w:rPr>
            </w:pPr>
            <w:hyperlink w:anchor="page26">
              <w:r>
                <w:rPr>
                  <w:rFonts w:ascii="Times New Roman" w:cs="Times New Roman" w:eastAsia="Times New Roman" w:hAnsi="Times New Roman"/>
                  <w:sz w:val="14"/>
                  <w:szCs w:val="14"/>
                  <w:color w:val="0000EE"/>
                </w:rPr>
                <w:t>MANAGEMENT’S DISCUSSION AND ANALYSIS OF FINANCIAL CONDITION AND RESULTS OF OPERATIONS</w:t>
              </w:r>
            </w:hyperlink>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26">
              <w:r>
                <w:rPr>
                  <w:rFonts w:ascii="Times New Roman" w:cs="Times New Roman" w:eastAsia="Times New Roman" w:hAnsi="Times New Roman"/>
                  <w:sz w:val="14"/>
                  <w:szCs w:val="14"/>
                  <w:color w:val="0000EE"/>
                  <w:w w:val="99"/>
                </w:rPr>
                <w:t>23</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80" w:type="dxa"/>
            <w:vAlign w:val="bottom"/>
            <w:tcBorders>
              <w:left w:val="single" w:sz="8" w:color="0000EE"/>
            </w:tcBorders>
            <w:gridSpan w:val="4"/>
            <w:shd w:val="clear" w:color="auto" w:fill="0000EE"/>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7100" w:type="dxa"/>
            <w:vAlign w:val="bottom"/>
            <w:gridSpan w:val="13"/>
          </w:tcPr>
          <w:p>
            <w:pPr>
              <w:spacing w:after="0"/>
              <w:rPr>
                <w:rFonts w:ascii="Times New Roman" w:cs="Times New Roman" w:eastAsia="Times New Roman" w:hAnsi="Times New Roman"/>
                <w:sz w:val="14"/>
                <w:szCs w:val="14"/>
                <w:color w:val="0000EE"/>
              </w:rPr>
            </w:pPr>
            <w:hyperlink w:anchor="page40">
              <w:r>
                <w:rPr>
                  <w:rFonts w:ascii="Times New Roman" w:cs="Times New Roman" w:eastAsia="Times New Roman" w:hAnsi="Times New Roman"/>
                  <w:sz w:val="14"/>
                  <w:szCs w:val="14"/>
                  <w:color w:val="0000EE"/>
                </w:rPr>
                <w:t>QUANTITATIVE AND QUALITATIVE DISCLOSURES ABOUT MARKET RISK</w:t>
              </w:r>
            </w:hyperlink>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0">
              <w:r>
                <w:rPr>
                  <w:rFonts w:ascii="Times New Roman" w:cs="Times New Roman" w:eastAsia="Times New Roman" w:hAnsi="Times New Roman"/>
                  <w:sz w:val="14"/>
                  <w:szCs w:val="14"/>
                  <w:color w:val="0000EE"/>
                  <w:w w:val="99"/>
                </w:rPr>
                <w:t>37</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80" w:type="dxa"/>
            <w:vAlign w:val="bottom"/>
            <w:tcBorders>
              <w:left w:val="single" w:sz="8" w:color="0000EE"/>
            </w:tcBorders>
            <w:gridSpan w:val="4"/>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2060" w:type="dxa"/>
            <w:vAlign w:val="bottom"/>
            <w:gridSpan w:val="6"/>
          </w:tcPr>
          <w:p>
            <w:pPr>
              <w:spacing w:after="0"/>
              <w:rPr>
                <w:rFonts w:ascii="Times New Roman" w:cs="Times New Roman" w:eastAsia="Times New Roman" w:hAnsi="Times New Roman"/>
                <w:sz w:val="14"/>
                <w:szCs w:val="14"/>
                <w:color w:val="0000EE"/>
              </w:rPr>
            </w:pPr>
            <w:hyperlink w:anchor="page40">
              <w:r>
                <w:rPr>
                  <w:rFonts w:ascii="Times New Roman" w:cs="Times New Roman" w:eastAsia="Times New Roman" w:hAnsi="Times New Roman"/>
                  <w:sz w:val="14"/>
                  <w:szCs w:val="14"/>
                  <w:color w:val="0000EE"/>
                </w:rPr>
                <w:t>CONTROLS AND PROCEDURES</w:t>
              </w:r>
            </w:hyperlink>
          </w:p>
        </w:tc>
        <w:tc>
          <w:tcPr>
            <w:tcW w:w="2760" w:type="dxa"/>
            <w:vAlign w:val="bottom"/>
            <w:gridSpan w:val="3"/>
          </w:tcPr>
          <w:p>
            <w:pPr>
              <w:spacing w:after="0"/>
              <w:rPr>
                <w:sz w:val="24"/>
                <w:szCs w:val="24"/>
                <w:color w:val="auto"/>
              </w:rPr>
            </w:pPr>
          </w:p>
        </w:tc>
        <w:tc>
          <w:tcPr>
            <w:tcW w:w="2280" w:type="dxa"/>
            <w:vAlign w:val="bottom"/>
            <w:gridSpan w:val="4"/>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0">
              <w:r>
                <w:rPr>
                  <w:rFonts w:ascii="Times New Roman" w:cs="Times New Roman" w:eastAsia="Times New Roman" w:hAnsi="Times New Roman"/>
                  <w:sz w:val="14"/>
                  <w:szCs w:val="14"/>
                  <w:color w:val="0000EE"/>
                  <w:w w:val="99"/>
                </w:rPr>
                <w:t>37</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24"/>
        </w:trPr>
        <w:tc>
          <w:tcPr>
            <w:tcW w:w="804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1480" w:type="dxa"/>
            <w:vAlign w:val="bottom"/>
            <w:gridSpan w:val="3"/>
          </w:tcPr>
          <w:p>
            <w:pPr>
              <w:spacing w:after="0"/>
              <w:rPr>
                <w:rFonts w:ascii="Times New Roman" w:cs="Times New Roman" w:eastAsia="Times New Roman" w:hAnsi="Times New Roman"/>
                <w:sz w:val="14"/>
                <w:szCs w:val="14"/>
                <w:color w:val="0000EE"/>
              </w:rPr>
            </w:pPr>
            <w:hyperlink w:anchor="page41">
              <w:r>
                <w:rPr>
                  <w:rFonts w:ascii="Times New Roman" w:cs="Times New Roman" w:eastAsia="Times New Roman" w:hAnsi="Times New Roman"/>
                  <w:sz w:val="14"/>
                  <w:szCs w:val="14"/>
                  <w:color w:val="0000EE"/>
                </w:rPr>
                <w:t>LEGAL PROCEEDINGS</w:t>
              </w:r>
            </w:hyperlink>
          </w:p>
        </w:tc>
        <w:tc>
          <w:tcPr>
            <w:tcW w:w="5620" w:type="dxa"/>
            <w:vAlign w:val="bottom"/>
            <w:gridSpan w:val="10"/>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1">
              <w:r>
                <w:rPr>
                  <w:rFonts w:ascii="Times New Roman" w:cs="Times New Roman" w:eastAsia="Times New Roman" w:hAnsi="Times New Roman"/>
                  <w:sz w:val="14"/>
                  <w:szCs w:val="14"/>
                  <w:color w:val="0000EE"/>
                  <w:w w:val="99"/>
                </w:rPr>
                <w:t>38</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1480" w:type="dxa"/>
            <w:vAlign w:val="bottom"/>
            <w:gridSpan w:val="3"/>
          </w:tcPr>
          <w:p>
            <w:pPr>
              <w:spacing w:after="0"/>
              <w:rPr>
                <w:rFonts w:ascii="Times New Roman" w:cs="Times New Roman" w:eastAsia="Times New Roman" w:hAnsi="Times New Roman"/>
                <w:sz w:val="14"/>
                <w:szCs w:val="14"/>
                <w:color w:val="0000EE"/>
              </w:rPr>
            </w:pPr>
            <w:hyperlink w:anchor="page41">
              <w:r>
                <w:rPr>
                  <w:rFonts w:ascii="Times New Roman" w:cs="Times New Roman" w:eastAsia="Times New Roman" w:hAnsi="Times New Roman"/>
                  <w:sz w:val="14"/>
                  <w:szCs w:val="14"/>
                  <w:color w:val="0000EE"/>
                </w:rPr>
                <w:t>RISK FACTORS</w:t>
              </w:r>
            </w:hyperlink>
          </w:p>
        </w:tc>
        <w:tc>
          <w:tcPr>
            <w:tcW w:w="5620" w:type="dxa"/>
            <w:vAlign w:val="bottom"/>
            <w:gridSpan w:val="10"/>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1">
              <w:r>
                <w:rPr>
                  <w:rFonts w:ascii="Times New Roman" w:cs="Times New Roman" w:eastAsia="Times New Roman" w:hAnsi="Times New Roman"/>
                  <w:sz w:val="14"/>
                  <w:szCs w:val="14"/>
                  <w:color w:val="0000EE"/>
                  <w:w w:val="99"/>
                </w:rPr>
                <w:t>38</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7100" w:type="dxa"/>
            <w:vAlign w:val="bottom"/>
            <w:gridSpan w:val="13"/>
          </w:tcPr>
          <w:p>
            <w:pPr>
              <w:spacing w:after="0"/>
              <w:rPr>
                <w:rFonts w:ascii="Times New Roman" w:cs="Times New Roman" w:eastAsia="Times New Roman" w:hAnsi="Times New Roman"/>
                <w:sz w:val="14"/>
                <w:szCs w:val="14"/>
                <w:color w:val="0000EE"/>
              </w:rPr>
            </w:pPr>
            <w:hyperlink w:anchor="page42">
              <w:r>
                <w:rPr>
                  <w:rFonts w:ascii="Times New Roman" w:cs="Times New Roman" w:eastAsia="Times New Roman" w:hAnsi="Times New Roman"/>
                  <w:sz w:val="14"/>
                  <w:szCs w:val="14"/>
                  <w:color w:val="0000EE"/>
                </w:rPr>
                <w:t>UNREGISTERED SALES OF EQUITY SECURITIES AND USE OF PROCEEDS</w:t>
              </w:r>
            </w:hyperlink>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2">
              <w:r>
                <w:rPr>
                  <w:rFonts w:ascii="Times New Roman" w:cs="Times New Roman" w:eastAsia="Times New Roman" w:hAnsi="Times New Roman"/>
                  <w:sz w:val="14"/>
                  <w:szCs w:val="14"/>
                  <w:color w:val="0000EE"/>
                  <w:w w:val="99"/>
                </w:rPr>
                <w:t>39</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4820" w:type="dxa"/>
            <w:vAlign w:val="bottom"/>
            <w:gridSpan w:val="9"/>
          </w:tcPr>
          <w:p>
            <w:pPr>
              <w:spacing w:after="0"/>
              <w:rPr>
                <w:rFonts w:ascii="Times New Roman" w:cs="Times New Roman" w:eastAsia="Times New Roman" w:hAnsi="Times New Roman"/>
                <w:sz w:val="14"/>
                <w:szCs w:val="14"/>
                <w:color w:val="0000EE"/>
              </w:rPr>
            </w:pPr>
            <w:hyperlink w:anchor="page42">
              <w:r>
                <w:rPr>
                  <w:rFonts w:ascii="Times New Roman" w:cs="Times New Roman" w:eastAsia="Times New Roman" w:hAnsi="Times New Roman"/>
                  <w:sz w:val="14"/>
                  <w:szCs w:val="14"/>
                  <w:color w:val="0000EE"/>
                </w:rPr>
                <w:t>DEFAULTS UPON SENIOR SECURITIES</w:t>
              </w:r>
            </w:hyperlink>
          </w:p>
        </w:tc>
        <w:tc>
          <w:tcPr>
            <w:tcW w:w="2280" w:type="dxa"/>
            <w:vAlign w:val="bottom"/>
            <w:gridSpan w:val="4"/>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2">
              <w:r>
                <w:rPr>
                  <w:rFonts w:ascii="Times New Roman" w:cs="Times New Roman" w:eastAsia="Times New Roman" w:hAnsi="Times New Roman"/>
                  <w:sz w:val="14"/>
                  <w:szCs w:val="14"/>
                  <w:color w:val="0000EE"/>
                  <w:w w:val="99"/>
                </w:rPr>
                <w:t>39</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1940" w:type="dxa"/>
            <w:vAlign w:val="bottom"/>
            <w:gridSpan w:val="5"/>
          </w:tcPr>
          <w:p>
            <w:pPr>
              <w:spacing w:after="0"/>
              <w:rPr>
                <w:rFonts w:ascii="Times New Roman" w:cs="Times New Roman" w:eastAsia="Times New Roman" w:hAnsi="Times New Roman"/>
                <w:sz w:val="14"/>
                <w:szCs w:val="14"/>
                <w:color w:val="0000EE"/>
              </w:rPr>
            </w:pPr>
            <w:hyperlink w:anchor="page42">
              <w:r>
                <w:rPr>
                  <w:rFonts w:ascii="Times New Roman" w:cs="Times New Roman" w:eastAsia="Times New Roman" w:hAnsi="Times New Roman"/>
                  <w:sz w:val="14"/>
                  <w:szCs w:val="14"/>
                  <w:color w:val="0000EE"/>
                </w:rPr>
                <w:t>MINE SAFETY DISCLOSURES</w:t>
              </w:r>
            </w:hyperlink>
          </w:p>
        </w:tc>
        <w:tc>
          <w:tcPr>
            <w:tcW w:w="580" w:type="dxa"/>
            <w:vAlign w:val="bottom"/>
            <w:gridSpan w:val="2"/>
          </w:tcPr>
          <w:p>
            <w:pPr>
              <w:spacing w:after="0"/>
              <w:rPr>
                <w:sz w:val="24"/>
                <w:szCs w:val="24"/>
                <w:color w:val="auto"/>
              </w:rPr>
            </w:pPr>
          </w:p>
        </w:tc>
        <w:tc>
          <w:tcPr>
            <w:tcW w:w="4580" w:type="dxa"/>
            <w:vAlign w:val="bottom"/>
            <w:gridSpan w:val="6"/>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2">
              <w:r>
                <w:rPr>
                  <w:rFonts w:ascii="Times New Roman" w:cs="Times New Roman" w:eastAsia="Times New Roman" w:hAnsi="Times New Roman"/>
                  <w:sz w:val="14"/>
                  <w:szCs w:val="14"/>
                  <w:color w:val="0000EE"/>
                  <w:w w:val="99"/>
                </w:rPr>
                <w:t>39</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1940" w:type="dxa"/>
            <w:vAlign w:val="bottom"/>
            <w:gridSpan w:val="5"/>
          </w:tcPr>
          <w:p>
            <w:pPr>
              <w:spacing w:after="0"/>
              <w:rPr>
                <w:rFonts w:ascii="Times New Roman" w:cs="Times New Roman" w:eastAsia="Times New Roman" w:hAnsi="Times New Roman"/>
                <w:sz w:val="14"/>
                <w:szCs w:val="14"/>
                <w:color w:val="0000EE"/>
              </w:rPr>
            </w:pPr>
            <w:hyperlink w:anchor="page42">
              <w:r>
                <w:rPr>
                  <w:rFonts w:ascii="Times New Roman" w:cs="Times New Roman" w:eastAsia="Times New Roman" w:hAnsi="Times New Roman"/>
                  <w:sz w:val="14"/>
                  <w:szCs w:val="14"/>
                  <w:color w:val="0000EE"/>
                </w:rPr>
                <w:t>OTHER INFORMATION</w:t>
              </w:r>
            </w:hyperlink>
          </w:p>
        </w:tc>
        <w:tc>
          <w:tcPr>
            <w:tcW w:w="5160" w:type="dxa"/>
            <w:vAlign w:val="bottom"/>
            <w:gridSpan w:val="8"/>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2">
              <w:r>
                <w:rPr>
                  <w:rFonts w:ascii="Times New Roman" w:cs="Times New Roman" w:eastAsia="Times New Roman" w:hAnsi="Times New Roman"/>
                  <w:sz w:val="14"/>
                  <w:szCs w:val="14"/>
                  <w:color w:val="0000EE"/>
                  <w:w w:val="99"/>
                </w:rPr>
                <w:t>39</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640" w:type="dxa"/>
            <w:vAlign w:val="bottom"/>
          </w:tcPr>
          <w:p>
            <w:pPr>
              <w:spacing w:after="0"/>
              <w:rPr>
                <w:rFonts w:ascii="Times New Roman" w:cs="Times New Roman" w:eastAsia="Times New Roman" w:hAnsi="Times New Roman"/>
                <w:sz w:val="14"/>
                <w:szCs w:val="14"/>
                <w:color w:val="0000EE"/>
                <w:w w:val="97"/>
              </w:rPr>
            </w:pPr>
            <w:hyperlink w:anchor="page43">
              <w:r>
                <w:rPr>
                  <w:rFonts w:ascii="Times New Roman" w:cs="Times New Roman" w:eastAsia="Times New Roman" w:hAnsi="Times New Roman"/>
                  <w:sz w:val="14"/>
                  <w:szCs w:val="14"/>
                  <w:color w:val="0000EE"/>
                  <w:w w:val="97"/>
                </w:rPr>
                <w:t>EXHIBITS</w:t>
              </w:r>
            </w:hyperlink>
          </w:p>
        </w:tc>
        <w:tc>
          <w:tcPr>
            <w:tcW w:w="840" w:type="dxa"/>
            <w:vAlign w:val="bottom"/>
            <w:gridSpan w:val="2"/>
          </w:tcPr>
          <w:p>
            <w:pPr>
              <w:spacing w:after="0"/>
              <w:rPr>
                <w:sz w:val="24"/>
                <w:szCs w:val="24"/>
                <w:color w:val="auto"/>
              </w:rPr>
            </w:pPr>
          </w:p>
        </w:tc>
        <w:tc>
          <w:tcPr>
            <w:tcW w:w="5620" w:type="dxa"/>
            <w:vAlign w:val="bottom"/>
            <w:gridSpan w:val="10"/>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3">
              <w:r>
                <w:rPr>
                  <w:rFonts w:ascii="Times New Roman" w:cs="Times New Roman" w:eastAsia="Times New Roman" w:hAnsi="Times New Roman"/>
                  <w:sz w:val="14"/>
                  <w:szCs w:val="14"/>
                  <w:color w:val="0000EE"/>
                  <w:w w:val="99"/>
                </w:rPr>
                <w:t>40</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60" w:type="dxa"/>
            <w:vAlign w:val="bottom"/>
            <w:gridSpan w:val="12"/>
          </w:tcPr>
          <w:p>
            <w:pPr>
              <w:spacing w:after="0" w:line="20" w:lineRule="exact"/>
              <w:rPr>
                <w:sz w:val="1"/>
                <w:szCs w:val="1"/>
                <w:color w:val="auto"/>
              </w:rPr>
            </w:pPr>
          </w:p>
        </w:tc>
        <w:tc>
          <w:tcPr>
            <w:tcW w:w="304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93"/>
        </w:trPr>
        <w:tc>
          <w:tcPr>
            <w:tcW w:w="940" w:type="dxa"/>
            <w:vAlign w:val="bottom"/>
          </w:tcPr>
          <w:p>
            <w:pPr>
              <w:spacing w:after="0"/>
              <w:rPr>
                <w:rFonts w:ascii="Times New Roman" w:cs="Times New Roman" w:eastAsia="Times New Roman" w:hAnsi="Times New Roman"/>
                <w:sz w:val="14"/>
                <w:szCs w:val="14"/>
                <w:b w:val="1"/>
                <w:bCs w:val="1"/>
                <w:color w:val="0000EE"/>
                <w:w w:val="98"/>
              </w:rPr>
            </w:pPr>
            <w:hyperlink w:anchor="page44">
              <w:r>
                <w:rPr>
                  <w:rFonts w:ascii="Times New Roman" w:cs="Times New Roman" w:eastAsia="Times New Roman" w:hAnsi="Times New Roman"/>
                  <w:sz w:val="14"/>
                  <w:szCs w:val="14"/>
                  <w:b w:val="1"/>
                  <w:bCs w:val="1"/>
                  <w:color w:val="0000EE"/>
                  <w:w w:val="98"/>
                </w:rPr>
                <w:t>SIGNATURES</w:t>
              </w:r>
            </w:hyperlink>
          </w:p>
        </w:tc>
        <w:tc>
          <w:tcPr>
            <w:tcW w:w="7100" w:type="dxa"/>
            <w:vAlign w:val="bottom"/>
            <w:gridSpan w:val="13"/>
          </w:tcPr>
          <w:p>
            <w:pPr>
              <w:spacing w:after="0"/>
              <w:rPr>
                <w:sz w:val="24"/>
                <w:szCs w:val="24"/>
                <w:color w:val="auto"/>
              </w:rPr>
            </w:pPr>
          </w:p>
        </w:tc>
        <w:tc>
          <w:tcPr>
            <w:tcW w:w="3120" w:type="dxa"/>
            <w:vAlign w:val="bottom"/>
            <w:gridSpan w:val="3"/>
          </w:tcPr>
          <w:p>
            <w:pPr>
              <w:jc w:val="center"/>
              <w:ind w:left="2909"/>
              <w:spacing w:after="0"/>
              <w:rPr>
                <w:rFonts w:ascii="Times New Roman" w:cs="Times New Roman" w:eastAsia="Times New Roman" w:hAnsi="Times New Roman"/>
                <w:sz w:val="14"/>
                <w:szCs w:val="14"/>
                <w:color w:val="0000EE"/>
                <w:w w:val="99"/>
              </w:rPr>
            </w:pPr>
            <w:hyperlink w:anchor="page44">
              <w:r>
                <w:rPr>
                  <w:rFonts w:ascii="Times New Roman" w:cs="Times New Roman" w:eastAsia="Times New Roman" w:hAnsi="Times New Roman"/>
                  <w:sz w:val="14"/>
                  <w:szCs w:val="14"/>
                  <w:color w:val="0000EE"/>
                  <w:w w:val="99"/>
                </w:rPr>
                <w:t>41</w:t>
              </w:r>
            </w:hyperlink>
          </w:p>
        </w:tc>
        <w:tc>
          <w:tcPr>
            <w:tcW w:w="80" w:type="dxa"/>
            <w:vAlign w:val="bottom"/>
          </w:tcPr>
          <w:p>
            <w:pPr>
              <w:spacing w:after="0"/>
              <w:rPr>
                <w:sz w:val="24"/>
                <w:szCs w:val="24"/>
                <w:color w:val="auto"/>
              </w:rPr>
            </w:pPr>
          </w:p>
        </w:tc>
      </w:tr>
      <w:tr>
        <w:trPr>
          <w:trHeight w:val="20"/>
        </w:trPr>
        <w:tc>
          <w:tcPr>
            <w:tcW w:w="9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bl>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60"/>
          </w:cols>
          <w:pgMar w:left="220" w:top="125" w:right="4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Par Value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March 31, 2019</w:t>
            </w:r>
            <w:r>
              <w:rPr>
                <w:rFonts w:ascii="Times New Roman" w:cs="Times New Roman" w:eastAsia="Times New Roman" w:hAnsi="Times New Roman"/>
                <w:sz w:val="17"/>
                <w:szCs w:val="17"/>
                <w:b w:val="1"/>
                <w:bCs w:val="1"/>
                <w:color w:val="auto"/>
                <w:w w:val="97"/>
                <w:vertAlign w:val="superscript"/>
              </w:rPr>
              <w:t>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December 31, 2018</w:t>
            </w:r>
          </w:p>
        </w:tc>
      </w:tr>
      <w:tr>
        <w:trPr>
          <w:trHeight w:val="184"/>
        </w:trPr>
        <w:tc>
          <w:tcPr>
            <w:tcW w:w="7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1,057,465</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1,031,145</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315,106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333,748</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79"/>
        </w:trPr>
        <w:tc>
          <w:tcPr>
            <w:tcW w:w="7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and other receivables (less allowance for doubtful accounts of $66,194 at March 31, 2019 and $59,963 at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9"/>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2018)</w:t>
            </w:r>
          </w:p>
        </w:tc>
        <w:tc>
          <w:tcPr>
            <w:tcW w:w="3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1,655,459</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1,425,815</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Securitized accounts receivable—restricted for securitization investors</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942,000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886,000</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202,029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199,278</w:t>
            </w: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4,172,059</w:t>
            </w: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3,875,986</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186,251</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186,201</w:t>
            </w: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4,549,099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4,542,074</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2,355,639</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2,407,910</w:t>
            </w: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26,506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42,674</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225,361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147,632</w:t>
            </w: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11,514,915</w:t>
            </w:r>
          </w:p>
        </w:tc>
        <w:tc>
          <w:tcPr>
            <w:tcW w:w="24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11,202,477</w:t>
            </w:r>
          </w:p>
        </w:tc>
      </w:tr>
      <w:tr>
        <w:trPr>
          <w:trHeight w:val="63"/>
        </w:trPr>
        <w:tc>
          <w:tcPr>
            <w:tcW w:w="7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168"/>
        </w:trPr>
        <w:tc>
          <w:tcPr>
            <w:tcW w:w="734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Liabilities and stockholders’ equity</w:t>
            </w:r>
          </w:p>
        </w:tc>
        <w:tc>
          <w:tcPr>
            <w:tcW w:w="32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1,518,827</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1,117,649</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311,357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261,594</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Customer deposits</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768,342</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926,685</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Securitization facility</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942,000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886,000</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Current portion of notes payable and lines of credit</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865,318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1,184,616</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156,254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118,669</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4,562,098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4,495,213</w:t>
            </w: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and other obligations, less current portion</w:t>
            </w: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2,708,251</w:t>
            </w: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2,748,431</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494,025</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491,946</w:t>
            </w: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219,574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126,707</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3,421,850</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3,367,084</w:t>
            </w:r>
          </w:p>
        </w:tc>
      </w:tr>
      <w:tr>
        <w:trPr>
          <w:trHeight w:val="173"/>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r>
        <w:trPr>
          <w:trHeight w:val="33"/>
        </w:trPr>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179"/>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Common stock, $0.001 par value; 475,000,000 shares authorized; 123,406,538 shares issued and 86,189,402 shares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2"/>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outstanding at March 31, 2019; and 123,035,859 shares issued and 85,845,344 shares outstanding at December 31,</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6"/>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2018</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2,382,179</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2,306,843</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3,989,763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3,817,656</w:t>
            </w:r>
          </w:p>
        </w:tc>
      </w:tr>
      <w:tr>
        <w:trPr>
          <w:trHeight w:val="23"/>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(934,192)</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(913,858)</w:t>
            </w:r>
          </w:p>
        </w:tc>
      </w:tr>
      <w:tr>
        <w:trPr>
          <w:trHeight w:val="193"/>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treasury stock, 37,217,136 shares at March 31, 2019 and 37,190,515 shares at December 31, 2018</w:t>
            </w:r>
          </w:p>
        </w:tc>
        <w:tc>
          <w:tcPr>
            <w:tcW w:w="3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(1,906,906)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(1,870,584)</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3,530,967</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3,340,180</w:t>
            </w: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11,514,915</w:t>
            </w:r>
          </w:p>
        </w:tc>
        <w:tc>
          <w:tcPr>
            <w:tcW w:w="24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11,202,477</w:t>
            </w:r>
          </w:p>
        </w:tc>
      </w:tr>
      <w:tr>
        <w:trPr>
          <w:trHeight w:val="23"/>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See accompanying notes to unaudited consolidated financial statements.</w:t>
      </w:r>
    </w:p>
    <w:p>
      <w:pPr>
        <w:spacing w:after="0" w:line="55" w:lineRule="exact"/>
        <w:rPr>
          <w:sz w:val="20"/>
          <w:szCs w:val="20"/>
          <w:color w:val="auto"/>
        </w:rPr>
      </w:pPr>
    </w:p>
    <w:p>
      <w:pPr>
        <w:ind w:left="20" w:right="200" w:firstLine="8"/>
        <w:spacing w:after="0" w:line="228" w:lineRule="auto"/>
        <w:tabs>
          <w:tab w:leader="none" w:pos="95"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the impact of the Company's adoption of ASU 2016-02 "Leases", on January 1, 2019, using the modified retrospective transition method. Under this method, financial results reported in periods prior to 2019 are unchanged. Refer to footnote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5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Income</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p>
      <w:pPr>
        <w:spacing w:after="0" w:line="334"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24765</wp:posOffset>
            </wp:positionV>
            <wp:extent cx="2011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1680" cy="6985"/>
                    </a:xfrm>
                    <a:prstGeom prst="rect">
                      <a:avLst/>
                    </a:prstGeom>
                    <a:noFill/>
                  </pic:spPr>
                </pic:pic>
              </a:graphicData>
            </a:graphic>
          </wp:anchor>
        </w:drawing>
      </w:r>
    </w:p>
    <w:p>
      <w:pPr>
        <w:spacing w:after="0" w:line="86"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49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9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net</w:t>
            </w:r>
          </w:p>
        </w:tc>
        <w:tc>
          <w:tcPr>
            <w:tcW w:w="920" w:type="dxa"/>
            <w:vAlign w:val="bottom"/>
            <w:tcBorders>
              <w:bottom w:val="single" w:sz="8" w:color="CCEEFF"/>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621,825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585,500</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Processing</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129,114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116,485</w:t>
            </w:r>
          </w:p>
        </w:tc>
        <w:tc>
          <w:tcPr>
            <w:tcW w:w="0" w:type="dxa"/>
            <w:vAlign w:val="bottom"/>
          </w:tcPr>
          <w:p>
            <w:pPr>
              <w:spacing w:after="0"/>
              <w:rPr>
                <w:sz w:val="1"/>
                <w:szCs w:val="1"/>
                <w:color w:val="auto"/>
              </w:rPr>
            </w:pPr>
          </w:p>
        </w:tc>
      </w:tr>
      <w:tr>
        <w:trPr>
          <w:trHeight w:val="193"/>
        </w:trPr>
        <w:tc>
          <w:tcPr>
            <w:tcW w:w="4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Selling</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47,111</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92,784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90,370</w:t>
            </w:r>
          </w:p>
        </w:tc>
        <w:tc>
          <w:tcPr>
            <w:tcW w:w="0" w:type="dxa"/>
            <w:vAlign w:val="bottom"/>
          </w:tcPr>
          <w:p>
            <w:pPr>
              <w:spacing w:after="0"/>
              <w:rPr>
                <w:sz w:val="1"/>
                <w:szCs w:val="1"/>
                <w:color w:val="auto"/>
              </w:rPr>
            </w:pPr>
          </w:p>
        </w:tc>
      </w:tr>
      <w:tr>
        <w:trPr>
          <w:trHeight w:val="193"/>
        </w:trPr>
        <w:tc>
          <w:tcPr>
            <w:tcW w:w="4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67,445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71,502</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operating, net</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284,176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260,087</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loss</w:t>
            </w: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15,660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39,055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31,065</w:t>
            </w: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54,935</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30,768</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229,241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229,319</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57,134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54,382</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CCEEFF"/>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172,107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174,937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20" w:type="dxa"/>
            <w:vAlign w:val="bottom"/>
            <w:vMerge w:val="continue"/>
          </w:tcPr>
          <w:p>
            <w:pPr>
              <w:spacing w:after="0"/>
              <w:rPr>
                <w:sz w:val="14"/>
                <w:szCs w:val="14"/>
                <w:color w:val="auto"/>
              </w:rPr>
            </w:pPr>
          </w:p>
        </w:tc>
        <w:tc>
          <w:tcPr>
            <w:tcW w:w="92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63"/>
        </w:trPr>
        <w:tc>
          <w:tcPr>
            <w:tcW w:w="4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9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Diluted earnings per share</w:t>
            </w:r>
          </w:p>
        </w:tc>
        <w:tc>
          <w:tcPr>
            <w:tcW w:w="920" w:type="dxa"/>
            <w:vAlign w:val="bottom"/>
            <w:tcBorders>
              <w:bottom w:val="single" w:sz="8" w:color="CCEEFF"/>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Basic shares</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85,941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89,765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Diluted shares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89,244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93,250</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239"/>
          </w:cols>
          <w:pgMar w:left="220" w:top="125" w:right="1440"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5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Income</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33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24765</wp:posOffset>
            </wp:positionV>
            <wp:extent cx="16148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4805" cy="6985"/>
                    </a:xfrm>
                    <a:prstGeom prst="rect">
                      <a:avLst/>
                    </a:prstGeom>
                    <a:noFill/>
                  </pic:spPr>
                </pic:pic>
              </a:graphicData>
            </a:graphic>
          </wp:anchor>
        </w:drawing>
      </w:r>
    </w:p>
    <w:p>
      <w:pPr>
        <w:spacing w:after="0" w:line="86"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6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172,107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174,937</w:t>
            </w:r>
          </w:p>
        </w:tc>
      </w:t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gains, net of tax</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43,254</w:t>
            </w:r>
          </w:p>
        </w:tc>
      </w:tr>
      <w:tr>
        <w:trPr>
          <w:trHeight w:val="193"/>
        </w:trPr>
        <w:tc>
          <w:tcPr>
            <w:tcW w:w="6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change in derivative contracts, net of tax</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62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43,254</w:t>
            </w:r>
          </w:p>
        </w:tc>
      </w:tr>
      <w:tr>
        <w:trPr>
          <w:trHeight w:val="184"/>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151,773</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218,191</w:t>
            </w:r>
          </w:p>
        </w:tc>
      </w:tr>
      <w:tr>
        <w:trPr>
          <w:trHeight w:val="23"/>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accompanying notes to unaudited consolidated financial statements.</w:t>
      </w:r>
    </w:p>
    <w:p>
      <w:pPr>
        <w:spacing w:after="0" w:line="34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239"/>
          </w:cols>
          <w:pgMar w:left="220" w:top="125" w:right="1440"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28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jc w:val="center"/>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6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2,306,843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3,817,656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(913,858)</w:t>
            </w: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(1,870,584)</w:t>
            </w: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3,340,180</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172,107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common 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12,541</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29,795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1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Balance at March 31, 2019</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2,382,179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3,989,763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(934,192)</w:t>
            </w:r>
          </w:p>
        </w:tc>
        <w:tc>
          <w:tcPr>
            <w:tcW w:w="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(1,906,906)</w:t>
            </w: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3,530,967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280" w:type="dxa"/>
            <w:vAlign w:val="bottom"/>
          </w:tcPr>
          <w:p>
            <w:pPr>
              <w:spacing w:after="0"/>
              <w:rPr>
                <w:sz w:val="10"/>
                <w:szCs w:val="10"/>
                <w:color w:val="auto"/>
              </w:rPr>
            </w:pPr>
          </w:p>
        </w:tc>
        <w:tc>
          <w:tcPr>
            <w:tcW w:w="142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jc w:val="center"/>
              <w:ind w:right="34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2,214,224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2,958,921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(551,857)</w:t>
            </w: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(944,888)</w:t>
            </w: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3,676,522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174,937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174,937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 w:type="dxa"/>
            <w:vAlign w:val="bottom"/>
          </w:tcPr>
          <w:p>
            <w:pPr>
              <w:spacing w:after="0"/>
              <w:rPr>
                <w:sz w:val="15"/>
                <w:szCs w:val="15"/>
                <w:color w:val="auto"/>
              </w:rPr>
            </w:pPr>
          </w:p>
        </w:tc>
        <w:tc>
          <w:tcPr>
            <w:tcW w:w="3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Cumulative effect of change in accounting</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principle</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47,252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47,252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comprehensive income from currency,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of tax of $0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43,254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43,254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Acquisition of common stock</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(88,292)</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14,403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14,403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19,975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19,976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16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Balance at March 31, 2018</w:t>
            </w: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2,248,602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3,181,110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(1,033,180)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3,888,052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accompanying notes to unaudited consolidated financial statements.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12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83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2019¹</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172,107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174,937</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15,132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12,397</w:t>
            </w:r>
          </w:p>
        </w:tc>
      </w:tr>
      <w:tr>
        <w:trPr>
          <w:trHeight w:val="193"/>
        </w:trPr>
        <w:tc>
          <w:tcPr>
            <w:tcW w:w="8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12,541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14,403</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Provision for losses on 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22,164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11,997</w:t>
            </w:r>
          </w:p>
        </w:tc>
      </w:tr>
      <w:tr>
        <w:trPr>
          <w:trHeight w:val="193"/>
        </w:trPr>
        <w:tc>
          <w:tcPr>
            <w:tcW w:w="8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Amortization of deferred financing costs and discounts</w:t>
            </w:r>
          </w:p>
        </w:tc>
        <w:tc>
          <w:tcPr>
            <w:tcW w:w="34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1,339</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Amortization of intangible assets and premium on receivables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52,313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59,105</w:t>
            </w:r>
          </w:p>
        </w:tc>
      </w:tr>
      <w:tr>
        <w:trPr>
          <w:trHeight w:val="193"/>
        </w:trPr>
        <w:tc>
          <w:tcPr>
            <w:tcW w:w="8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(4,829)</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Investment loss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15,660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non-cash operating income</w:t>
            </w:r>
          </w:p>
        </w:tc>
        <w:tc>
          <w:tcPr>
            <w:tcW w:w="3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and other receivables</w:t>
            </w:r>
          </w:p>
        </w:tc>
        <w:tc>
          <w:tcPr>
            <w:tcW w:w="3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(302,395)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(288,152)</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32,074</w:t>
            </w:r>
          </w:p>
        </w:tc>
      </w:tr>
      <w:tr>
        <w:trPr>
          <w:trHeight w:val="193"/>
        </w:trPr>
        <w:tc>
          <w:tcPr>
            <w:tcW w:w="83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(14,517)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(7,101)</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 accrued expenses and customer deposits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326,910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194,589</w:t>
            </w:r>
          </w:p>
        </w:tc>
      </w:tr>
      <w:tr>
        <w:trPr>
          <w:trHeight w:val="184"/>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297,494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200,702</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(3,875)</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(14,506)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(15,214)</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(3,642)</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(14,506)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(22,731)</w:t>
            </w: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29,795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19,975</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(88,292)</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on securitization facility, net</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18,000</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 paid and debt discount</w:t>
            </w:r>
          </w:p>
        </w:tc>
        <w:tc>
          <w:tcPr>
            <w:tcW w:w="3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(32,438)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(34,500)</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from revolver</w:t>
            </w:r>
          </w:p>
        </w:tc>
        <w:tc>
          <w:tcPr>
            <w:tcW w:w="34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420,258</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revolver</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(353,638)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(439,351)</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on swing line of credit, net</w:t>
            </w:r>
          </w:p>
        </w:tc>
        <w:tc>
          <w:tcPr>
            <w:tcW w:w="34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31,032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5,009</w:t>
            </w:r>
          </w:p>
        </w:tc>
      </w:tr>
      <w:tr>
        <w:trPr>
          <w:trHeight w:val="23"/>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r>
      <w:tr>
        <w:trPr>
          <w:trHeight w:val="184"/>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(272,918)</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(98,993)</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rates on cash</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12,653</w:t>
            </w:r>
          </w:p>
        </w:tc>
      </w:tr>
      <w:tr>
        <w:trPr>
          <w:trHeight w:val="20"/>
        </w:trPr>
        <w:tc>
          <w:tcPr>
            <w:tcW w:w="8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20" w:top="125" w:right="21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34925</wp:posOffset>
            </wp:positionV>
            <wp:extent cx="725360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13716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43815</wp:posOffset>
            </wp:positionV>
            <wp:extent cx="7253605" cy="150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150495"/>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20" w:lineRule="exact"/>
        <w:rPr>
          <w:sz w:val="20"/>
          <w:szCs w:val="20"/>
          <w:color w:val="auto"/>
        </w:rPr>
      </w:pPr>
      <w:r>
        <w:rPr>
          <w:sz w:val="20"/>
          <w:szCs w:val="20"/>
          <w:color w:val="auto"/>
        </w:rPr>
        <w:br w:type="column"/>
      </w:r>
    </w:p>
    <w:p>
      <w:pPr>
        <w:jc w:val="both"/>
        <w:ind w:left="1040"/>
        <w:spacing w:after="0"/>
        <w:tabs>
          <w:tab w:leader="none" w:pos="2520" w:val="left"/>
        </w:tabs>
        <w:rPr>
          <w:sz w:val="20"/>
          <w:szCs w:val="20"/>
          <w:color w:val="auto"/>
        </w:rPr>
      </w:pPr>
      <w:r>
        <w:rPr>
          <w:rFonts w:ascii="Times New Roman" w:cs="Times New Roman" w:eastAsia="Times New Roman" w:hAnsi="Times New Roman"/>
          <w:sz w:val="14"/>
          <w:szCs w:val="14"/>
          <w:color w:val="auto"/>
        </w:rPr>
        <w:t>7,678</w:t>
      </w:r>
      <w:r>
        <w:rPr>
          <w:sz w:val="20"/>
          <w:szCs w:val="20"/>
          <w:color w:val="auto"/>
        </w:rPr>
        <w:tab/>
      </w:r>
      <w:r>
        <w:rPr>
          <w:rFonts w:ascii="Times New Roman" w:cs="Times New Roman" w:eastAsia="Times New Roman" w:hAnsi="Times New Roman"/>
          <w:sz w:val="14"/>
          <w:szCs w:val="14"/>
          <w:color w:val="auto"/>
        </w:rPr>
        <w:t>91,631</w:t>
      </w:r>
    </w:p>
    <w:p>
      <w:pPr>
        <w:spacing w:after="0" w:line="55" w:lineRule="exact"/>
        <w:rPr>
          <w:sz w:val="20"/>
          <w:szCs w:val="20"/>
          <w:color w:val="auto"/>
        </w:rPr>
      </w:pPr>
    </w:p>
    <w:p>
      <w:pPr>
        <w:ind w:left="780"/>
        <w:spacing w:after="0"/>
        <w:tabs>
          <w:tab w:leader="none" w:pos="2340" w:val="left"/>
        </w:tabs>
        <w:rPr>
          <w:sz w:val="20"/>
          <w:szCs w:val="20"/>
          <w:color w:val="auto"/>
        </w:rPr>
      </w:pPr>
      <w:r>
        <w:rPr>
          <w:rFonts w:ascii="Times New Roman" w:cs="Times New Roman" w:eastAsia="Times New Roman" w:hAnsi="Times New Roman"/>
          <w:sz w:val="14"/>
          <w:szCs w:val="14"/>
          <w:color w:val="auto"/>
        </w:rPr>
        <w:t>1,364,893</w:t>
      </w:r>
      <w:r>
        <w:rPr>
          <w:sz w:val="20"/>
          <w:szCs w:val="20"/>
          <w:color w:val="auto"/>
        </w:rPr>
        <w:tab/>
      </w:r>
      <w:r>
        <w:rPr>
          <w:rFonts w:ascii="Times New Roman" w:cs="Times New Roman" w:eastAsia="Times New Roman" w:hAnsi="Times New Roman"/>
          <w:sz w:val="14"/>
          <w:szCs w:val="14"/>
          <w:color w:val="auto"/>
        </w:rPr>
        <w:t>1,130,870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wp:posOffset>
            </wp:positionV>
            <wp:extent cx="1950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0085" cy="6985"/>
                    </a:xfrm>
                    <a:prstGeom prst="rect">
                      <a:avLst/>
                    </a:prstGeom>
                    <a:noFill/>
                  </pic:spPr>
                </pic:pic>
              </a:graphicData>
            </a:graphic>
          </wp:anchor>
        </w:drawing>
      </w:r>
    </w:p>
    <w:p>
      <w:pPr>
        <w:spacing w:after="0" w:line="45" w:lineRule="exact"/>
        <w:rPr>
          <w:sz w:val="20"/>
          <w:szCs w:val="20"/>
          <w:color w:val="auto"/>
        </w:rPr>
      </w:pPr>
    </w:p>
    <w:p>
      <w:pPr>
        <w:spacing w:after="0"/>
        <w:tabs>
          <w:tab w:leader="none" w:pos="760" w:val="left"/>
          <w:tab w:leader="none" w:pos="1580" w:val="left"/>
          <w:tab w:leader="none" w:pos="23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1,372,571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1,222,501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wp:posOffset>
            </wp:positionV>
            <wp:extent cx="19500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0085" cy="698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7680" w:space="720"/>
            <w:col w:w="3060"/>
          </w:cols>
          <w:pgMar w:left="220" w:top="125" w:right="219"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46,904</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35,634</w:t>
            </w:r>
          </w:p>
        </w:tc>
      </w:tr>
      <w:tr>
        <w:trPr>
          <w:trHeight w:val="63"/>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93"/>
        </w:trPr>
        <w:tc>
          <w:tcPr>
            <w:tcW w:w="836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Cash paid for income taxes</w:t>
            </w: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17,894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16,830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20" w:right="200" w:firstLine="8"/>
        <w:spacing w:after="0" w:line="228" w:lineRule="auto"/>
        <w:tabs>
          <w:tab w:leader="none" w:pos="95"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the impact of the Company's adoption of ASU 2016-02 "Leases", on January 1, 2019, using the modified retrospective transition method. Under this method, financial results reported in periods prior to 2019 are unchanged. Refer to footnote 2.</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125" w:right="21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FLEETCOR Technologies, Inc. and Subsidiaries</w:t>
      </w:r>
    </w:p>
    <w:p>
      <w:pPr>
        <w:spacing w:after="0" w:line="9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2019</w:t>
      </w:r>
    </w:p>
    <w:p>
      <w:pPr>
        <w:spacing w:after="0" w:line="168" w:lineRule="exact"/>
        <w:rPr>
          <w:sz w:val="20"/>
          <w:szCs w:val="20"/>
          <w:color w:val="auto"/>
        </w:rPr>
      </w:pPr>
    </w:p>
    <w:p>
      <w:pPr>
        <w:ind w:right="8620" w:firstLine="6"/>
        <w:spacing w:after="0" w:line="387" w:lineRule="auto"/>
        <w:tabs>
          <w:tab w:leader="none" w:pos="144"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w:t>
      </w:r>
    </w:p>
    <w:p>
      <w:pPr>
        <w:ind w:right="20"/>
        <w:spacing w:after="0" w:line="269" w:lineRule="auto"/>
        <w:rPr>
          <w:sz w:val="20"/>
          <w:szCs w:val="20"/>
          <w:color w:val="auto"/>
        </w:rPr>
      </w:pPr>
      <w:r>
        <w:rPr>
          <w:rFonts w:ascii="Times New Roman" w:cs="Times New Roman" w:eastAsia="Times New Roman" w:hAnsi="Times New Roman"/>
          <w:sz w:val="14"/>
          <w:szCs w:val="14"/>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140"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color w:val="auto"/>
        </w:rPr>
        <w:t>The unaudited interim consolidated financial statements should be read in conjunction with the audited consolidated financial statements and notes thereto included in the Company’s Annual Report on Form 10-K for the year ended December 31,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gains of $0.03 million and $0.5 million for the three months ended March 31, 2019 and 2018, respectively. The Company recorded foreign currency losses on long-term intra-entity transactions of $77.0 million and $24.4 million for the three months ended March 31, 2019 and 2018, respectively, included as a component of foreign currency translation (losses) gains, net of tax, on the Unaudited Consolidated Statements of Comprehensives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Derivatives</w:t>
      </w:r>
    </w:p>
    <w:p>
      <w:pPr>
        <w:spacing w:after="0" w:line="186" w:lineRule="exact"/>
        <w:rPr>
          <w:sz w:val="20"/>
          <w:szCs w:val="20"/>
          <w:color w:val="auto"/>
        </w:rPr>
      </w:pPr>
    </w:p>
    <w:p>
      <w:pPr>
        <w:ind w:right="4140"/>
        <w:spacing w:after="0" w:line="294" w:lineRule="auto"/>
        <w:rPr>
          <w:sz w:val="20"/>
          <w:szCs w:val="20"/>
          <w:color w:val="auto"/>
        </w:rPr>
      </w:pPr>
      <w:r>
        <w:rPr>
          <w:rFonts w:ascii="Times New Roman" w:cs="Times New Roman" w:eastAsia="Times New Roman" w:hAnsi="Times New Roman"/>
          <w:sz w:val="14"/>
          <w:szCs w:val="14"/>
          <w:color w:val="auto"/>
        </w:rPr>
        <w:t>The Company uses derivatives to (a) minimize its exposures related to changes in interest rates and (b) facilitate cross-currency corporate payments by writing derivatives to customers.</w:t>
      </w:r>
    </w:p>
    <w:p>
      <w:pPr>
        <w:spacing w:after="0" w:line="1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Company is exposed to the risk of increasing interest rates because our borrowings are subject to variable interest rates. In order to mitigate this risk, the Company has elected to engage in the use of derivative instruments.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Changes in the fair value of derivatives that are designated and qualify as cash flow hedges are recorded in other assets or other liabilities and offset against accumulated other comprehensive income/loss, net of tax. Cash flow hedges consist of hedges a portion of the Company's variable rate debt. Derivative fair value changes that are captured in accumulated other comprehensive income/loss are reclassified to earnings in the same period or periods the hedged item affects earnings, to the extent the instrument is effective in offsetting the change in cash flows attributable to the risk being hedged. The portions of the change in fair value that are either considered ineffective or are excluded from the measure of effectiveness are recognized immediately in interest expense, net in the unaudited consolidated statements of income.</w:t>
      </w:r>
    </w:p>
    <w:p>
      <w:pPr>
        <w:spacing w:after="0" w:line="9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At Cambridge Global Payments ("Cambridge"), the Company uses derivatives to facilitate cross-currency corporate payments by writing derivatives to customers, which are not designated as hedging instruments. The majority of Cambridge's revenue is from exchanges of currency at spot rates, which enable customers to make cross-currency payments. In addition, Cambridge also writes foreign currency forward and option contracts for its customers to facilitate future payments. The duration of these derivative contracts at inception is generally less than one year. The Company aggregates its foreign exchange exposures arising from customer contracts, including forwards, options and spot exchanges of currency, and economically hedges the resulting net currency risks by entering into offsetting contracts with established financial institution counterparties. The changes in fair value related to these contracts are recorded in revenues, net in the Unaudited Consolidated Statements of Income.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all derivatives in "prepaid expenses and other current assets" and "other current liabilities" in the accompanying Unaudited Consolidated Balance Sheets at their fair value.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cash flows associated with derivatives are included in cash flows from operating activities in the Unaudited Consolidated Statements of Cash Flows.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equivalents consist of cash on hand and highly liquid investments with original maturities of three months or less. Restricted cash represents customer deposits repayable on demand.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Company provides payment solutions to our business, merchant, consumer and payment network customers. Our payment solutions are primarily focused on specific commercial spend categories, including fuel, lodging, tolls, and general corporate payments, as well as gift card solutions (stored value cards). The Company provides products that help businesses of all sizes control, simplify and secure payment of various domestic and cross-border payables using specialized payment products. The Company also provides other payment solutions for fleet maintenance, employee benefits and long haul transportation-related services. Revenues from contracts with customers, within the scope of Topic 606, represent approximately 80% of total consolidated revenues, net, for the three months ended March 31,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Disaggregation of Revenues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provides its services to customers across different payment solutions and geographies. Revenue by product (in millions) for the three months ended March 31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1420" w:type="dxa"/>
        <w:tblCellMar>
          <w:top w:w="0" w:type="dxa"/>
          <w:left w:w="0" w:type="dxa"/>
          <w:bottom w:w="0" w:type="dxa"/>
          <w:right w:w="0" w:type="dxa"/>
        </w:tblCellMar>
      </w:tblPr>
      <w:tr>
        <w:trPr>
          <w:trHeight w:val="149"/>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Revenues, net by Product Category</w:t>
            </w:r>
          </w:p>
        </w:tc>
        <w:tc>
          <w:tcPr>
            <w:tcW w:w="22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180" w:type="dxa"/>
            <w:vAlign w:val="bottom"/>
            <w:gridSpan w:val="2"/>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34"/>
        </w:trPr>
        <w:tc>
          <w:tcPr>
            <w:tcW w:w="4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4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 xml:space="preserve">2018 </w:t>
            </w:r>
            <w:r>
              <w:rPr>
                <w:rFonts w:ascii="Times New Roman" w:cs="Times New Roman" w:eastAsia="Times New Roman" w:hAnsi="Times New Roman"/>
                <w:sz w:val="17"/>
                <w:szCs w:val="17"/>
                <w:b w:val="1"/>
                <w:bCs w:val="1"/>
                <w:color w:val="auto"/>
                <w:vertAlign w:val="superscript"/>
              </w:rPr>
              <w:t>2</w:t>
            </w: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6"/>
        </w:trPr>
        <w:tc>
          <w:tcPr>
            <w:tcW w:w="4160" w:type="dxa"/>
            <w:vAlign w:val="bottom"/>
            <w:gridSpan w:val="3"/>
            <w:shd w:val="clear" w:color="auto" w:fill="CCEEFF"/>
          </w:tcPr>
          <w:p>
            <w:pPr>
              <w:ind w:left="40"/>
              <w:spacing w:after="0" w:line="207" w:lineRule="exact"/>
              <w:rPr>
                <w:sz w:val="20"/>
                <w:szCs w:val="20"/>
                <w:color w:val="auto"/>
              </w:rPr>
            </w:pPr>
            <w:r>
              <w:rPr>
                <w:rFonts w:ascii="Times New Roman" w:cs="Times New Roman" w:eastAsia="Times New Roman" w:hAnsi="Times New Roman"/>
                <w:sz w:val="14"/>
                <w:szCs w:val="14"/>
                <w:color w:val="auto"/>
              </w:rPr>
              <w:t xml:space="preserve">Fuel </w:t>
            </w:r>
            <w:r>
              <w:rPr>
                <w:rFonts w:ascii="Times New Roman" w:cs="Times New Roman" w:eastAsia="Times New Roman" w:hAnsi="Times New Roman"/>
                <w:sz w:val="20"/>
                <w:szCs w:val="20"/>
                <w:color w:val="auto"/>
                <w:vertAlign w:val="superscript"/>
              </w:rPr>
              <w:t>1</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265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3"/>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Corporate Payments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95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4160" w:type="dxa"/>
            <w:vAlign w:val="bottom"/>
            <w:gridSpan w:val="3"/>
            <w:shd w:val="clear" w:color="auto" w:fill="CCEEFF"/>
          </w:tcPr>
          <w:p>
            <w:pPr>
              <w:ind w:left="40"/>
              <w:spacing w:after="0" w:line="215" w:lineRule="exact"/>
              <w:rPr>
                <w:sz w:val="20"/>
                <w:szCs w:val="20"/>
                <w:color w:val="auto"/>
              </w:rPr>
            </w:pPr>
            <w:r>
              <w:rPr>
                <w:rFonts w:ascii="Times New Roman" w:cs="Times New Roman" w:eastAsia="Times New Roman" w:hAnsi="Times New Roman"/>
                <w:sz w:val="14"/>
                <w:szCs w:val="14"/>
                <w:color w:val="auto"/>
              </w:rPr>
              <w:t xml:space="preserve">Tolls </w:t>
            </w:r>
            <w:r>
              <w:rPr>
                <w:rFonts w:ascii="Times New Roman" w:cs="Times New Roman" w:eastAsia="Times New Roman" w:hAnsi="Times New Roman"/>
                <w:sz w:val="20"/>
                <w:szCs w:val="20"/>
                <w:color w:val="auto"/>
                <w:vertAlign w:val="superscript"/>
              </w:rPr>
              <w:t>1</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90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3"/>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Lodging</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3"/>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Gift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49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6"/>
        </w:trPr>
        <w:tc>
          <w:tcPr>
            <w:tcW w:w="4160" w:type="dxa"/>
            <w:vAlign w:val="bottom"/>
            <w:tcBorders>
              <w:bottom w:val="single" w:sz="8" w:color="CCEEFF"/>
            </w:tcBorders>
            <w:gridSpan w:val="3"/>
          </w:tcPr>
          <w:p>
            <w:pPr>
              <w:ind w:left="40"/>
              <w:spacing w:after="0" w:line="215"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20"/>
                <w:szCs w:val="20"/>
                <w:color w:val="auto"/>
                <w:vertAlign w:val="superscript"/>
              </w:rPr>
              <w:t>1</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48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1"/>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Revenues,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586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by geography (in millions) for the three months ended March 31 was as follows:</w:t>
      </w:r>
    </w:p>
    <w:p>
      <w:pPr>
        <w:spacing w:after="0" w:line="178"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 net by Geography</w:t>
            </w:r>
          </w:p>
        </w:tc>
        <w:tc>
          <w:tcPr>
            <w:tcW w:w="248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420" w:type="dxa"/>
            <w:vAlign w:val="bottom"/>
            <w:gridSpan w:val="2"/>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34"/>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118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2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344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107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64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71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0"/>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Revenues, net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586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160" w:right="1440"/>
        <w:spacing w:after="0" w:line="229" w:lineRule="auto"/>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Reflects certain reclassifications of revenue between product categories as the Company realigned its Brazil business into product lines, resulting in refinement of revenue classified as fuel versus tolls and the reclassification of the E-Cash/OnRoad product being realigned to fuel from other.</w:t>
      </w:r>
    </w:p>
    <w:p>
      <w:pPr>
        <w:spacing w:after="0" w:line="10" w:lineRule="exact"/>
        <w:rPr>
          <w:sz w:val="20"/>
          <w:szCs w:val="20"/>
          <w:color w:val="auto"/>
        </w:rPr>
      </w:pPr>
    </w:p>
    <w:p>
      <w:pPr>
        <w:ind w:left="1240" w:hanging="81"/>
        <w:spacing w:after="0"/>
        <w:tabs>
          <w:tab w:leader="none" w:pos="12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adjustments from previously disclosed amounts for the prior period to conform to current presentation.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Contract Liabilities</w:t>
      </w:r>
    </w:p>
    <w:p>
      <w:pPr>
        <w:spacing w:after="0" w:line="10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4"/>
          <w:szCs w:val="14"/>
          <w:color w:val="auto"/>
        </w:rPr>
        <w:t>Deferred revenue contract liabilities for customers subject to ASC 606 were $76.1 million and $30.6 million as of March 31, 2019 and December 31, 2018, respectively. We expect to recognize substantially all of these amounts in revenues within approximately 12 months. Revenue recognized in the three months ended March 31, 2019, that was included in the deferred revenue contract liability as of December 31, 2018 was approximately $16.2 million.</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60"/>
          </w:cols>
          <w:pgMar w:left="220" w:top="125" w:right="2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Spot Trade Offsetting</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The Company uses spot trades to facilitate cross-currency corporate payments in its Cambridge business. Timing in the receipt of cash from the customer results in intermediary balances in the receivable from the customer and the payment to the customer's counterparty. In accordance with ASC Subtopic 210-20, "Offsetting," the Company applies offsetting to spot trade assets and liabilities associated with contracts that include master netting agreements, as a right of setoff exists, which the Company believes to be enforceable. As such, the Company has netted the Company's net exposure with these counterparties, with the receivables from the customer. The Company recognizes all spot trade assets, net in prepaid expense and other current assets and all spot trade liabilities, net in other current liabilities, each net at the customer level, in its Consolidated Balance Sheets at their fair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Adoption of New Accounting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Leases</w:t>
      </w:r>
    </w:p>
    <w:p>
      <w:pPr>
        <w:spacing w:after="0" w:line="10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In February 2016, the FASB issued ASU 2016-02, “Leases” (Topic 842), which requires lessees to recognize a right-of-use asset and a lease liability on the balance sheet for all leases with the exception of short-term leases. This ASU also requires disclosures to provide additional information about the amounts recorded in the financial statements. Effective January 1, 2019, the Company adopted Topic 842 using a modified retrospective approach, as discussed further in Footnote 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Derivative Financial Instruments</w:t>
      </w:r>
    </w:p>
    <w:p>
      <w:pPr>
        <w:spacing w:after="0" w:line="10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August 2017, the FASB issued ASU 2017-12, "Derivatives and Hedging (Topic 815): Targeted Improvements to Accounting for Hedging Activities", which amends the hedge accounting recognition and presentation requirements in ASC 815. The FASB issued accounting guidance to better align hedge accounting with a company’s risk management activities, simplify the application of hedge accounting and improve the disclosures of hedging arrangements. The guidance is effective for the Company for reporting periods beginning after December 15, 2018, and interim periods within those years. The Company adopted this guidance on January 1, 2019, which did not have a material impact on the Company's results of operations, financial condition, or cash flows. The guidance did simplify the Company's accounting for interest rate swap hedges allowing more time for the initial hedge effectiveness documentation and a qualitative assessment at each quarter end for continued effectiveness assessment.</w:t>
      </w:r>
    </w:p>
    <w:p>
      <w:pPr>
        <w:spacing w:after="0" w:line="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October 2018, the FASB issued ASU 2018-16, which amends ASC 2018-16, "Derivatives and Hedging (Topic 815): Inclusion of the Secured Overnight Financing Rate, Overnight Index Swap Rate as a Benchmark Interest Rate for Hedge Accounting Purposes," which amends the hedge accounting to add overnight index swap rates based on the secured overnight financing rate as a fifth U.S. benchmark interest rate. The Company adopted this guidance on January 1, 2019, which did not have a material impact on the Company's results of operations, financial condition, or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Income Classification</w:t>
      </w:r>
    </w:p>
    <w:p>
      <w:pPr>
        <w:spacing w:after="0" w:line="1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In February 2018, the FASB issued ASU 2018-02, "Income Statement - Reporting Comprehensive Income (Topic 220): Reclassification of Certain Tax Effects from Accumulated Other Comprehensive Income", that gives entities the option to reclassify to retained earnings tax effects related to items that have been stranded in accumulated other comprehensive income as a result of the Tax Cuts and Jobs Act (the "Tax Act"). An entity that elects to reclassify these amounts must reclassify stranded tax effects related to the Tax Act’s change in U.S. federal tax rate for all items accounted for in other comprehensive income. These entities can also elect to reclassify other stranded effects that relate to the Tax Act but do not directly relate to the change in the federal rate. The Company adopted this guidance on January 1, 2019 and elected to not reclassify any items to retained earnings.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Non-Employee Share-Based Payments</w:t>
      </w:r>
    </w:p>
    <w:p>
      <w:pPr>
        <w:spacing w:after="0" w:line="1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June 2018, the FASB issued ASU 2018-07, "Compensation—Stock Compensation (Topic 718): Improvements to Non-employee Share-Based Payment Accounting", that supersedes ASC 505-50 and expands the scope of ASC 718 to include all share-based payment arrangements related to the acquisition of goods and services from both non-employees and employees.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The Company adopted this guidance on January 1, 2019, which had no impact on the Company's results of operations, financial condition, or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Pending Adoption of Recently Issued Accounting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Cloud Computing Arrangements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40"/>
          </w:cols>
          <w:pgMar w:left="220" w:top="125"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On August 29, 2018, the FASB issued ASU 2018-15, "Intangibles—Goodwill and Other— Internal-Use Software (Subtopic 350-40): Customer’s Accounting for Implementation Costs Incurred in a Cloud Computing Arrangement That Is a Service Contract", that provides guidance on implementation costs incurred in a cloud computing arrangement (CCA) that is a service contract. The ASU, which was released in response to a consensus reached by the EITF at its June 2018 meeting, aligns the accounting for such costs with the guidance on capitalizing costs associated with developing or obtaining internal-use software. Specifically, the ASU amends ASC 350 to include in its scope implementation costs of a CCA that is a service contract and clarifies that a customer should apply ASC 350-40 to determine which implementation costs should be capitalized in such a CCA. The guidance is effective for the Company for fiscal years beginning after December 15, 2019, including interim periods within those fiscal years. Early adoption is permitted, including in interim periods. The guidance should be applied either retrospectively or prospectively to all implementation costs incurred after the date of adoption. The Company's adoption of this ASU is not expected to have a material impact on the results of operations, financial condition, or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w:t>
      </w:r>
    </w:p>
    <w:p>
      <w:pPr>
        <w:spacing w:after="0" w:line="10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On August 28, 2018, the FASB issued ASU 2018-13, "Fair Value Measurement (Topic 820): Disclosure Framework—Changes to the Disclosure Requirements for Fair Value Measurement", which removes, modifies, and adds certain disclosure requirements related to fair value measurements in ASC 820. The guidance is effective for the Company for fiscal years, and interim periods within those fiscal years, beginning after December 15, 2019. The guidance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guidance should be applied retrospectively to all periods presented upon their effective date. The Company is permitted to early adopt any removed or modified disclosures upon issuance of this guidance and delay adoption of the additional disclosures until their effective date. The Company's adoption of this ASU is not expected to have a material impact on the results of operations, financial condition, or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Losses on Financial Instruments</w:t>
      </w:r>
    </w:p>
    <w:p>
      <w:pPr>
        <w:spacing w:after="0" w:line="1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 June 2016, the FASB issued ASU 2016-13, "Financial Instruments - Credit Losses (Topic 326): Measurement of Credit Losses on Financial Instruments", which changes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ASU is effective for the Company on January 1, 2020. Early adoption is permitted for periods beginning on or after January 1, 2019. The Company is evaluating the effect of ASU 2016-13 on its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Leases</w:t>
      </w:r>
    </w:p>
    <w:p>
      <w:pPr>
        <w:spacing w:after="0" w:line="1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Effective January 1, 2019, the Company adopted Topic 842 using a modified retrospective method. Under this transition method, the Company has not restated comparative periods, and prior comparative periods will be reported under the prior guidance, ASC 840. On January 1, 2019, based on the present value of the lease payments for the remaining lease term of the Company's existing leases, the Company recognized right-of-use (“ROU”) assets of $55.9 million and lease liabilities for operating leases of $65.5 million. At March 31, 2019, other assets includes a ROU asset of $66.1 million, other current liabilities includes short term operating lease liabilities of $14.3 million, and other non-current liabilities includes long term lease liabilities of $64.6 million. Finance leases are immaterial.</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The Company primarily leases office space, data centers, vehicles, and equipment. Some of our leases contain variable lease payments, typically payments based on an index. The Company’s leases have remaining lease terms of one year to thirty years, some of which include options to extend from one to five years or more. The exercise of lease renewal options is typically at the Company's sole discretion; therefore, the majority of renewals to extend the lease terms are not included in ROU assets and lease liabilities as they are not reasonably certain of exercise. Variable lease payments based on an index or rate are initially measured using the index or rate in effect at lease commencement, for the purposes of transition, the rate in effect at January 1, 2019. Additional payments based on the change in an index or rate are recorded as a period expense when incurred. Lease modifications result in remeasurement of the lease liability as of the modification date.</w:t>
      </w:r>
    </w:p>
    <w:p>
      <w:pPr>
        <w:spacing w:after="0" w:line="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For contracts entered into on or after the effective date or at the inception of a contract the Company assessed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The Company elected the package of practical expedients to not reassess prior conclusions related to contracts containing leases, lease classification and initial direct costs for all leases. Therefore, leases entered into prior to January 1, 2019, are accounted for under the prior accounting standard and were not reassessed. The Company has also elected not to recognize ROU assets and lease liabilities for short-term leases that have a term of twelve months or less. The effect of short-term leases would not be material our ROU assets and lease liability.</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Under ASC 842, a Company discounts future lease obligations by the rate implicit in the contract, unless the rate cannot be readily determined. As most of our leases do not provide an implicit rate, the Company uses our incremental borrowing rate based on the information available at the lease commencement date in determining the present value of the lease payments. In determining the borrowing rate, the Company considered the applicable lease terms, the Company's cost of borrowing, and for leases denominated in a foreign currency, the collateralized borrowing rate that the Company would obtain to borrow in the same currency in which the lease is denominated.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lease costs for the three months ended March 31, 2019 were $4.4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supplementary cash and non-cash disclosures for the three months ended March 31, 2019 are as follows (in millions):</w:t>
      </w:r>
    </w:p>
    <w:p>
      <w:pPr>
        <w:spacing w:after="0" w:line="229" w:lineRule="exact"/>
        <w:rPr>
          <w:sz w:val="20"/>
          <w:szCs w:val="20"/>
          <w:color w:val="auto"/>
        </w:rPr>
      </w:pPr>
    </w:p>
    <w:tbl>
      <w:tblPr>
        <w:tblLayout w:type="fixed"/>
        <w:tblInd w:w="344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r>
      <w:tr>
        <w:trPr>
          <w:trHeight w:val="169"/>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March 31, 2019</w:t>
            </w:r>
          </w:p>
        </w:tc>
      </w:tr>
      <w:tr>
        <w:trPr>
          <w:trHeight w:val="27"/>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4,607</w:t>
            </w:r>
          </w:p>
        </w:tc>
      </w:tr>
      <w:tr>
        <w:trPr>
          <w:trHeight w:val="179"/>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9"/>
        </w:trPr>
        <w:tc>
          <w:tcPr>
            <w:tcW w:w="3140" w:type="dxa"/>
            <w:vAlign w:val="bottom"/>
          </w:tcPr>
          <w:p>
            <w:pPr>
              <w:spacing w:after="0" w:line="208" w:lineRule="exact"/>
              <w:rPr>
                <w:sz w:val="20"/>
                <w:szCs w:val="20"/>
                <w:color w:val="auto"/>
              </w:rPr>
            </w:pPr>
            <w:r>
              <w:rPr>
                <w:rFonts w:ascii="Times New Roman" w:cs="Times New Roman" w:eastAsia="Times New Roman" w:hAnsi="Times New Roman"/>
                <w:sz w:val="14"/>
                <w:szCs w:val="14"/>
                <w:color w:val="auto"/>
              </w:rPr>
              <w:t xml:space="preserve">operating lease obligations </w:t>
            </w:r>
            <w:r>
              <w:rPr>
                <w:rFonts w:ascii="Times New Roman" w:cs="Times New Roman" w:eastAsia="Times New Roman" w:hAnsi="Times New Roman"/>
                <w:sz w:val="20"/>
                <w:szCs w:val="20"/>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69,744</w:t>
            </w:r>
          </w:p>
        </w:tc>
      </w:tr>
      <w:tr>
        <w:trPr>
          <w:trHeight w:val="196"/>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7.5</w:t>
            </w:r>
          </w:p>
        </w:tc>
      </w:tr>
      <w:tr>
        <w:trPr>
          <w:trHeight w:val="193"/>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bl>
    <w:p>
      <w:pPr>
        <w:ind w:left="3560" w:hanging="75"/>
        <w:spacing w:after="0" w:line="224" w:lineRule="auto"/>
        <w:tabs>
          <w:tab w:leader="none" w:pos="35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$55.9 million for operating leases existing on January 1, 2019</w:t>
      </w:r>
    </w:p>
    <w:p>
      <w:pPr>
        <w:spacing w:after="0" w:line="95"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Maturities of lease liabilities as of March 31, 2019 were as follows (in thousands):</w:t>
      </w:r>
    </w:p>
    <w:p>
      <w:pPr>
        <w:spacing w:after="0" w:line="335" w:lineRule="exact"/>
        <w:rPr>
          <w:sz w:val="20"/>
          <w:szCs w:val="20"/>
          <w:color w:val="auto"/>
        </w:rPr>
      </w:pPr>
    </w:p>
    <w:tbl>
      <w:tblPr>
        <w:tblLayout w:type="fixed"/>
        <w:tblInd w:w="3520" w:type="dxa"/>
        <w:tblCellMar>
          <w:top w:w="0" w:type="dxa"/>
          <w:left w:w="0" w:type="dxa"/>
          <w:bottom w:w="0" w:type="dxa"/>
          <w:right w:w="0" w:type="dxa"/>
        </w:tblCellMar>
      </w:tblPr>
      <w:tr>
        <w:trPr>
          <w:trHeight w:val="18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8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16,570</w:t>
            </w:r>
          </w:p>
        </w:tc>
      </w:tr>
      <w:tr>
        <w:trPr>
          <w:trHeight w:val="23"/>
        </w:trPr>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14,540</w:t>
            </w: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11,543</w:t>
            </w:r>
          </w:p>
        </w:tc>
      </w:tr>
      <w:tr>
        <w:trPr>
          <w:trHeight w:val="23"/>
        </w:trPr>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9,720</w:t>
            </w: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8,580</w:t>
            </w:r>
          </w:p>
        </w:tc>
      </w:tr>
      <w:tr>
        <w:trPr>
          <w:trHeight w:val="23"/>
        </w:trPr>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31,802</w:t>
            </w:r>
          </w:p>
        </w:tc>
      </w:tr>
      <w:tr>
        <w:trPr>
          <w:trHeight w:val="184"/>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Lease Payments</w:t>
            </w:r>
          </w:p>
        </w:tc>
        <w:tc>
          <w:tcPr>
            <w:tcW w:w="8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92,755</w:t>
            </w:r>
          </w:p>
        </w:tc>
      </w:tr>
      <w:tr>
        <w:trPr>
          <w:trHeight w:val="23"/>
        </w:trPr>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w:t>
            </w:r>
          </w:p>
        </w:tc>
      </w:tr>
      <w:tr>
        <w:trPr>
          <w:trHeight w:val="184"/>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800" w:type="dxa"/>
            <w:vAlign w:val="bottom"/>
            <w:tcBorders>
              <w:top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78,911</w:t>
            </w:r>
          </w:p>
        </w:tc>
      </w:tr>
      <w:tr>
        <w:trPr>
          <w:trHeight w:val="23"/>
        </w:trPr>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Accounts Receivable</w:t>
      </w:r>
    </w:p>
    <w:p>
      <w:pPr>
        <w:spacing w:after="0" w:line="1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The Company maintains a $1.2 billion revolving trade accounts receivable Securitization Facility. Accounts receivable collateralized within our Securitization Facility relate to our U.S. trade receivables resulting from charge card activity. Pursuant to the terms of the Securitization Facility, the Company transfers certain of its domestic receivables, on a revolving basis, to FLEETCOR Funding LLC (Funding) a wholly-owned bankruptcy remote subsidiary. In turn, Funding transfers, on a revolving basis, up to $1.2 billion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4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The Company utilizes proceeds from the transferred assets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4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Company’s Unaudited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accounts receivable and securitized accounts receivable include the following at March 31, 2019 and December 31, 2018 (in thousands):</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80"/>
          </w:cols>
          <w:pgMar w:left="220" w:top="125" w:right="29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48" w:lineRule="exact"/>
        <w:rPr>
          <w:sz w:val="20"/>
          <w:szCs w:val="20"/>
          <w:color w:val="auto"/>
        </w:rPr>
      </w:pPr>
    </w:p>
    <w:tbl>
      <w:tblPr>
        <w:tblLayout w:type="fixed"/>
        <w:tblInd w:w="210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12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8"/>
              </w:rPr>
              <w:t>December 31, 2018</w:t>
            </w: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domestic 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746,954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668,154</w:t>
            </w:r>
          </w:p>
        </w:tc>
      </w:tr>
      <w:tr>
        <w:trPr>
          <w:trHeight w:val="193"/>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domestic securitized accounts receivable</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886,000</w:t>
            </w:r>
          </w:p>
        </w:tc>
      </w:tr>
      <w:tr>
        <w:trPr>
          <w:trHeight w:val="23"/>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foreign receivables</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817,624</w:t>
            </w:r>
          </w:p>
        </w:tc>
      </w:tr>
      <w:tr>
        <w:trPr>
          <w:trHeight w:val="184"/>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gross receivables</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2,663,653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2,371,778</w:t>
            </w:r>
          </w:p>
        </w:tc>
      </w:tr>
      <w:tr>
        <w:trPr>
          <w:trHeight w:val="23"/>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doubtful accounts</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(59,963)</w:t>
            </w:r>
          </w:p>
        </w:tc>
      </w:tr>
      <w:tr>
        <w:trPr>
          <w:trHeight w:val="184"/>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accounts and securitized accounts receivable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2,597,459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2,311,815</w:t>
            </w:r>
          </w:p>
        </w:tc>
      </w:tr>
      <w:tr>
        <w:trPr>
          <w:trHeight w:val="23"/>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rollforward of the Company’s allowance for doubtful accounts related to accounts receivable for the three month period ended March 31 is as follows (in thousands):</w:t>
      </w:r>
    </w:p>
    <w:p>
      <w:pPr>
        <w:spacing w:after="0" w:line="154" w:lineRule="exact"/>
        <w:rPr>
          <w:sz w:val="20"/>
          <w:szCs w:val="20"/>
          <w:color w:val="auto"/>
        </w:rPr>
      </w:pPr>
    </w:p>
    <w:tbl>
      <w:tblPr>
        <w:tblLayout w:type="fixed"/>
        <w:tblInd w:w="180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5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beginning of period</w:t>
            </w:r>
          </w:p>
        </w:tc>
        <w:tc>
          <w:tcPr>
            <w:tcW w:w="820" w:type="dxa"/>
            <w:vAlign w:val="bottom"/>
            <w:tcBorders>
              <w:bottom w:val="single" w:sz="8" w:color="CCEEFF"/>
            </w:tcBorders>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46,031</w:t>
            </w:r>
          </w:p>
        </w:tc>
      </w:tr>
      <w:tr>
        <w:trPr>
          <w:trHeight w:val="193"/>
        </w:trPr>
        <w:tc>
          <w:tcPr>
            <w:tcW w:w="5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Provision for bad debts</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11,997</w:t>
            </w:r>
          </w:p>
        </w:tc>
      </w:tr>
      <w:tr>
        <w:trPr>
          <w:trHeight w:val="23"/>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50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Write-offs</w:t>
            </w:r>
          </w:p>
        </w:tc>
        <w:tc>
          <w:tcPr>
            <w:tcW w:w="8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w:t>
            </w:r>
          </w:p>
        </w:tc>
      </w:t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 end of period</w:t>
            </w:r>
          </w:p>
        </w:tc>
        <w:tc>
          <w:tcPr>
            <w:tcW w:w="82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66,194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48,989</w:t>
            </w:r>
          </w:p>
        </w:tc>
      </w:tr>
      <w:tr>
        <w:trPr>
          <w:trHeight w:val="23"/>
        </w:trPr>
        <w:tc>
          <w:tcPr>
            <w:tcW w:w="5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0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basis for evaluating such inputs, a three-tier value hierarchy prioritizes the inputs used in measuring fair value as follows:</w:t>
      </w:r>
    </w:p>
    <w:p>
      <w:pPr>
        <w:spacing w:after="0" w:line="108" w:lineRule="exact"/>
        <w:rPr>
          <w:sz w:val="20"/>
          <w:szCs w:val="20"/>
          <w:color w:val="auto"/>
        </w:rPr>
      </w:pPr>
    </w:p>
    <w:p>
      <w:pPr>
        <w:ind w:left="520" w:hanging="266"/>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Observable inputs such as quoted prices for identical assets or liabilities in active markets.</w:t>
      </w:r>
    </w:p>
    <w:p>
      <w:pPr>
        <w:spacing w:after="0" w:line="25" w:lineRule="exact"/>
        <w:rPr>
          <w:rFonts w:ascii="Times New Roman" w:cs="Times New Roman" w:eastAsia="Times New Roman" w:hAnsi="Times New Roman"/>
          <w:sz w:val="14"/>
          <w:szCs w:val="14"/>
          <w:color w:val="auto"/>
        </w:rPr>
      </w:pPr>
    </w:p>
    <w:p>
      <w:pPr>
        <w:ind w:left="520" w:hanging="266"/>
        <w:spacing w:after="0" w:line="257"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ind w:left="520" w:right="60" w:hanging="266"/>
        <w:spacing w:after="0" w:line="274"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00"/>
          </w:cols>
          <w:pgMar w:left="220" w:top="125" w:right="27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Company’s financial assets and liabilities which are measured at fair values on a recurring basis at March 31, 2019 and December 31, 2018,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625,926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625,926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Money market</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50,891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50,891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Certificates of deposit</w:t>
            </w:r>
          </w:p>
        </w:tc>
        <w:tc>
          <w:tcPr>
            <w:tcW w:w="2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35,156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35,156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40,074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40,074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752,047</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752,047</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
        </w:trPr>
        <w:tc>
          <w:tcPr>
            <w:tcW w:w="54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40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Cash collateral for foreign exchange contracts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8,111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27,569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27,569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39,977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39,977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67,546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67,546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collateral obligation for foreign exchange contracts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40,832</w:t>
            </w: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
        </w:trPr>
        <w:tc>
          <w:tcPr>
            <w:tcW w:w="54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581,293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581,293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Money market</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50,644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50,644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Certificates of deposit</w:t>
            </w:r>
          </w:p>
        </w:tc>
        <w:tc>
          <w:tcPr>
            <w:tcW w:w="2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22,412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22,412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68,814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68,793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723,163</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723,141</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
        </w:trPr>
        <w:tc>
          <w:tcPr>
            <w:tcW w:w="54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40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Cash collateral for foreign exchange contracts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9,644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72,125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72,125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72,125</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72,125</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
        </w:trPr>
        <w:tc>
          <w:tcPr>
            <w:tcW w:w="54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40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Cash collateral obligation for foreign exchange contracts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73,140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The Company has highly-liquid investments classified as cash equivalents, with original maturities of 90 days or less, included in our Unaudited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 Foreign exchange derivative contracts are carried at fair value, with changes in fair value recognized in the Unaudited Consolidated Statements of Income. The fair value of the Company's derivatives is derived with reference to a valuation from a derivatives dealer operating in an active market, which approximates the fair value of these instruments. The fair value represents what would be received and or paid by the Company if the contracts were terminated as of the reporting date. Cash collateral received for foreign exchange derivatives is recorded within customer deposits in the Company's Unaudited Consolidated Balance Sheet. Cash collateral paid for foreign exchange derivatives is recorded within restricted cash in the Company's Unaudited Consolidated Balance Sheet. The carrying value of interest rate swap contracts is at fair value, which is determined based on current and forward interest rates as of the balance sheet date and is classified within Level 2.</w:t>
      </w:r>
    </w:p>
    <w:p>
      <w:pPr>
        <w:spacing w:after="0" w:line="151"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4"/>
          <w:szCs w:val="14"/>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2019 and 2018.</w:t>
      </w:r>
    </w:p>
    <w:p>
      <w:pPr>
        <w:spacing w:after="0" w:line="123"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4"/>
          <w:szCs w:val="14"/>
          <w:color w:val="auto"/>
        </w:rPr>
        <w:t>The Company’s assets that are measured at fair value on a nonrecurring basis or are evaluated with periodic testing for impairment include property, plant and equipment, investments, goodwill and other intangible assets. Estimates of the fair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125" w:right="21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8" w:lineRule="exact"/>
        <w:rPr>
          <w:sz w:val="20"/>
          <w:szCs w:val="20"/>
          <w:color w:val="auto"/>
        </w:rPr>
      </w:pPr>
    </w:p>
    <w:p>
      <w:pPr>
        <w:jc w:val="both"/>
        <w:ind w:right="440"/>
        <w:spacing w:after="0" w:line="275" w:lineRule="auto"/>
        <w:rPr>
          <w:sz w:val="20"/>
          <w:szCs w:val="20"/>
          <w:color w:val="auto"/>
        </w:rPr>
      </w:pPr>
      <w:r>
        <w:rPr>
          <w:rFonts w:ascii="Times New Roman" w:cs="Times New Roman" w:eastAsia="Times New Roman" w:hAnsi="Times New Roman"/>
          <w:sz w:val="14"/>
          <w:szCs w:val="14"/>
          <w:color w:val="auto"/>
        </w:rPr>
        <w:t>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w:t>
      </w:r>
    </w:p>
    <w:p>
      <w:pPr>
        <w:spacing w:after="0" w:line="1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For derivatives that will be accounted for as hedging instruments, the Company formally designates and documents, at inception, the financial instrument as a hedge of a specific underlying exposure, the risk management objective and the strategy for undertaking the hedge transaction. In addition, the Company formally assesses, both at the inception and at least quarterly thereafter, whether the financial instruments used in hedging transactions are effective at offsetting changes in cash flows of the related underlying exposures. Any ineffective portion of a financial instrument's change in fair value is immediately recognized into earnings. The Company determines the fair values of its derivatives based on quoted market prices or pricing models using current market rates.</w:t>
      </w:r>
    </w:p>
    <w:p>
      <w:pPr>
        <w:spacing w:after="0" w:line="14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4"/>
          <w:szCs w:val="14"/>
          <w:color w:val="auto"/>
        </w:rPr>
        <w:t>The notional amounts of the derivative financial instruments do not necessarily represent amounts exchanged by the parties and, therefore, are not a direct measure of our exposure to the financial risks described above. The amounts exchanged are calculated by reference to the notional amounts and by other terms of the derivatives, such as interest rates, foreign currency exchange rates, commodity rates or other financial indices. The Company's derivatives are straightforward over-the-counter instruments with liquid markets.</w:t>
      </w:r>
    </w:p>
    <w:p>
      <w:pPr>
        <w:spacing w:after="0" w:line="136"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4"/>
          <w:szCs w:val="14"/>
          <w:color w:val="auto"/>
        </w:rPr>
        <w:t>The Company regularly evaluates the carrying value of its investments and during the first quarter of 2019, determined that the fair value of its telematics investment was below cost and recorded an impairment of the investment of $15.7 million based on observable price changes. Since initial date of investments, the Company has recorded cumulative impairment losses of $136.3 million.</w:t>
      </w:r>
    </w:p>
    <w:p>
      <w:pPr>
        <w:spacing w:after="0" w:line="12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quarterly basis. These are each Level 2 fair value measurements, except for cash, which is a Level 1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Stockholders' Equity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Board of Directors has approved a stock repurchase program (the "Program") under which the Company may purchase up to an aggregate of $2.1 billion of its common stock over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18 month period. The Program was updated most recently on January 23, 2019, the Company's Board of Directors, with an authorized increase in the size of the program by 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$500 million. With the increase and giving effect to the Company's $1.6 billion of previous repurchases, the Company may repurchase up to $545 million in shares of its common stock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time prior to February 1, 2020.</w:t>
      </w:r>
    </w:p>
    <w:p>
      <w:pPr>
        <w:spacing w:after="0" w:line="170"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4"/>
          <w:szCs w:val="14"/>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On December 14, 2018, as part of the Program, the Company entered an accelerated stock repurchase agreement ("2018 ASR Agreement") with a third-party financial institution to repurchase $220 million of its common stock. Pursuant to the 2018 ASR Agreement, the Company delivered $220 million in cash and received 1,057,035 shares based on a stock price of $176.91 on December 14, 2018. The 2018 ASR Agreement was completed on January 29, 2019, at which time the Company received 117,751 additional shares based on a final weighted average per share purchase price during the repurchase period of $187.27.</w:t>
      </w:r>
    </w:p>
    <w:p>
      <w:pPr>
        <w:spacing w:after="0" w:line="14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4"/>
          <w:szCs w:val="14"/>
          <w:color w:val="auto"/>
        </w:rPr>
        <w:t>The Company accounted for the ASR Agreement as two separate transactions: (i) as shares of reacquired common stock for the shares delivered to the Company upon effectiveness of each ASR agreement and (ii) as a forward contract indexed to the Company's common stock for the undelivered shares. The initial delivery of shares was included in treasury stock at cost and results in an immediate reduction of the outstanding shares used to calculate the weighted average common shares outstanding for basic and diluted earnings per share. The forward contracts indexed to the Company's own common stock met the criteria for equity classification, and these amounts were initially recorded in additional paid-in capital.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the beginning of the Program, 9,052,163 shares for an aggregate purchase price of $1.6 billion have been repurchased.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Stock-Based Compensation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40"/>
          </w:cols>
          <w:pgMar w:left="220" w:top="125"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Stock Incentive Plans (the Plans) pursuant to which the Company’s board of directors may grant stock options or restricted stock to employees.</w:t>
      </w:r>
    </w:p>
    <w:p>
      <w:pPr>
        <w:spacing w:after="0" w:line="1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February 7, 2018, the stockholders of the Company approved the FleetCor Technologies, Inc. Amended and Restated 2010 Equity Incentive Plan (the "Amended Plan") which was authorized and approved by the Company's Board of Directors on December 20, 2017. The Amended Plan amends the Company’s existing 2010 Equity Incentive Plan (as amended, the "Prior Plan") to, among other things, increase the number of shares of common stock available for issuance from 13,250,000 to 16,750,000 and make certain other amendments to the Prior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the expense related to share-based payments recognized in the three months ended March 31 (in thousands):</w:t>
      </w:r>
    </w:p>
    <w:p>
      <w:pPr>
        <w:spacing w:after="0" w:line="154"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24765</wp:posOffset>
            </wp:positionV>
            <wp:extent cx="19437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3735" cy="6985"/>
                    </a:xfrm>
                    <a:prstGeom prst="rect">
                      <a:avLst/>
                    </a:prstGeom>
                    <a:noFill/>
                  </pic:spPr>
                </pic:pic>
              </a:graphicData>
            </a:graphic>
          </wp:anchor>
        </w:drawing>
      </w:r>
    </w:p>
    <w:p>
      <w:pPr>
        <w:spacing w:after="0" w:line="86" w:lineRule="exact"/>
        <w:rPr>
          <w:sz w:val="20"/>
          <w:szCs w:val="20"/>
          <w:color w:val="auto"/>
        </w:rPr>
      </w:pPr>
    </w:p>
    <w:tbl>
      <w:tblPr>
        <w:tblLayout w:type="fixed"/>
        <w:tblInd w:w="2040" w:type="dxa"/>
        <w:tblCellMar>
          <w:top w:w="0" w:type="dxa"/>
          <w:left w:w="0" w:type="dxa"/>
          <w:bottom w:w="0" w:type="dxa"/>
          <w:right w:w="0" w:type="dxa"/>
        </w:tblCellMar>
      </w:tblPr>
      <w:tr>
        <w:trPr>
          <w:trHeight w:val="155"/>
        </w:trPr>
        <w:tc>
          <w:tcPr>
            <w:tcW w:w="43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2019</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94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10,165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10,699</w:t>
            </w:r>
          </w:p>
        </w:tc>
      </w:tr>
      <w:tr>
        <w:trPr>
          <w:trHeight w:val="19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w:t>
            </w: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12,541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benefits recorded on stock based compensation were $9.9 million and $8.1 million for the three months ended March 31, 2019 and 2018,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total unrecognized compensation cost related to stock-based compensation as of March 31, 2019 (cost in thousands):</w:t>
      </w:r>
    </w:p>
    <w:p>
      <w:pPr>
        <w:spacing w:after="0" w:line="143"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r>
      <w:tr>
        <w:trPr>
          <w:trHeight w:val="162"/>
        </w:trPr>
        <w:tc>
          <w:tcPr>
            <w:tcW w:w="4340" w:type="dxa"/>
            <w:vAlign w:val="bottom"/>
          </w:tcPr>
          <w:p>
            <w:pPr>
              <w:spacing w:after="0"/>
              <w:rPr>
                <w:sz w:val="14"/>
                <w:szCs w:val="14"/>
                <w:color w:val="auto"/>
              </w:rPr>
            </w:pPr>
          </w:p>
        </w:tc>
        <w:tc>
          <w:tcPr>
            <w:tcW w:w="1500" w:type="dxa"/>
            <w:vAlign w:val="bottom"/>
          </w:tcPr>
          <w:p>
            <w:pPr>
              <w:jc w:val="center"/>
              <w:ind w:left="472"/>
              <w:spacing w:after="0"/>
              <w:rPr>
                <w:sz w:val="20"/>
                <w:szCs w:val="20"/>
                <w:color w:val="auto"/>
              </w:rPr>
            </w:pPr>
            <w:r>
              <w:rPr>
                <w:rFonts w:ascii="Times New Roman" w:cs="Times New Roman" w:eastAsia="Times New Roman" w:hAnsi="Times New Roman"/>
                <w:sz w:val="13"/>
                <w:szCs w:val="13"/>
                <w:b w:val="1"/>
                <w:bCs w:val="1"/>
                <w:color w:val="auto"/>
                <w:w w:val="99"/>
              </w:rPr>
              <w:t>Unrecognized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Period of Expense</w:t>
            </w:r>
          </w:p>
        </w:tc>
      </w:tr>
      <w:tr>
        <w:trPr>
          <w:trHeight w:val="162"/>
        </w:trPr>
        <w:tc>
          <w:tcPr>
            <w:tcW w:w="4340" w:type="dxa"/>
            <w:vAlign w:val="bottom"/>
          </w:tcPr>
          <w:p>
            <w:pPr>
              <w:spacing w:after="0"/>
              <w:rPr>
                <w:sz w:val="14"/>
                <w:szCs w:val="14"/>
                <w:color w:val="auto"/>
              </w:rPr>
            </w:pPr>
          </w:p>
        </w:tc>
        <w:tc>
          <w:tcPr>
            <w:tcW w:w="1500" w:type="dxa"/>
            <w:vAlign w:val="bottom"/>
          </w:tcPr>
          <w:p>
            <w:pPr>
              <w:jc w:val="center"/>
              <w:ind w:left="472"/>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Recognition</w:t>
            </w:r>
          </w:p>
        </w:tc>
      </w:tr>
      <w:tr>
        <w:trPr>
          <w:trHeight w:val="169"/>
        </w:trPr>
        <w:tc>
          <w:tcPr>
            <w:tcW w:w="4340" w:type="dxa"/>
            <w:vAlign w:val="bottom"/>
          </w:tcPr>
          <w:p>
            <w:pPr>
              <w:spacing w:after="0"/>
              <w:rPr>
                <w:sz w:val="14"/>
                <w:szCs w:val="14"/>
                <w:color w:val="auto"/>
              </w:rPr>
            </w:pPr>
          </w:p>
        </w:tc>
        <w:tc>
          <w:tcPr>
            <w:tcW w:w="1500" w:type="dxa"/>
            <w:vAlign w:val="bottom"/>
          </w:tcPr>
          <w:p>
            <w:pPr>
              <w:jc w:val="center"/>
              <w:ind w:left="472"/>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Years)</w:t>
            </w:r>
          </w:p>
        </w:tc>
      </w:tr>
      <w:tr>
        <w:trPr>
          <w:trHeight w:val="27"/>
        </w:trPr>
        <w:tc>
          <w:tcPr>
            <w:tcW w:w="4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8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500" w:type="dxa"/>
            <w:vAlign w:val="bottom"/>
            <w:tcBorders>
              <w:bottom w:val="single" w:sz="8" w:color="CCEEFF"/>
            </w:tcBorders>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53,415</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3"/>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w:t>
            </w:r>
          </w:p>
        </w:tc>
        <w:tc>
          <w:tcPr>
            <w:tcW w:w="15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11,967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r>
      <w:tr>
        <w:trPr>
          <w:trHeight w:val="211"/>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CCEEFF"/>
            </w:tcBorders>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65,382</w:t>
            </w:r>
          </w:p>
        </w:tc>
        <w:tc>
          <w:tcPr>
            <w:tcW w:w="8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00"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4"/>
          <w:szCs w:val="14"/>
          <w:color w:val="auto"/>
        </w:rPr>
        <w:t>Stock options are granted with an exercise price estimated to be equal to the fair market value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changes in the number of shares of common stock under option for the three months ended March 31, 2019 (shares/options and aggregate intrinsic value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0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Average Fair</w:t>
            </w:r>
          </w:p>
        </w:tc>
        <w:tc>
          <w:tcPr>
            <w:tcW w:w="10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10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Price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6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at End of</w:t>
            </w: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Exercisable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Granted</w:t>
            </w: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6"/>
              </w:rPr>
              <w:t>Intrinsic</w:t>
            </w:r>
          </w:p>
        </w:tc>
      </w:tr>
      <w:tr>
        <w:trPr>
          <w:trHeight w:val="169"/>
        </w:trPr>
        <w:tc>
          <w:tcPr>
            <w:tcW w:w="344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04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During the Period</w:t>
            </w:r>
          </w:p>
        </w:tc>
        <w:tc>
          <w:tcPr>
            <w:tcW w:w="10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2"/>
              </w:rPr>
              <w:t>Value</w:t>
            </w:r>
          </w:p>
        </w:tc>
      </w:tr>
      <w:tr>
        <w:trPr>
          <w:trHeight w:val="27"/>
        </w:trPr>
        <w:tc>
          <w:tcPr>
            <w:tcW w:w="3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7,616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117.58</w:t>
            </w:r>
          </w:p>
        </w:tc>
        <w:tc>
          <w:tcPr>
            <w:tcW w:w="150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5,174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98.39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518,954</w:t>
            </w:r>
          </w:p>
        </w:tc>
      </w:tr>
      <w:tr>
        <w:trPr>
          <w:trHeight w:val="193"/>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Granted</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255.47</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56.47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3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Exercised</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107.15</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38,752</w:t>
            </w:r>
          </w:p>
        </w:tc>
      </w:tr>
      <w:tr>
        <w:trPr>
          <w:trHeight w:val="193"/>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153.37</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2019</w:t>
            </w: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7,460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119.91</w:t>
            </w:r>
          </w:p>
        </w:tc>
        <w:tc>
          <w:tcPr>
            <w:tcW w:w="1500" w:type="dxa"/>
            <w:vAlign w:val="bottom"/>
            <w:tcBorders>
              <w:bottom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4,987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98.80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945,049</w:t>
            </w:r>
          </w:p>
        </w:tc>
      </w:tr>
      <w:tr>
        <w:trPr>
          <w:trHeight w:val="20"/>
        </w:trPr>
        <w:tc>
          <w:tcPr>
            <w:tcW w:w="3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to vest as of March 31, 2019</w:t>
            </w: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2,473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162.48</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right="100"/>
        <w:spacing w:after="0" w:line="294" w:lineRule="auto"/>
        <w:rPr>
          <w:sz w:val="20"/>
          <w:szCs w:val="20"/>
          <w:color w:val="auto"/>
        </w:rPr>
      </w:pPr>
      <w:r>
        <w:rPr>
          <w:rFonts w:ascii="Times New Roman" w:cs="Times New Roman" w:eastAsia="Times New Roman" w:hAnsi="Times New Roman"/>
          <w:sz w:val="14"/>
          <w:szCs w:val="14"/>
          <w:color w:val="auto"/>
        </w:rPr>
        <w:t>The aggregate intrinsic value of stock options exercisable at March 31, 2019 was $737.0 million. The weighted average remaining contractual term of options exercisable at March 31, 2019 was 5.1 years.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40"/>
          </w:cols>
          <w:pgMar w:left="220" w:top="125"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8"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4"/>
          <w:szCs w:val="14"/>
          <w:color w:val="auto"/>
        </w:rPr>
        <w:t>The fair value of stock option awards granted was estimated using the Black-Scholes option pricing model with the following weighted-average assumptions for grants or modifications during the three months ended March 31, 2019 and 2018:</w:t>
      </w:r>
    </w:p>
    <w:p>
      <w:pPr>
        <w:spacing w:after="0" w:line="93" w:lineRule="exact"/>
        <w:rPr>
          <w:sz w:val="20"/>
          <w:szCs w:val="20"/>
          <w:color w:val="auto"/>
        </w:rPr>
      </w:pPr>
    </w:p>
    <w:tbl>
      <w:tblPr>
        <w:tblLayout w:type="fixed"/>
        <w:tblInd w:w="206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tcPr>
          <w:p>
            <w:pPr>
              <w:spacing w:after="0"/>
              <w:rPr>
                <w:sz w:val="14"/>
                <w:szCs w:val="14"/>
                <w:color w:val="auto"/>
              </w:rPr>
            </w:pPr>
          </w:p>
        </w:tc>
      </w:tr>
      <w:tr>
        <w:trPr>
          <w:trHeight w:val="27"/>
        </w:trPr>
        <w:tc>
          <w:tcPr>
            <w:tcW w:w="4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5080" w:type="dxa"/>
            <w:vAlign w:val="bottom"/>
            <w:gridSpan w:val="2"/>
          </w:tcPr>
          <w:p>
            <w:pPr>
              <w:ind w:left="47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7"/>
        </w:trPr>
        <w:tc>
          <w:tcPr>
            <w:tcW w:w="4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9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1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r>
      <w:tr>
        <w:trPr>
          <w:trHeight w:val="19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w:t>
      </w:r>
    </w:p>
    <w:p>
      <w:pPr>
        <w:spacing w:after="0" w:line="100"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4"/>
          <w:szCs w:val="14"/>
          <w:color w:val="auto"/>
        </w:rPr>
        <w:t>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vesting based on the passage of time have vesting provisions of one to three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changes in the number of shares of restricted stock and restricted stock units for the three months ended March 31, 2019 (shares in thousands):</w:t>
      </w:r>
    </w:p>
    <w:p>
      <w:pPr>
        <w:spacing w:after="0" w:line="154" w:lineRule="exact"/>
        <w:rPr>
          <w:sz w:val="20"/>
          <w:szCs w:val="20"/>
          <w:color w:val="auto"/>
        </w:rPr>
      </w:pPr>
    </w:p>
    <w:tbl>
      <w:tblPr>
        <w:tblLayout w:type="fixed"/>
        <w:tblInd w:w="16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7"/>
              </w:rPr>
              <w:t>Weighted</w:t>
            </w:r>
          </w:p>
        </w:tc>
      </w:tr>
      <w:tr>
        <w:trPr>
          <w:trHeight w:val="162"/>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311"/>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62"/>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311"/>
              <w:spacing w:after="0"/>
              <w:rPr>
                <w:sz w:val="20"/>
                <w:szCs w:val="20"/>
                <w:color w:val="auto"/>
              </w:rPr>
            </w:pPr>
            <w:r>
              <w:rPr>
                <w:rFonts w:ascii="Times New Roman" w:cs="Times New Roman" w:eastAsia="Times New Roman" w:hAnsi="Times New Roman"/>
                <w:sz w:val="13"/>
                <w:szCs w:val="13"/>
                <w:b w:val="1"/>
                <w:bCs w:val="1"/>
                <w:color w:val="auto"/>
                <w:w w:val="98"/>
              </w:rPr>
              <w:t>Grant Date</w:t>
            </w:r>
          </w:p>
        </w:tc>
      </w:tr>
      <w:tr>
        <w:trPr>
          <w:trHeight w:val="169"/>
        </w:trPr>
        <w:tc>
          <w:tcPr>
            <w:tcW w:w="4300" w:type="dxa"/>
            <w:vAlign w:val="bottom"/>
          </w:tcPr>
          <w:p>
            <w:pPr>
              <w:spacing w:after="0"/>
              <w:rPr>
                <w:sz w:val="14"/>
                <w:szCs w:val="14"/>
                <w:color w:val="auto"/>
              </w:rPr>
            </w:pPr>
          </w:p>
        </w:tc>
        <w:tc>
          <w:tcPr>
            <w:tcW w:w="132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311"/>
              <w:spacing w:after="0"/>
              <w:rPr>
                <w:sz w:val="20"/>
                <w:szCs w:val="20"/>
                <w:color w:val="auto"/>
              </w:rPr>
            </w:pPr>
            <w:r>
              <w:rPr>
                <w:rFonts w:ascii="Times New Roman" w:cs="Times New Roman" w:eastAsia="Times New Roman" w:hAnsi="Times New Roman"/>
                <w:sz w:val="13"/>
                <w:szCs w:val="13"/>
                <w:b w:val="1"/>
                <w:bCs w:val="1"/>
                <w:color w:val="auto"/>
                <w:w w:val="97"/>
              </w:rPr>
              <w:t>Fair Value</w:t>
            </w:r>
          </w:p>
        </w:tc>
      </w:tr>
      <w:tr>
        <w:trPr>
          <w:trHeight w:val="27"/>
        </w:trPr>
        <w:tc>
          <w:tcPr>
            <w:tcW w:w="4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13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190.73</w:t>
            </w:r>
          </w:p>
        </w:tc>
      </w:tr>
      <w:tr>
        <w:trPr>
          <w:trHeight w:val="193"/>
        </w:trPr>
        <w:tc>
          <w:tcPr>
            <w:tcW w:w="5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228.53</w:t>
            </w:r>
          </w:p>
        </w:tc>
      </w:tr>
      <w:tr>
        <w:trPr>
          <w:trHeight w:val="23"/>
        </w:trPr>
        <w:tc>
          <w:tcPr>
            <w:tcW w:w="4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201.05</w:t>
            </w:r>
          </w:p>
        </w:tc>
      </w:tr>
      <w:tr>
        <w:trPr>
          <w:trHeight w:val="193"/>
        </w:trPr>
        <w:tc>
          <w:tcPr>
            <w:tcW w:w="5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Canceled or 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209.43</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1"/>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2019</w:t>
            </w:r>
          </w:p>
        </w:tc>
        <w:tc>
          <w:tcPr>
            <w:tcW w:w="13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216.03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380" w:firstLine="6"/>
        <w:spacing w:after="0" w:line="451" w:lineRule="auto"/>
        <w:tabs>
          <w:tab w:leader="none" w:pos="144"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2018 Acquisitions</w:t>
      </w:r>
    </w:p>
    <w:p>
      <w:pPr>
        <w:spacing w:after="0" w:line="275" w:lineRule="auto"/>
        <w:rPr>
          <w:sz w:val="20"/>
          <w:szCs w:val="20"/>
          <w:color w:val="auto"/>
        </w:rPr>
      </w:pPr>
      <w:r>
        <w:rPr>
          <w:rFonts w:ascii="Times New Roman" w:cs="Times New Roman" w:eastAsia="Times New Roman" w:hAnsi="Times New Roman"/>
          <w:sz w:val="14"/>
          <w:szCs w:val="14"/>
          <w:color w:val="auto"/>
        </w:rPr>
        <w:t>On December 27, 2018, the Company completed an acquisition of an online gift card solution provider with an aggregate purchase price of $17.0 million, net of cash acquired of $11.0 million and made deferred payments of $3.9 million related to acquisitions occurring in prior years. The accounting for this acquisition is preliminary as the Company is still completing the valuation of goodwill, intangible assets, income taxes and evaluation of acquired contingencies. The following table summarizes the preliminary acquisition accounting for the acquisition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receivables</w:t>
            </w:r>
          </w:p>
        </w:tc>
        <w:tc>
          <w:tcPr>
            <w:tcW w:w="31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19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 term assets</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9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18,896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 and other identifiable intangible assets</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9,170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19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purchase price</w:t>
            </w:r>
          </w:p>
        </w:tc>
        <w:tc>
          <w:tcPr>
            <w:tcW w:w="28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580" w:type="dxa"/>
            <w:vAlign w:val="bottom"/>
            <w:gridSpan w:val="6"/>
          </w:tcPr>
          <w:p>
            <w:pPr>
              <w:jc w:val="right"/>
              <w:ind w:right="848"/>
              <w:spacing w:after="0"/>
              <w:rPr>
                <w:sz w:val="20"/>
                <w:szCs w:val="20"/>
                <w:color w:val="auto"/>
              </w:rPr>
            </w:pPr>
            <w:r>
              <w:rPr>
                <w:rFonts w:ascii="Times New Roman" w:cs="Times New Roman" w:eastAsia="Times New Roman" w:hAnsi="Times New Roman"/>
                <w:sz w:val="14"/>
                <w:szCs w:val="14"/>
                <w:color w:val="auto"/>
              </w:rPr>
              <w:t>The estimated fair value of intangible assets acquired and the related estimated useful lives consisted of the following (in thousands):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Useful Lives (in</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3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4040" w:type="dxa"/>
            <w:vAlign w:val="bottom"/>
            <w:tcBorders>
              <w:bottom w:val="single" w:sz="8" w:color="CCEEFF"/>
            </w:tcBorders>
            <w:gridSpan w:val="2"/>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other identifiable intangible assets</w:t>
            </w:r>
          </w:p>
        </w:tc>
        <w:tc>
          <w:tcPr>
            <w:tcW w:w="2840" w:type="dxa"/>
            <w:vAlign w:val="bottom"/>
            <w:tcBorders>
              <w:bottom w:val="single" w:sz="8" w:color="CCEEFF"/>
            </w:tcBorders>
            <w:gridSpan w:val="2"/>
            <w:shd w:val="clear" w:color="auto" w:fill="CCEEFF"/>
          </w:tcPr>
          <w:p>
            <w:pPr>
              <w:jc w:val="center"/>
              <w:ind w:left="2168"/>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9,170</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9,170</w:t>
            </w:r>
          </w:p>
        </w:tc>
        <w:tc>
          <w:tcPr>
            <w:tcW w:w="0" w:type="dxa"/>
            <w:vAlign w:val="bottom"/>
          </w:tcPr>
          <w:p>
            <w:pPr>
              <w:spacing w:after="0"/>
              <w:rPr>
                <w:sz w:val="1"/>
                <w:szCs w:val="1"/>
                <w:color w:val="auto"/>
              </w:rPr>
            </w:pPr>
          </w:p>
        </w:tc>
      </w:tr>
      <w:tr>
        <w:trPr>
          <w:trHeight w:val="23"/>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vMerge w:val="restart"/>
          </w:tcPr>
          <w:p>
            <w:pPr>
              <w:jc w:val="right"/>
              <w:ind w:right="1508"/>
              <w:spacing w:after="0"/>
              <w:rPr>
                <w:sz w:val="20"/>
                <w:szCs w:val="20"/>
                <w:color w:val="auto"/>
              </w:rPr>
            </w:pPr>
            <w:r>
              <w:rPr>
                <w:rFonts w:ascii="Times New Roman" w:cs="Times New Roman" w:eastAsia="Times New Roman" w:hAnsi="Times New Roman"/>
                <w:sz w:val="14"/>
                <w:szCs w:val="14"/>
                <w:color w:val="auto"/>
              </w:rPr>
              <w:t>15</w:t>
            </w: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color w:val="auto"/>
        </w:rPr>
        <w:t>During 2018, the Company acquired other assets of $4.2 million and payments on a seller note for a prior acquisition of $1.6 million. The Company financed the acquisitions using a combination of existing cash and borrowings under its existing credit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Goodwill and Other Intangible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changes in the Company’s goodwill by reportable business segment is as follows (in thousands):</w:t>
      </w:r>
    </w:p>
    <w:p>
      <w:pPr>
        <w:spacing w:after="0" w:line="154"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2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9"/>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00" w:type="dxa"/>
            <w:vAlign w:val="bottom"/>
          </w:tcPr>
          <w:p>
            <w:pPr>
              <w:spacing w:after="0"/>
              <w:rPr>
                <w:sz w:val="14"/>
                <w:szCs w:val="14"/>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March 31, 2019</w:t>
            </w: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3,087,875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2,711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4,574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3,095,160</w:t>
            </w:r>
          </w:p>
        </w:tc>
      </w:tr>
      <w:tr>
        <w:trPr>
          <w:trHeight w:val="23"/>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1,454,199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1,453,939</w:t>
            </w:r>
          </w:p>
        </w:tc>
      </w:tr>
      <w:tr>
        <w:trPr>
          <w:trHeight w:val="184"/>
        </w:trPr>
        <w:tc>
          <w:tcPr>
            <w:tcW w:w="28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4,542,074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2,711</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4,314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4,549,099</w:t>
            </w:r>
          </w:p>
        </w:tc>
      </w:tr>
      <w:tr>
        <w:trPr>
          <w:trHeight w:val="23"/>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2019 and December 31, 2018, other intangible assets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December 31, 2018</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Avg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Useful</w:t>
            </w: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Lives</w:t>
            </w: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2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4"/>
                <w:szCs w:val="14"/>
                <w:color w:val="auto"/>
              </w:rPr>
            </w:pPr>
          </w:p>
        </w:tc>
        <w:tc>
          <w:tcPr>
            <w:tcW w:w="92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2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200" w:type="dxa"/>
            <w:vAlign w:val="bottom"/>
          </w:tcPr>
          <w:p>
            <w:pPr>
              <w:spacing w:after="0"/>
              <w:rPr>
                <w:sz w:val="14"/>
                <w:szCs w:val="14"/>
                <w:color w:val="auto"/>
              </w:rPr>
            </w:pPr>
          </w:p>
        </w:tc>
        <w:tc>
          <w:tcPr>
            <w:tcW w:w="92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Customer and vendor</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relationships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2,620,473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(818,268)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1,802,205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2,625,270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(776,383)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1,848,887</w:t>
            </w:r>
          </w:p>
        </w:tc>
        <w:tc>
          <w:tcPr>
            <w:tcW w:w="0" w:type="dxa"/>
            <w:vAlign w:val="bottom"/>
          </w:tcPr>
          <w:p>
            <w:pPr>
              <w:spacing w:after="0"/>
              <w:rPr>
                <w:sz w:val="1"/>
                <w:szCs w:val="1"/>
                <w:color w:val="auto"/>
              </w:rPr>
            </w:pPr>
          </w:p>
        </w:tc>
      </w:tr>
      <w:tr>
        <w:trPr>
          <w:trHeight w:val="179"/>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names and trademarks—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indefinite lived</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479,421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479,421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479,555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479,555</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 and trademarks—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4,959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2,382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2,957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213,601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54,110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212,733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60,317</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47,971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17,521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47,009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18,695</w:t>
            </w: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intangibles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3,366,425</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(1,010,786)</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2,355,639</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3,367,524</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(959,614)</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2,407,910</w:t>
            </w: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4"/>
          <w:szCs w:val="14"/>
          <w:color w:val="auto"/>
        </w:rPr>
        <w:t>Changes in foreign exchange rates resulted in a $4.3 million increase to the carrying values of other intangible assets in the three months ended March 31, 2019. Amortization expense related to intangible assets for the three months ended March 31, 2019 and 2018 was $51.2 million and $57.8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Debt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debt instruments consist primarily of term notes, revolving lines of credit and a Securitization Facility as follows (in thousands):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tbl>
      <w:tblPr>
        <w:tblLayout w:type="fixed"/>
        <w:tblInd w:w="134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240" w:type="dxa"/>
            <w:vAlign w:val="bottom"/>
          </w:tcPr>
          <w:p>
            <w:pPr>
              <w:spacing w:after="0"/>
              <w:rPr>
                <w:sz w:val="14"/>
                <w:szCs w:val="14"/>
                <w:color w:val="auto"/>
              </w:rPr>
            </w:pPr>
          </w:p>
        </w:tc>
        <w:tc>
          <w:tcPr>
            <w:tcW w:w="162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December 31, 2018</w:t>
            </w: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A note payable (a), net of discounts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2,484,495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2,515,519</w:t>
            </w: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 note payable (a), net of discounts</w:t>
            </w:r>
          </w:p>
        </w:tc>
        <w:tc>
          <w:tcPr>
            <w:tcW w:w="30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343,319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344,180</w:t>
            </w:r>
          </w:p>
        </w:tc>
      </w:tr>
      <w:tr>
        <w:trPr>
          <w:trHeight w:val="23"/>
        </w:trPr>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 A Facility(a)</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490,000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655,000</w:t>
            </w: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 of credit B Facility(a)</w:t>
            </w:r>
          </w:p>
        </w:tc>
        <w:tc>
          <w:tcPr>
            <w:tcW w:w="30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159,922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345,446</w:t>
            </w:r>
          </w:p>
        </w:tc>
      </w:tr>
      <w:tr>
        <w:trPr>
          <w:trHeight w:val="23"/>
        </w:trPr>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 C Facility(a)</w:t>
            </w:r>
          </w:p>
        </w:tc>
        <w:tc>
          <w:tcPr>
            <w:tcW w:w="3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35,000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35,000</w:t>
            </w: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 of credit B Facility - foreign swing line (a)</w:t>
            </w:r>
          </w:p>
        </w:tc>
        <w:tc>
          <w:tcPr>
            <w:tcW w:w="30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30,749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debt(c)</w:t>
            </w: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30,084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37,902</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notes payable and other obligations</w:t>
            </w:r>
          </w:p>
        </w:tc>
        <w:tc>
          <w:tcPr>
            <w:tcW w:w="3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3,573,569</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3,933,047</w:t>
            </w:r>
          </w:p>
        </w:tc>
      </w:tr>
      <w:tr>
        <w:trPr>
          <w:trHeight w:val="23"/>
        </w:trPr>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Securitization Facility(b)</w:t>
            </w:r>
          </w:p>
        </w:tc>
        <w:tc>
          <w:tcPr>
            <w:tcW w:w="3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942,000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886,000</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notes payable, credit agreements and Securitization Facility</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4,515,569</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4,819,047</w:t>
            </w:r>
          </w:p>
        </w:tc>
      </w:tr>
      <w:tr>
        <w:trPr>
          <w:trHeight w:val="63"/>
        </w:trPr>
        <w:tc>
          <w:tcPr>
            <w:tcW w:w="49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168"/>
        </w:trPr>
        <w:tc>
          <w:tcPr>
            <w:tcW w:w="49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Current portion</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1,807,318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2,070,616</w:t>
            </w:r>
          </w:p>
        </w:tc>
      </w:tr>
      <w:tr>
        <w:trPr>
          <w:trHeight w:val="19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portion</w:t>
            </w:r>
          </w:p>
        </w:tc>
        <w:tc>
          <w:tcPr>
            <w:tcW w:w="30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2,708,251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2,748,431</w:t>
            </w:r>
          </w:p>
        </w:tc>
      </w:tr>
      <w:tr>
        <w:trPr>
          <w:trHeight w:val="23"/>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notes payable, credit agreements and Securitization Facility</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4,515,569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4,819,047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10" w:lineRule="exact"/>
        <w:rPr>
          <w:sz w:val="20"/>
          <w:szCs w:val="20"/>
          <w:color w:val="auto"/>
        </w:rPr>
      </w:pPr>
    </w:p>
    <w:p>
      <w:pPr>
        <w:ind w:left="440" w:hanging="261"/>
        <w:spacing w:after="0" w:line="259" w:lineRule="auto"/>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 Credit Agreement and provides for senior secured credit facilities consisting of a revolving credit facility in the amount of $1.285 billion, a term loan A facility in the amount of $2.525 billion and a term loan B facility in the amount of $350 million as of March 31, 2019. The revolving credit facility consists of (a) a revolving A credit facility in the amount of $800 million, with sublimits for letters of credit and swing line loans, (b) a revolving B facility in the amount of $450 million with borrowings in U.S. Dollars, Euros, British Pounds, Japanese Yen or other currency as agreed in advance, and a sublimit for swing line loans, and (c) a revolving C facility in the amount of $35 million for borrowings in U.S. Dollars, Australian Dollars or New Zealand Dollars. The Credit Agreement also includes an accordion feature for borrowing an additional $750 million in term A, term B, revolver A or revolver B debt. Proceeds from the credit facilities may be used for working capital purposes, acquisitions, and other general corporate purposes. The maturity date for the term A loan and revolving credit facilities</w:t>
      </w:r>
    </w:p>
    <w:p>
      <w:pPr>
        <w:spacing w:after="0" w:line="2"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December 19, 2023. The maturity date for the term B loan is August 2, 2024.</w:t>
      </w:r>
    </w:p>
    <w:p>
      <w:pPr>
        <w:spacing w:after="0" w:line="84" w:lineRule="exact"/>
        <w:rPr>
          <w:rFonts w:ascii="Times New Roman" w:cs="Times New Roman" w:eastAsia="Times New Roman" w:hAnsi="Times New Roman"/>
          <w:sz w:val="14"/>
          <w:szCs w:val="14"/>
          <w:color w:val="auto"/>
        </w:rPr>
      </w:pPr>
    </w:p>
    <w:p>
      <w:pPr>
        <w:ind w:left="440" w:right="16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Interest on the term B loan facility accrues based on the Eurocurrency Rate plus 2.00% for Eurocurrency Loans or the Base Rate plus 1.00% for Base Rate Loans. In addition, the Company pays a quarterly commitment fee at a rate per annum ranging from 0.20% to 0.40% of the daily unused portion of the credit facility.</w:t>
      </w:r>
    </w:p>
    <w:p>
      <w:pPr>
        <w:spacing w:after="0" w:line="5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2019, the interest rate on the term A loan and the revolving A facility was 4.00%, the interest rate on the the revolving B facility U.S. Dollar borrowings ($70 million) was</w:t>
      </w:r>
    </w:p>
    <w:p>
      <w:pPr>
        <w:spacing w:after="0" w:line="25" w:lineRule="exact"/>
        <w:rPr>
          <w:rFonts w:ascii="Times New Roman" w:cs="Times New Roman" w:eastAsia="Times New Roman" w:hAnsi="Times New Roman"/>
          <w:sz w:val="14"/>
          <w:szCs w:val="14"/>
          <w:color w:val="auto"/>
        </w:rPr>
      </w:pPr>
    </w:p>
    <w:p>
      <w:pPr>
        <w:ind w:left="440" w:right="28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3.99%, the interest rate on the revolving B facility British Pounds borrowings ($90 million) was 2.23%, the interest rate on the term B loan was 4.50%, the interest rate on the revolving C facility was 4.00% and the interest rate on the foreign swing line loan was 2.17%. The unused credit facility fee was 0.30% for all revolving facilities at March 31, 2019.</w:t>
      </w:r>
    </w:p>
    <w:p>
      <w:pPr>
        <w:spacing w:after="0" w:line="49" w:lineRule="exact"/>
        <w:rPr>
          <w:rFonts w:ascii="Times New Roman" w:cs="Times New Roman" w:eastAsia="Times New Roman" w:hAnsi="Times New Roman"/>
          <w:sz w:val="14"/>
          <w:szCs w:val="14"/>
          <w:color w:val="auto"/>
        </w:rPr>
      </w:pPr>
    </w:p>
    <w:p>
      <w:pPr>
        <w:ind w:left="440" w:right="20" w:hanging="261"/>
        <w:spacing w:after="0" w:line="275" w:lineRule="auto"/>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party to a $1.2 billion receivables purchase agreement (Securitization Facility) that was amended on February 8, 2019 and April 22, 2019. There is a program fee equal to one month LIBOR plus 0.90% or the Commercial Paper Rate plus 0.80%. The program fee was 2.53% plus 0.88% as of March 31, 2019 and 2.52% plus 0.89% as of December 31, 2018. The unused facility fee is payable at a rate of 0.40% per annum as of March 31, 2019 and December 31, 2018.</w:t>
      </w:r>
    </w:p>
    <w:p>
      <w:pPr>
        <w:spacing w:after="0" w:line="50" w:lineRule="exact"/>
        <w:rPr>
          <w:rFonts w:ascii="Times New Roman" w:cs="Times New Roman" w:eastAsia="Times New Roman" w:hAnsi="Times New Roman"/>
          <w:sz w:val="14"/>
          <w:szCs w:val="14"/>
          <w:color w:val="auto"/>
        </w:rPr>
      </w:pPr>
    </w:p>
    <w:p>
      <w:pPr>
        <w:ind w:left="440" w:hanging="261"/>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includes the long-term portion of deferred payments associated with business acquisitions.</w:t>
      </w:r>
    </w:p>
    <w:p>
      <w:pPr>
        <w:spacing w:after="0" w:line="184"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4"/>
          <w:szCs w:val="14"/>
          <w:color w:val="auto"/>
        </w:rPr>
        <w:t>The Company was in compliance with all financial and non-financial covenants at March 31, 2019. The Company has entered into interest rate swap cash flow contracts with U.S. dollar notional amounts in order to reduce the variability of cash flows in the previously unhedged interest payments associated with $2.0 billion of variable rate debt. Refer to Footnote 14 for further details.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40"/>
          </w:cols>
          <w:pgMar w:left="220" w:top="125"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Our tax provision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 Our quarterly tax provision and our quarterly estimate of our annual effective tax rate, are subject to variation due to several factors, including variability in accurately predicting our pre-tax and taxable income and loss and the mix of jurisdictions to which they relate.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86"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4"/>
          <w:szCs w:val="14"/>
          <w:color w:val="auto"/>
        </w:rPr>
        <w:t>The provision for income taxes differs from amounts computed by applying the U.S. federal tax rate of 21% for 2019 and 2018 to income before income taxes for the three months ended March 31, 2019 and 2018 due to the following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3"/>
          </w:tcPr>
          <w:p>
            <w:pPr>
              <w:jc w:val="right"/>
              <w:ind w:right="1248"/>
              <w:spacing w:after="0"/>
              <w:rPr>
                <w:sz w:val="20"/>
                <w:szCs w:val="20"/>
                <w:color w:val="auto"/>
              </w:rPr>
            </w:pPr>
            <w:r>
              <w:rPr>
                <w:rFonts w:ascii="Times New Roman" w:cs="Times New Roman" w:eastAsia="Times New Roman" w:hAnsi="Times New Roman"/>
                <w:sz w:val="13"/>
                <w:szCs w:val="13"/>
                <w:b w:val="1"/>
                <w:bCs w:val="1"/>
                <w:color w:val="auto"/>
                <w:w w:val="99"/>
              </w:rPr>
              <w:t>2018</w:t>
            </w:r>
          </w:p>
        </w:tc>
      </w:tr>
      <w:tr>
        <w:trPr>
          <w:trHeight w:val="27"/>
        </w:trPr>
        <w:tc>
          <w:tcPr>
            <w:tcW w:w="5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“expected” tax expense</w:t>
            </w: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48,141</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48,157</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resulting from:</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5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Foreign income tax differential</w:t>
            </w: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93"/>
        </w:trPr>
        <w:tc>
          <w:tcPr>
            <w:tcW w:w="5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Excess tax benefit related to stock-based compensation</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
        </w:trPr>
        <w:tc>
          <w:tcPr>
            <w:tcW w:w="5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State taxes net of federal benefits</w:t>
            </w: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3,551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93"/>
        </w:trPr>
        <w:tc>
          <w:tcPr>
            <w:tcW w:w="5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Foreign-sourced nontaxable income</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(6,588)</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3"/>
        </w:trPr>
        <w:tc>
          <w:tcPr>
            <w:tcW w:w="5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Foreign withholding</w:t>
            </w: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5,275</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93"/>
        </w:trPr>
        <w:tc>
          <w:tcPr>
            <w:tcW w:w="5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GILTI, net of foreign tax credits</w:t>
            </w:r>
          </w:p>
        </w:tc>
        <w:tc>
          <w:tcPr>
            <w:tcW w:w="48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2,433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3"/>
        </w:trPr>
        <w:tc>
          <w:tcPr>
            <w:tcW w:w="5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3,289</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3"/>
        </w:trPr>
        <w:tc>
          <w:tcPr>
            <w:tcW w:w="5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5,578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23"/>
        </w:trPr>
        <w:tc>
          <w:tcPr>
            <w:tcW w:w="5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1"/>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57,134</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54,382</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Earnings Per Share</w:t>
      </w:r>
    </w:p>
    <w:p>
      <w:pPr>
        <w:spacing w:after="0" w:line="10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months ended March 31 follows (in thousands, except per share data):</w:t>
      </w:r>
    </w:p>
    <w:p>
      <w:pPr>
        <w:spacing w:after="0" w:line="300"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24765</wp:posOffset>
            </wp:positionV>
            <wp:extent cx="19913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1360" cy="6985"/>
                    </a:xfrm>
                    <a:prstGeom prst="rect">
                      <a:avLst/>
                    </a:prstGeom>
                    <a:noFill/>
                  </pic:spPr>
                </pic:pic>
              </a:graphicData>
            </a:graphic>
          </wp:anchor>
        </w:drawing>
      </w:r>
    </w:p>
    <w:p>
      <w:pPr>
        <w:spacing w:after="0" w:line="49" w:lineRule="exact"/>
        <w:rPr>
          <w:sz w:val="20"/>
          <w:szCs w:val="20"/>
          <w:color w:val="auto"/>
        </w:rPr>
      </w:pPr>
    </w:p>
    <w:tbl>
      <w:tblPr>
        <w:tblLayout w:type="fixed"/>
        <w:tblInd w:w="186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172,107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174,937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 for basic earnings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85,941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89,765</w:t>
            </w:r>
          </w:p>
        </w:tc>
        <w:tc>
          <w:tcPr>
            <w:tcW w:w="0" w:type="dxa"/>
            <w:vAlign w:val="bottom"/>
          </w:tcPr>
          <w:p>
            <w:pPr>
              <w:spacing w:after="0"/>
              <w:rPr>
                <w:sz w:val="1"/>
                <w:szCs w:val="1"/>
                <w:color w:val="auto"/>
              </w:rPr>
            </w:pPr>
          </w:p>
        </w:tc>
      </w:tr>
      <w:tr>
        <w:trPr>
          <w:trHeight w:val="23"/>
        </w:trPr>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securities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184"/>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diluted earnings per share</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89,244</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93,250</w:t>
            </w:r>
          </w:p>
        </w:tc>
        <w:tc>
          <w:tcPr>
            <w:tcW w:w="0" w:type="dxa"/>
            <w:vAlign w:val="bottom"/>
          </w:tcPr>
          <w:p>
            <w:pPr>
              <w:spacing w:after="0"/>
              <w:rPr>
                <w:sz w:val="1"/>
                <w:szCs w:val="1"/>
                <w:color w:val="auto"/>
              </w:rPr>
            </w:pPr>
          </w:p>
        </w:tc>
      </w:tr>
      <w:tr>
        <w:trPr>
          <w:trHeight w:val="63"/>
        </w:trPr>
        <w:tc>
          <w:tcPr>
            <w:tcW w:w="46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62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Basic earnings per share</w:t>
            </w:r>
          </w:p>
        </w:tc>
        <w:tc>
          <w:tcPr>
            <w:tcW w:w="96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9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4"/>
          <w:szCs w:val="14"/>
          <w:color w:val="auto"/>
        </w:rPr>
        <w:t>Diluted earnings per share for the three months ended March 31, 2019 and 2018 excludes the effect of 0.1 million shares of common stock, for both periods, that may be issued upon the exercise of employee stock options because such effect would be anti-dilutive. Diluted earnings per share also excludes the effect of 0.1 million and 0.2 million shares of performance based restricted stock for which the performance criteria have not yet been achieved for the three month periods ended March 31,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Segments</w:t>
      </w:r>
    </w:p>
    <w:p>
      <w:pPr>
        <w:spacing w:after="0" w:line="100"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4"/>
          <w:szCs w:val="14"/>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There were no inter-segment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segment results are as follows for the three month periods ended March 31 (in thousands):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7"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24765</wp:posOffset>
            </wp:positionV>
            <wp:extent cx="19983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8345" cy="6985"/>
                    </a:xfrm>
                    <a:prstGeom prst="rect">
                      <a:avLst/>
                    </a:prstGeom>
                    <a:noFill/>
                  </pic:spPr>
                </pic:pic>
              </a:graphicData>
            </a:graphic>
          </wp:anchor>
        </w:drawing>
      </w:r>
    </w:p>
    <w:p>
      <w:pPr>
        <w:spacing w:after="0" w:line="86" w:lineRule="exact"/>
        <w:rPr>
          <w:sz w:val="20"/>
          <w:szCs w:val="20"/>
          <w:color w:val="auto"/>
        </w:rPr>
      </w:pPr>
    </w:p>
    <w:tbl>
      <w:tblPr>
        <w:tblLayout w:type="fixed"/>
        <w:tblInd w:w="2100" w:type="dxa"/>
        <w:tblCellMar>
          <w:top w:w="0" w:type="dxa"/>
          <w:left w:w="0" w:type="dxa"/>
          <w:bottom w:w="0" w:type="dxa"/>
          <w:right w:w="0" w:type="dxa"/>
        </w:tblCellMar>
      </w:tblPr>
      <w:tr>
        <w:trPr>
          <w:trHeight w:val="155"/>
        </w:trPr>
        <w:tc>
          <w:tcPr>
            <w:tcW w:w="4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net:</w:t>
            </w:r>
          </w:p>
        </w:tc>
        <w:tc>
          <w:tcPr>
            <w:tcW w:w="9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3"/>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North America</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396,899</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364,270</w:t>
            </w:r>
          </w:p>
        </w:tc>
      </w:tr>
      <w:tr>
        <w:trPr>
          <w:trHeight w:val="23"/>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4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224,926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221,230</w:t>
            </w:r>
          </w:p>
        </w:tc>
      </w:tr>
      <w:tr>
        <w:trPr>
          <w:trHeight w:val="184"/>
        </w:trPr>
        <w:tc>
          <w:tcPr>
            <w:tcW w:w="4120" w:type="dxa"/>
            <w:vAlign w:val="bottom"/>
          </w:tcPr>
          <w:p>
            <w:pPr>
              <w:spacing w:after="0"/>
              <w:rPr>
                <w:sz w:val="15"/>
                <w:szCs w:val="15"/>
                <w:color w:val="auto"/>
              </w:rPr>
            </w:pPr>
          </w:p>
        </w:tc>
        <w:tc>
          <w:tcPr>
            <w:tcW w:w="94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621,825</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585,500</w:t>
            </w:r>
          </w:p>
        </w:tc>
      </w:tr>
      <w:tr>
        <w:trPr>
          <w:trHeight w:val="63"/>
        </w:trPr>
        <w:tc>
          <w:tcPr>
            <w:tcW w:w="4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168"/>
        </w:trPr>
        <w:tc>
          <w:tcPr>
            <w:tcW w:w="41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Operating income:</w:t>
            </w:r>
          </w:p>
        </w:tc>
        <w:tc>
          <w:tcPr>
            <w:tcW w:w="9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3"/>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North America</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172,411</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155,950</w:t>
            </w:r>
          </w:p>
        </w:tc>
      </w:tr>
      <w:tr>
        <w:trPr>
          <w:trHeight w:val="23"/>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4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104,137</w:t>
            </w:r>
          </w:p>
        </w:tc>
      </w:tr>
      <w:tr>
        <w:trPr>
          <w:trHeight w:val="184"/>
        </w:trPr>
        <w:tc>
          <w:tcPr>
            <w:tcW w:w="4120" w:type="dxa"/>
            <w:vAlign w:val="bottom"/>
          </w:tcPr>
          <w:p>
            <w:pPr>
              <w:spacing w:after="0"/>
              <w:rPr>
                <w:sz w:val="15"/>
                <w:szCs w:val="15"/>
                <w:color w:val="auto"/>
              </w:rPr>
            </w:pPr>
          </w:p>
        </w:tc>
        <w:tc>
          <w:tcPr>
            <w:tcW w:w="94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284,176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260,087</w:t>
            </w:r>
          </w:p>
        </w:tc>
      </w:tr>
      <w:tr>
        <w:trPr>
          <w:trHeight w:val="63"/>
        </w:trPr>
        <w:tc>
          <w:tcPr>
            <w:tcW w:w="4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168"/>
        </w:trPr>
        <w:tc>
          <w:tcPr>
            <w:tcW w:w="41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3"/>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North America</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38,675</w:t>
            </w:r>
          </w:p>
        </w:tc>
      </w:tr>
      <w:tr>
        <w:trPr>
          <w:trHeight w:val="23"/>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4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32,827</w:t>
            </w:r>
          </w:p>
        </w:tc>
      </w:tr>
      <w:tr>
        <w:trPr>
          <w:trHeight w:val="184"/>
        </w:trPr>
        <w:tc>
          <w:tcPr>
            <w:tcW w:w="4120" w:type="dxa"/>
            <w:vAlign w:val="bottom"/>
          </w:tcPr>
          <w:p>
            <w:pPr>
              <w:spacing w:after="0"/>
              <w:rPr>
                <w:sz w:val="15"/>
                <w:szCs w:val="15"/>
                <w:color w:val="auto"/>
              </w:rPr>
            </w:pPr>
          </w:p>
        </w:tc>
        <w:tc>
          <w:tcPr>
            <w:tcW w:w="94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67,445</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71,502</w:t>
            </w:r>
          </w:p>
        </w:tc>
      </w:tr>
      <w:tr>
        <w:trPr>
          <w:trHeight w:val="63"/>
        </w:trPr>
        <w:tc>
          <w:tcPr>
            <w:tcW w:w="4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168"/>
        </w:trPr>
        <w:tc>
          <w:tcPr>
            <w:tcW w:w="41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Capital expenditures:</w:t>
            </w:r>
          </w:p>
        </w:tc>
        <w:tc>
          <w:tcPr>
            <w:tcW w:w="9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3"/>
        </w:trPr>
        <w:tc>
          <w:tcPr>
            <w:tcW w:w="4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North America</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8,377</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8,411</w:t>
            </w:r>
          </w:p>
        </w:tc>
      </w:tr>
      <w:tr>
        <w:trPr>
          <w:trHeight w:val="23"/>
        </w:trPr>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4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6,803</w:t>
            </w:r>
          </w:p>
        </w:tc>
      </w:tr>
      <w:tr>
        <w:trPr>
          <w:trHeight w:val="184"/>
        </w:trPr>
        <w:tc>
          <w:tcPr>
            <w:tcW w:w="4120" w:type="dxa"/>
            <w:vAlign w:val="bottom"/>
          </w:tcPr>
          <w:p>
            <w:pPr>
              <w:spacing w:after="0"/>
              <w:rPr>
                <w:sz w:val="15"/>
                <w:szCs w:val="15"/>
                <w:color w:val="auto"/>
              </w:rPr>
            </w:pPr>
          </w:p>
        </w:tc>
        <w:tc>
          <w:tcPr>
            <w:tcW w:w="94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15,214</w:t>
            </w:r>
          </w:p>
        </w:tc>
      </w:tr>
      <w:tr>
        <w:trPr>
          <w:trHeight w:val="23"/>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1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Class Action and Derivative Lawsuits</w:t>
      </w:r>
    </w:p>
    <w:p>
      <w:pPr>
        <w:spacing w:after="0" w:line="10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September 20, 2018, the court entered an order deferring the case pending a ruling on the parties’ anticipated motions for summary judgment in the putative shareholder class action, or until otherwise agreed to by the parties. On January 9, 2019, a similar shareholder derivative complaint was filed in the Superior Court of Gwinnett County, Georgia, which is stayed pending a ruling on the parties' anticipated motions for summary judgment in the putative shareholder class action, or until otherwise agreed by the parties. The defendants dispute the allegations in the derivative complaints and intend to vigorously defend against the claims.</w:t>
      </w:r>
    </w:p>
    <w:p>
      <w:pPr>
        <w:spacing w:after="0" w:line="2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On February 1, 2019, Schultz Transfer Systems, Inc. filed a complaint against Fleetcor Technologies Operating Company, LLC (“Fleetcor LLC”) in the United States District Court for the Northern District of Georgia. The plaintiff alleges that it is a Fleetcor LLC customer and member of the Fuelman program, and that Fleetcor LLC overcharged the plaintiff for fees and fuel through the Fuelman program. Based on these allegations, the plaintiff asserts claims for breach of contract, breach of the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440"/>
          </w:cols>
          <w:pgMar w:left="220" w:top="125"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covenant of good faith and fair dealing, fraud, fraudulent concealment, money had and received, and unjust enrichment. The plaintiff seeks to represent a class defined as all persons, including corporate entities, who were enrolled in the Fuelman program between June 2016 and the present. On April 1, 2019, the Company filed a motion to compel arbitration and to dismiss the case, which is pending with the court. The Company disputes the allegations in the complaint and intends to vigorously defend against these claims.</w:t>
      </w:r>
    </w:p>
    <w:p>
      <w:pPr>
        <w:spacing w:after="0" w:line="5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Derivative Financial Instruments and Hedging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Derivatives</w:t>
      </w:r>
    </w:p>
    <w:p>
      <w:pPr>
        <w:spacing w:after="0" w:line="315"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4"/>
          <w:szCs w:val="14"/>
          <w:color w:val="auto"/>
        </w:rPr>
        <w:t>The Company writes derivatives, primarily foreign currency forward contracts, option contracts, and swaps, mostly with small and medium size enterprises that are customers and derives a currency spread from this activity. Derivative transactions include:</w:t>
      </w:r>
    </w:p>
    <w:p>
      <w:pPr>
        <w:spacing w:after="0" w:line="35" w:lineRule="exact"/>
        <w:rPr>
          <w:sz w:val="20"/>
          <w:szCs w:val="20"/>
          <w:color w:val="auto"/>
        </w:rPr>
      </w:pPr>
    </w:p>
    <w:p>
      <w:pPr>
        <w:ind w:left="520" w:hanging="255"/>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Forward contracts</w:t>
      </w:r>
      <w:r>
        <w:rPr>
          <w:rFonts w:ascii="Times New Roman" w:cs="Times New Roman" w:eastAsia="Times New Roman" w:hAnsi="Times New Roman"/>
          <w:sz w:val="14"/>
          <w:szCs w:val="14"/>
          <w:color w:val="auto"/>
        </w:rPr>
        <w:t>, which are commitments to buy or sell at a future date a currency at a contract price and will be settled in cash.</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Option contracts, </w:t>
      </w:r>
      <w:r>
        <w:rPr>
          <w:rFonts w:ascii="Times New Roman" w:cs="Times New Roman" w:eastAsia="Times New Roman" w:hAnsi="Times New Roman"/>
          <w:sz w:val="14"/>
          <w:szCs w:val="14"/>
          <w:color w:val="auto"/>
        </w:rPr>
        <w:t>which gives the purchaser, the right, but not the obligation to buy or sell within a specified time a currency at a contracted price that may be settled in cash.</w:t>
      </w:r>
    </w:p>
    <w:p>
      <w:pPr>
        <w:spacing w:after="0" w:line="97"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Swap contracts, </w:t>
      </w:r>
      <w:r>
        <w:rPr>
          <w:rFonts w:ascii="Times New Roman" w:cs="Times New Roman" w:eastAsia="Times New Roman" w:hAnsi="Times New Roman"/>
          <w:sz w:val="14"/>
          <w:szCs w:val="14"/>
          <w:color w:val="auto"/>
        </w:rPr>
        <w:t>which are commitments to settlement in cash at a future date or dates, usually on an overnight basis.</w:t>
      </w:r>
    </w:p>
    <w:p>
      <w:pPr>
        <w:spacing w:after="0" w:line="1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The credit risk inherent in derivative agreements represents the possibility that a loss may occur from the nonperformance of a counterparty to the agreements.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the possible termination of the related contracts. The Company does not designate any of its foreign exchange derivatives as hedging instruments in accordance with ASC 815.</w:t>
      </w:r>
    </w:p>
    <w:p>
      <w:pPr>
        <w:spacing w:after="0" w:line="1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aggregate equivalent U.S. dollar notional amount of foreign exchange derivative customer contracts held by the Company as of March 31, 2019 and December 31, 2018 (in millions) is presented in the table below. Notional amounts do not reflect the netting of offsetting trades, although these offsetting positions may result in minimal overall market risk. Aggregate derivative notional amounts can fluctuate from period to period in the normal course of business based on market conditions, levels of customer activity and other factors.</w:t>
      </w:r>
    </w:p>
    <w:p>
      <w:pPr>
        <w:spacing w:after="0" w:line="106"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640" w:type="dxa"/>
            <w:vAlign w:val="bottom"/>
          </w:tcPr>
          <w:p>
            <w:pPr>
              <w:spacing w:after="0"/>
              <w:rPr>
                <w:sz w:val="14"/>
                <w:szCs w:val="14"/>
                <w:color w:val="auto"/>
              </w:rPr>
            </w:pPr>
          </w:p>
        </w:tc>
      </w:tr>
      <w:tr>
        <w:trPr>
          <w:trHeight w:val="27"/>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0"/>
        </w:trPr>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420" w:type="dxa"/>
            <w:vAlign w:val="bottom"/>
          </w:tcPr>
          <w:p>
            <w:pPr>
              <w:spacing w:after="0"/>
              <w:rPr>
                <w:sz w:val="15"/>
                <w:szCs w:val="15"/>
                <w:color w:val="auto"/>
              </w:rPr>
            </w:pPr>
          </w:p>
        </w:tc>
        <w:tc>
          <w:tcPr>
            <w:tcW w:w="16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December 31, 2018</w:t>
            </w: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contracts:</w:t>
            </w:r>
          </w:p>
        </w:tc>
        <w:tc>
          <w:tcPr>
            <w:tcW w:w="3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193"/>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Swaps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552.9</w:t>
            </w:r>
          </w:p>
        </w:tc>
        <w:tc>
          <w:tcPr>
            <w:tcW w:w="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929.5</w:t>
            </w:r>
          </w:p>
        </w:tc>
      </w:tr>
      <w:tr>
        <w:trPr>
          <w:trHeight w:val="23"/>
        </w:trPr>
        <w:tc>
          <w:tcPr>
            <w:tcW w:w="5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Futures, forwards and spot</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3,886.7</w:t>
            </w:r>
          </w:p>
        </w:tc>
        <w:tc>
          <w:tcPr>
            <w:tcW w:w="4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3,249.9</w:t>
            </w:r>
          </w:p>
        </w:tc>
      </w:tr>
      <w:tr>
        <w:trPr>
          <w:trHeight w:val="193"/>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Written options</w:t>
            </w:r>
          </w:p>
        </w:tc>
        <w:tc>
          <w:tcPr>
            <w:tcW w:w="320" w:type="dxa"/>
            <w:vAlign w:val="bottom"/>
          </w:tcPr>
          <w:p>
            <w:pPr>
              <w:spacing w:after="0"/>
              <w:rPr>
                <w:sz w:val="16"/>
                <w:szCs w:val="16"/>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4,179.7</w:t>
            </w:r>
          </w:p>
        </w:tc>
        <w:tc>
          <w:tcPr>
            <w:tcW w:w="420" w:type="dxa"/>
            <w:vAlign w:val="bottom"/>
          </w:tcPr>
          <w:p>
            <w:pPr>
              <w:spacing w:after="0"/>
              <w:rPr>
                <w:sz w:val="16"/>
                <w:szCs w:val="16"/>
                <w:color w:val="auto"/>
              </w:rPr>
            </w:pPr>
          </w:p>
        </w:tc>
        <w:tc>
          <w:tcPr>
            <w:tcW w:w="1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3,688.8</w:t>
            </w:r>
          </w:p>
        </w:tc>
      </w:tr>
      <w:tr>
        <w:trPr>
          <w:trHeight w:val="23"/>
        </w:trPr>
        <w:tc>
          <w:tcPr>
            <w:tcW w:w="5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5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Purchased options</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3,420.6</w:t>
            </w:r>
          </w:p>
        </w:tc>
        <w:tc>
          <w:tcPr>
            <w:tcW w:w="4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2,867.2</w:t>
            </w:r>
          </w:p>
        </w:tc>
      </w:tr>
      <w:tr>
        <w:trPr>
          <w:trHeight w:val="200"/>
        </w:trPr>
        <w:tc>
          <w:tcPr>
            <w:tcW w:w="5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12,039.9</w:t>
            </w:r>
          </w:p>
        </w:tc>
        <w:tc>
          <w:tcPr>
            <w:tcW w:w="4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10,735.4</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majority of customer foreign exchange contracts are written in currencies such as the U.S. Dollar, Canadian Dollar, British Pound, Euro and Australian Dollar.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of foreign currency derivatives reported in the Unaudited Consolidated Balance Sheets as of March 31, 2019 and December 31, 2018 (in millions):</w:t>
      </w:r>
    </w:p>
    <w:p>
      <w:pPr>
        <w:sectPr>
          <w:pgSz w:w="11900" w:h="16838" w:orient="portrait"/>
          <w:cols w:equalWidth="0" w:num="1">
            <w:col w:w="11460"/>
          </w:cols>
          <w:pgMar w:left="22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Derivatives - undesignated:</w:t>
      </w:r>
    </w:p>
    <w:p>
      <w:pPr>
        <w:spacing w:after="0" w:line="67" w:lineRule="exact"/>
        <w:rPr>
          <w:sz w:val="20"/>
          <w:szCs w:val="20"/>
          <w:color w:val="auto"/>
        </w:rPr>
      </w:pPr>
    </w:p>
    <w:p>
      <w:pPr>
        <w:ind w:left="200" w:right="140"/>
        <w:spacing w:after="0" w:line="321" w:lineRule="auto"/>
        <w:rPr>
          <w:sz w:val="20"/>
          <w:szCs w:val="20"/>
          <w:color w:val="auto"/>
        </w:rPr>
      </w:pPr>
      <w:r>
        <w:rPr>
          <w:rFonts w:ascii="Times New Roman" w:cs="Times New Roman" w:eastAsia="Times New Roman" w:hAnsi="Times New Roman"/>
          <w:sz w:val="14"/>
          <w:szCs w:val="14"/>
          <w:color w:val="auto"/>
        </w:rPr>
        <w:t>Foreign exchange contracts Cash collateral</w:t>
      </w:r>
    </w:p>
    <w:p>
      <w:pPr>
        <w:ind w:left="200"/>
        <w:spacing w:after="0" w:line="294" w:lineRule="auto"/>
        <w:rPr>
          <w:sz w:val="20"/>
          <w:szCs w:val="20"/>
          <w:color w:val="auto"/>
        </w:rPr>
      </w:pPr>
      <w:r>
        <w:rPr>
          <w:rFonts w:ascii="Times New Roman" w:cs="Times New Roman" w:eastAsia="Times New Roman" w:hAnsi="Times New Roman"/>
          <w:sz w:val="14"/>
          <w:szCs w:val="14"/>
          <w:color w:val="auto"/>
        </w:rPr>
        <w:t>Total net derivative assets and liabilities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94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Fair Value, Gross</w:t>
            </w:r>
          </w:p>
        </w:tc>
        <w:tc>
          <w:tcPr>
            <w:tcW w:w="160" w:type="dxa"/>
            <w:vAlign w:val="bottom"/>
          </w:tcPr>
          <w:p>
            <w:pPr>
              <w:spacing w:after="0"/>
              <w:rPr>
                <w:sz w:val="15"/>
                <w:szCs w:val="15"/>
                <w:color w:val="auto"/>
              </w:rPr>
            </w:pPr>
          </w:p>
        </w:tc>
        <w:tc>
          <w:tcPr>
            <w:tcW w:w="204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 Net</w:t>
            </w:r>
          </w:p>
        </w:tc>
        <w:tc>
          <w:tcPr>
            <w:tcW w:w="160" w:type="dxa"/>
            <w:vAlign w:val="bottom"/>
          </w:tcPr>
          <w:p>
            <w:pPr>
              <w:spacing w:after="0"/>
              <w:rPr>
                <w:sz w:val="15"/>
                <w:szCs w:val="15"/>
                <w:color w:val="auto"/>
              </w:rPr>
            </w:pPr>
          </w:p>
        </w:tc>
        <w:tc>
          <w:tcPr>
            <w:tcW w:w="1940" w:type="dxa"/>
            <w:vAlign w:val="bottom"/>
            <w:gridSpan w:val="4"/>
          </w:tcPr>
          <w:p>
            <w:pPr>
              <w:jc w:val="right"/>
              <w:ind w:right="492"/>
              <w:spacing w:after="0"/>
              <w:rPr>
                <w:sz w:val="20"/>
                <w:szCs w:val="20"/>
                <w:color w:val="auto"/>
              </w:rPr>
            </w:pPr>
            <w:r>
              <w:rPr>
                <w:rFonts w:ascii="Times New Roman" w:cs="Times New Roman" w:eastAsia="Times New Roman" w:hAnsi="Times New Roman"/>
                <w:sz w:val="13"/>
                <w:szCs w:val="13"/>
                <w:b w:val="1"/>
                <w:bCs w:val="1"/>
                <w:color w:val="auto"/>
              </w:rPr>
              <w:t>Fair Value, 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Fair Value, Net</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6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6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0" w:type="dxa"/>
            <w:vAlign w:val="bottom"/>
          </w:tcPr>
          <w:p>
            <w:pPr>
              <w:spacing w:after="0"/>
              <w:rPr>
                <w:sz w:val="1"/>
                <w:szCs w:val="1"/>
                <w:color w:val="auto"/>
              </w:rPr>
            </w:pPr>
          </w:p>
        </w:tc>
      </w:tr>
      <w:tr>
        <w:trPr>
          <w:trHeight w:val="169"/>
        </w:trPr>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 Assets</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4"/>
                <w:szCs w:val="1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6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39.8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59.2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-683895</wp:posOffset>
            </wp:positionV>
            <wp:extent cx="7055485" cy="143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5485" cy="143510"/>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-396240</wp:posOffset>
            </wp:positionV>
            <wp:extent cx="70554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54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600"/>
            <w:col w:w="8940"/>
          </w:cols>
          <w:pgMar w:left="220" w:top="125" w:right="219" w:bottom="1440" w:gutter="0" w:footer="0" w:header="0"/>
          <w:type w:val="continuous"/>
        </w:sectPr>
      </w:pPr>
    </w:p>
    <w:p>
      <w:pPr>
        <w:spacing w:after="0" w:line="4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fair values of derivative assets and liabilities associated with contracts which include netting language that the Company believes to be enforceable have been netted to present the Company's net exposure with these counterparties. The Company recognizes all derivative assets, net in prepaid expense and other current assets and all derivative liabilities, net in other current liabilities, after netting at the customer level, as right of offset exists, in its Unaudited Consolidated Balance Sheets at their fair value. The gain or loss on the fair value is recognized immediately within revenues, net in the Unaudited Consolidated Statements of Income. The Company does not offset fair value amounts recognized for the right to reclaim cash collateral or the obligation to return cash collateral. The derivative assets and derivative liabilities in the preceding table were recorded in other current assets and other current liabilities at each balance sheet date, respectively, in the Unaudited Consolidated Balance Sheet. The Company receives cash from customers as collateral for trade exposures, which is recorded within cash and cash equivalents and customer deposits in the Unaudited Consolidated Balance Sheet. The customer has the right to recall their collateral in the event exposures move in their favor, they unwind all outstanding trades or they cease to do business with the Company.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Hedges</w:t>
      </w:r>
    </w:p>
    <w:p>
      <w:pPr>
        <w:spacing w:after="0" w:line="14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4"/>
          <w:szCs w:val="14"/>
          <w:color w:val="auto"/>
        </w:rPr>
        <w:t>On January 22, 2019, the Company entered into three interest rate swap cash flow contracts. The objective of these interest rate swaps is to reduce the variability of cash flows in the previously unhedged interest payments associated with $2.0 billion of variable rate debt, the sole source of which is due to changes in the LIBOR benchmark interest rate. As of March 31, 2019, the Company had the following outstanding interest rate derivatives that are designated as cash flow hedges of interest rate risk (in millions):</w:t>
      </w:r>
    </w:p>
    <w:p>
      <w:pPr>
        <w:spacing w:after="0" w:line="95"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60" w:type="dxa"/>
            <w:vAlign w:val="bottom"/>
            <w:gridSpan w:val="2"/>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Notional Amount as of March 31,</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jc w:val="right"/>
              <w:ind w:right="109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76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2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Derivative:</w:t>
            </w: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1,000</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2.56%</w:t>
            </w:r>
          </w:p>
        </w:tc>
        <w:tc>
          <w:tcPr>
            <w:tcW w:w="176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January 31, 2022</w:t>
            </w:r>
          </w:p>
        </w:tc>
        <w:tc>
          <w:tcPr>
            <w:tcW w:w="0" w:type="dxa"/>
            <w:vAlign w:val="bottom"/>
          </w:tcPr>
          <w:p>
            <w:pPr>
              <w:spacing w:after="0"/>
              <w:rPr>
                <w:sz w:val="1"/>
                <w:szCs w:val="1"/>
                <w:color w:val="auto"/>
              </w:rPr>
            </w:pPr>
          </w:p>
        </w:tc>
      </w:tr>
      <w:tr>
        <w:trPr>
          <w:trHeight w:val="193"/>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480" w:type="dxa"/>
            <w:vAlign w:val="bottom"/>
          </w:tcPr>
          <w:p>
            <w:pPr>
              <w:spacing w:after="0"/>
              <w:rPr>
                <w:sz w:val="16"/>
                <w:szCs w:val="16"/>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500</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2.56%</w:t>
            </w:r>
          </w:p>
        </w:tc>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January 31, 2023</w:t>
            </w:r>
          </w:p>
        </w:tc>
        <w:tc>
          <w:tcPr>
            <w:tcW w:w="0" w:type="dxa"/>
            <w:vAlign w:val="bottom"/>
          </w:tcPr>
          <w:p>
            <w:pPr>
              <w:spacing w:after="0"/>
              <w:rPr>
                <w:sz w:val="1"/>
                <w:szCs w:val="1"/>
                <w:color w:val="auto"/>
              </w:rPr>
            </w:pPr>
          </w:p>
        </w:tc>
      </w:tr>
      <w:tr>
        <w:trPr>
          <w:trHeight w:val="23"/>
        </w:trPr>
        <w:tc>
          <w:tcPr>
            <w:tcW w:w="4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4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500</w:t>
            </w:r>
          </w:p>
        </w:tc>
        <w:tc>
          <w:tcPr>
            <w:tcW w:w="1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2.55%</w:t>
            </w:r>
          </w:p>
        </w:tc>
        <w:tc>
          <w:tcPr>
            <w:tcW w:w="17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rPr>
              <w:t>December 19, 2023</w:t>
            </w:r>
          </w:p>
        </w:tc>
        <w:tc>
          <w:tcPr>
            <w:tcW w:w="0" w:type="dxa"/>
            <w:vAlign w:val="bottom"/>
          </w:tcPr>
          <w:p>
            <w:pPr>
              <w:spacing w:after="0"/>
              <w:rPr>
                <w:sz w:val="1"/>
                <w:szCs w:val="1"/>
                <w:color w:val="auto"/>
              </w:rPr>
            </w:pPr>
          </w:p>
        </w:tc>
      </w:tr>
      <w:tr>
        <w:trPr>
          <w:trHeight w:val="23"/>
        </w:trPr>
        <w:tc>
          <w:tcPr>
            <w:tcW w:w="4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These swap agreements qualify as hedging instruments and have been designated as cash flow hedges. For each of these swaps, the Company will pay a fixed monthly rate and receive 1-Month LIBOR.</w:t>
      </w:r>
    </w:p>
    <w:p>
      <w:pPr>
        <w:spacing w:after="0" w:line="33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The table below presents the fair value of the Company’s interest rate swap derivative financial instruments as well as their classification on the Unaudited Consolidated Balance Sheets as of March 31, 2019. See Note 4 for additional information on the fair value of the Company’s interest rate swaps.</w:t>
      </w:r>
    </w:p>
    <w:p>
      <w:pPr>
        <w:spacing w:after="0" w:line="93" w:lineRule="exact"/>
        <w:rPr>
          <w:sz w:val="20"/>
          <w:szCs w:val="20"/>
          <w:color w:val="auto"/>
        </w:rPr>
      </w:pPr>
    </w:p>
    <w:tbl>
      <w:tblPr>
        <w:tblLayout w:type="fixed"/>
        <w:tblInd w:w="124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As of March 31, 2019</w:t>
            </w:r>
          </w:p>
        </w:tc>
        <w:tc>
          <w:tcPr>
            <w:tcW w:w="1300" w:type="dxa"/>
            <w:vAlign w:val="bottom"/>
          </w:tcPr>
          <w:p>
            <w:pPr>
              <w:spacing w:after="0"/>
              <w:rPr>
                <w:sz w:val="14"/>
                <w:szCs w:val="14"/>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0"/>
        </w:trPr>
        <w:tc>
          <w:tcPr>
            <w:tcW w:w="3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60" w:type="dxa"/>
            <w:vAlign w:val="bottom"/>
            <w:gridSpan w:val="2"/>
          </w:tcPr>
          <w:p>
            <w:pPr>
              <w:jc w:val="right"/>
              <w:ind w:right="1012"/>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300" w:type="dxa"/>
            <w:vAlign w:val="bottom"/>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93"/>
        </w:trPr>
        <w:tc>
          <w:tcPr>
            <w:tcW w:w="3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rate swap liabilities</w:t>
            </w:r>
          </w:p>
        </w:tc>
        <w:tc>
          <w:tcPr>
            <w:tcW w:w="150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5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27.6</w:t>
            </w:r>
          </w:p>
        </w:tc>
      </w:tr>
      <w:tr>
        <w:trPr>
          <w:trHeight w:val="560"/>
        </w:trPr>
        <w:tc>
          <w:tcPr>
            <w:tcW w:w="3540" w:type="dxa"/>
            <w:vAlign w:val="bottom"/>
          </w:tcPr>
          <w:p>
            <w:pPr>
              <w:spacing w:after="0"/>
              <w:rPr>
                <w:sz w:val="24"/>
                <w:szCs w:val="24"/>
                <w:color w:val="auto"/>
              </w:rPr>
            </w:pPr>
          </w:p>
        </w:tc>
        <w:tc>
          <w:tcPr>
            <w:tcW w:w="15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21</w:t>
            </w: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displays the effect of the Company’s derivative financial instruments in the Unaudited Consolidated Statement of Income and other comprehensive loss for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2019 (in millions):</w:t>
      </w:r>
    </w:p>
    <w:p>
      <w:pPr>
        <w:spacing w:after="0" w:line="140" w:lineRule="exact"/>
        <w:rPr>
          <w:sz w:val="20"/>
          <w:szCs w:val="20"/>
          <w:color w:val="auto"/>
        </w:rPr>
      </w:pPr>
    </w:p>
    <w:tbl>
      <w:tblPr>
        <w:tblLayout w:type="fixed"/>
        <w:tblInd w:w="480" w:type="dxa"/>
        <w:tblCellMar>
          <w:top w:w="0" w:type="dxa"/>
          <w:left w:w="0" w:type="dxa"/>
          <w:bottom w:w="0" w:type="dxa"/>
          <w:right w:w="0" w:type="dxa"/>
        </w:tblCellMar>
      </w:tblPr>
      <w:tr>
        <w:trPr>
          <w:trHeight w:val="169"/>
        </w:trPr>
        <w:tc>
          <w:tcPr>
            <w:tcW w:w="9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7"/>
        </w:trPr>
        <w:tc>
          <w:tcPr>
            <w:tcW w:w="9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79"/>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 of loss recognized in other comprehensive income on derivatives, net of tax of $6.9</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6671945" cy="246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71945" cy="24638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Amount of loss reclassified from accumulated other comprehensive income into interest expense</w:t>
      </w:r>
    </w:p>
    <w:p>
      <w:pPr>
        <w:spacing w:after="0" w:line="25"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color w:val="auto"/>
        </w:rPr>
        <w:t>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net amount of the existing losses expected to be reclassified into earnings within the next 12 months is approximately $1.7 million at March 31, 2019.</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Subsequent Events</w:t>
      </w:r>
    </w:p>
    <w:p>
      <w:pPr>
        <w:spacing w:after="0" w:line="186"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4"/>
          <w:szCs w:val="14"/>
          <w:color w:val="auto"/>
        </w:rPr>
        <w:t>On April 1, 2019, the Company completed two acquisitions. The Company acquired NvoicePay, a provider of full AP automation for businesses. The Company also made a small international acquisition. The aggregate purchase price of these acquisitions is approximately $255 million. These acquisitions are not material to the financial results of the Company.</w:t>
      </w: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60"/>
          </w:cols>
          <w:pgMar w:left="220" w:top="125" w:right="41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4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4"/>
          <w:szCs w:val="14"/>
          <w:color w:val="auto"/>
        </w:rPr>
        <w:t>This management’s discussion and analysis should also be read in conjunction with the management’s discussion and analysis and consolidated financial statements and related notes included in our Annual Report on Form 10-K for the year ended December 31,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Business</w:t>
      </w:r>
    </w:p>
    <w:p>
      <w:pPr>
        <w:spacing w:after="0" w:line="18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4"/>
          <w:szCs w:val="14"/>
          <w:color w:val="auto"/>
        </w:rPr>
        <w:t>FLEETCOR i is a leading global business payments company that simplifies the way businesses manage and pay their expenses. The FLEETCOR portfolio of brands help companies automate, secure, digitize and control payments to, or on behalf of, their employees and suppliers. FLEETCOR serves businesses, partners and merchants in North America, Latin America, Europe, and Asia Pacific. FLEETCOR’s predecessor company was organized in the United States in 1986, and FLEETCOR had its initial public offering in 2010.</w:t>
      </w:r>
    </w:p>
    <w:p>
      <w:pPr>
        <w:spacing w:after="0" w:line="93"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4"/>
          <w:szCs w:val="14"/>
          <w:color w:val="auto"/>
        </w:rPr>
        <w:t>FLEETCOR has two reportable segments, North America and International. We report these two segments as they align with our senior executive organizational structure, reflect how we organize and manage our employees around the world, manage operating performance, contemplate the differing regulatory environments in North America versus other geographies, and help us isolate the impact of foreign exchange fluctuations on our financial results.</w:t>
      </w:r>
    </w:p>
    <w:p>
      <w:pPr>
        <w:spacing w:after="0" w:line="9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4"/>
          <w:szCs w:val="14"/>
          <w:color w:val="auto"/>
        </w:rPr>
        <w:t>Our payment solutions provide our customers with a payment method designed to be superior to and more robust and effective than what they use currently, whether they use a competitor’s product or another alternative method such as cash or check. Our solutions are comprised of payment products, networks and associated services.</w:t>
      </w:r>
    </w:p>
    <w:p>
      <w:pPr>
        <w:spacing w:after="0" w:line="8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FLEETCOR is a global payments company primarily focused on business to business payments. We simplify the way businesses manage and pay for expenses and operate in five categories: Fuel, Lodging, Tolls, Corporate Payments and Gift. Our products are focused on delivering a better, more efficient way to pay, through specialized products, systems, and payment and merchant networks. While the actual payment mechanisms vary from category to category, they are structured to afford control and reporting to the end user. The methods of payment generally function like a charge card, prepaid card, one-time use virtual card, and electronic RFID, etc. Each category is unique in its focus, customer base and target markets, but they also share a number of characteristics. Customers are primarily business to business, have recurring revenue models, specialized networks which create barriers to entry, have high EBITDA margins, and have similar selling systems, which can be leveraged in each business. Additionally, we provide other payment products including fleet maintenance, employee benefits and long haul transportation-related services. Our products are used in 82 countries around the world, with our primary geographies being the U.S., Brazil and the United Kingdom, which combined accounted for approximately 88% of our revenue in 2018.</w:t>
      </w:r>
    </w:p>
    <w:p>
      <w:pPr>
        <w:spacing w:after="0" w:line="10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FLEETCOR uses both proprietary and third-party networks to deliver our payment solutions. FLEETCOR owns and operates proprietary networks with well-established brands throughout the world, bringing incremental sales and loyalty to affiliated merchants. Third-party networks are used to broaden payment product acceptance and use. In 2018, we processed approximately 2.9 billion transactions within these networks, of which approximately 1.4 billion were related to our Gift product line.</w:t>
      </w:r>
    </w:p>
    <w:p>
      <w:pPr>
        <w:spacing w:after="0" w:line="9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FLEETCOR capitalizes on its products’ specialization with sales and marketing efforts by deploying product-dedicated sales forces to target specific customer segments. We market our products directly through multiple sales channels, including field sales, telesales and digital marketing, and indirectly through our partners, which include major oil companies, leasing companies, petroleum marketers, value-added resellers (VARs) and referral partners.</w:t>
      </w:r>
    </w:p>
    <w:p>
      <w:pPr>
        <w:spacing w:after="0" w:line="93"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4"/>
          <w:szCs w:val="14"/>
          <w:color w:val="auto"/>
        </w:rPr>
        <w:t>We believe that our size and scale, product breadth and specialization, geographic reach, proprietary networks, robust distribution capabilities and advanced technology contribute to our industry leading position.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14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4"/>
          <w:szCs w:val="14"/>
          <w:color w:val="auto"/>
        </w:rPr>
        <w:t>We operate in two segments, which we refer to as our North America and International segments. Our revenue is generally reported net of the cost for underlying products and services. In this report, we refer to this net revenue as “revenue". See “Results of Operations” for additional segment information.</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20"/>
          </w:cols>
          <w:pgMar w:left="220" w:top="125" w:right="2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Revenues, net, by Segment. </w:t>
      </w:r>
      <w:r>
        <w:rPr>
          <w:rFonts w:ascii="Times New Roman" w:cs="Times New Roman" w:eastAsia="Times New Roman" w:hAnsi="Times New Roman"/>
          <w:sz w:val="14"/>
          <w:szCs w:val="14"/>
          <w:color w:val="auto"/>
        </w:rPr>
        <w:t>For the three months ended March 31, 2019 and 2018, our North America and International segments generated the following revenue (in millions):</w:t>
      </w:r>
    </w:p>
    <w:p>
      <w:pPr>
        <w:spacing w:after="0" w:line="194" w:lineRule="exact"/>
        <w:rPr>
          <w:sz w:val="20"/>
          <w:szCs w:val="20"/>
          <w:color w:val="auto"/>
        </w:rPr>
      </w:pPr>
    </w:p>
    <w:tbl>
      <w:tblPr>
        <w:tblLayout w:type="fixed"/>
        <w:tblInd w:w="1660" w:type="dxa"/>
        <w:tblCellMar>
          <w:top w:w="0" w:type="dxa"/>
          <w:left w:w="0" w:type="dxa"/>
          <w:bottom w:w="0" w:type="dxa"/>
          <w:right w:w="0" w:type="dxa"/>
        </w:tblCellMar>
      </w:tblPr>
      <w:tr>
        <w:trPr>
          <w:trHeight w:val="155"/>
        </w:trPr>
        <w:tc>
          <w:tcPr>
            <w:tcW w:w="3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 of</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1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10"/>
                <w:szCs w:val="10"/>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Revenues, net</w:t>
            </w: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0"/>
                <w:szCs w:val="10"/>
                <w:color w:val="auto"/>
              </w:rPr>
            </w:pP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Revenues, net</w:t>
            </w:r>
          </w:p>
        </w:tc>
        <w:tc>
          <w:tcPr>
            <w:tcW w:w="80" w:type="dxa"/>
            <w:vAlign w:val="bottom"/>
          </w:tcPr>
          <w:p>
            <w:pPr>
              <w:spacing w:after="0"/>
              <w:rPr>
                <w:sz w:val="10"/>
                <w:szCs w:val="10"/>
                <w:color w:val="auto"/>
              </w:rPr>
            </w:pPr>
          </w:p>
        </w:tc>
        <w:tc>
          <w:tcPr>
            <w:tcW w:w="12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revenues, net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revenues, net</w:t>
            </w:r>
          </w:p>
        </w:tc>
        <w:tc>
          <w:tcPr>
            <w:tcW w:w="0" w:type="dxa"/>
            <w:vAlign w:val="bottom"/>
          </w:tcPr>
          <w:p>
            <w:pPr>
              <w:spacing w:after="0"/>
              <w:rPr>
                <w:sz w:val="1"/>
                <w:szCs w:val="1"/>
                <w:color w:val="auto"/>
              </w:rPr>
            </w:pPr>
          </w:p>
        </w:tc>
      </w:tr>
      <w:tr>
        <w:trPr>
          <w:trHeight w:val="191"/>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396.9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364.3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Pr>
          <w:p>
            <w:pPr>
              <w:spacing w:after="0"/>
              <w:rPr>
                <w:sz w:val="16"/>
                <w:szCs w:val="16"/>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224.9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621.8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585.5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Revenues, net, Net Income and Net Income Per Diluted Share. </w:t>
      </w:r>
      <w:r>
        <w:rPr>
          <w:rFonts w:ascii="Times New Roman" w:cs="Times New Roman" w:eastAsia="Times New Roman" w:hAnsi="Times New Roman"/>
          <w:sz w:val="14"/>
          <w:szCs w:val="14"/>
          <w:color w:val="auto"/>
        </w:rPr>
        <w:t>Set forth below are revenues, net, net income and net income per diluted share for the three months ended March 31, 2019 and 2018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millions, except per share amounts).</w:t>
      </w:r>
    </w:p>
    <w:p>
      <w:pPr>
        <w:spacing w:after="0" w:line="330"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4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20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net</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621.8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585.5</w:t>
            </w: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172.1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174.9</w:t>
            </w:r>
          </w:p>
        </w:tc>
      </w:tr>
      <w:tr>
        <w:trPr>
          <w:trHeight w:val="23"/>
        </w:trPr>
        <w:tc>
          <w:tcPr>
            <w:tcW w:w="4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diluted share</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1.88</w:t>
            </w:r>
          </w:p>
        </w:tc>
      </w:tr>
      <w:tr>
        <w:trPr>
          <w:trHeight w:val="23"/>
        </w:trPr>
        <w:tc>
          <w:tcPr>
            <w:tcW w:w="49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54"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Adjusted Net Income and Adjusted Net Income Per Diluted Share. </w:t>
      </w:r>
      <w:r>
        <w:rPr>
          <w:rFonts w:ascii="Times New Roman" w:cs="Times New Roman" w:eastAsia="Times New Roman" w:hAnsi="Times New Roman"/>
          <w:sz w:val="14"/>
          <w:szCs w:val="14"/>
          <w:color w:val="auto"/>
        </w:rPr>
        <w:t>Set forth below are adjusted net income and adjusted net income per diluted share for the three months ended March 31, 2019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2018 (in millions, except per share amounts).</w:t>
      </w:r>
    </w:p>
    <w:p>
      <w:pPr>
        <w:spacing w:after="0" w:line="330" w:lineRule="exact"/>
        <w:rPr>
          <w:sz w:val="20"/>
          <w:szCs w:val="20"/>
          <w:color w:val="auto"/>
        </w:rPr>
      </w:pPr>
    </w:p>
    <w:tbl>
      <w:tblPr>
        <w:tblLayout w:type="fixed"/>
        <w:tblInd w:w="2040" w:type="dxa"/>
        <w:tblCellMar>
          <w:top w:w="0" w:type="dxa"/>
          <w:left w:w="0" w:type="dxa"/>
          <w:bottom w:w="0" w:type="dxa"/>
          <w:right w:w="0" w:type="dxa"/>
        </w:tblCellMar>
      </w:tblPr>
      <w:tr>
        <w:trPr>
          <w:trHeight w:val="155"/>
        </w:trPr>
        <w:tc>
          <w:tcPr>
            <w:tcW w:w="4260" w:type="dxa"/>
            <w:vAlign w:val="bottom"/>
            <w:tcBorders>
              <w:bottom w:val="single" w:sz="8" w:color="CCEEFF"/>
            </w:tcBorders>
          </w:tcPr>
          <w:p>
            <w:pPr>
              <w:spacing w:after="0"/>
              <w:rPr>
                <w:sz w:val="13"/>
                <w:szCs w:val="13"/>
                <w:color w:val="auto"/>
              </w:rPr>
            </w:pPr>
          </w:p>
        </w:tc>
        <w:tc>
          <w:tcPr>
            <w:tcW w:w="26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21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2018</w:t>
            </w:r>
          </w:p>
        </w:tc>
        <w:tc>
          <w:tcPr>
            <w:tcW w:w="520" w:type="dxa"/>
            <w:vAlign w:val="bottom"/>
            <w:tcBorders>
              <w:bottom w:val="single" w:sz="8" w:color="auto"/>
            </w:tcBorders>
            <w:shd w:val="clear" w:color="auto" w:fill="CCEEFF"/>
          </w:tcPr>
          <w:p>
            <w:pPr>
              <w:spacing w:after="0"/>
              <w:rPr>
                <w:sz w:val="18"/>
                <w:szCs w:val="18"/>
                <w:color w:val="auto"/>
              </w:rPr>
            </w:pPr>
          </w:p>
        </w:tc>
      </w:tr>
      <w:tr>
        <w:trPr>
          <w:trHeight w:val="184"/>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80" w:type="dxa"/>
            <w:vAlign w:val="bottom"/>
          </w:tcPr>
          <w:p>
            <w:pPr>
              <w:spacing w:after="0"/>
              <w:rPr>
                <w:sz w:val="15"/>
                <w:szCs w:val="15"/>
                <w:color w:val="auto"/>
              </w:rPr>
            </w:pP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23"/>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3"/>
        </w:trPr>
        <w:tc>
          <w:tcPr>
            <w:tcW w:w="4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Adjusted net income and adjusted net income per diluted share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GAAP. We use adjusted net income and adjusted net income per diluted share to eliminate the effect of items that we do not consider indicative of our core operating performance on a consistent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Revenue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Transactions. </w:t>
      </w:r>
      <w:r>
        <w:rPr>
          <w:rFonts w:ascii="Times New Roman" w:cs="Times New Roman" w:eastAsia="Times New Roman" w:hAnsi="Times New Roman"/>
          <w:sz w:val="14"/>
          <w:szCs w:val="14"/>
          <w:color w:val="auto"/>
        </w:rPr>
        <w:t>In both of our segments, we derive revenue from transactions. A transaction is defined as a purchase by a customer utilizing one of our payment products at a participating merchant.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diagram illustrates a typical transaction flow, which is representative of many, but not all, of our businesses.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Illustrative Transaction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209550</wp:posOffset>
            </wp:positionV>
            <wp:extent cx="4680585" cy="1478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80585" cy="147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5"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4"/>
          <w:szCs w:val="14"/>
          <w:color w:val="auto"/>
        </w:rPr>
        <w:t>The revenue we derive from transactions is generated from both customers and merchants. Customers may include commercial businesses (obtained through direct and indirect channels), as well as partners for whom we manage payment programs. Merchants, who may also be customers under relevant accounting guidance, may include those merchants affiliated with our proprietary networks or those participating in the third-party networks we utilize.</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From our customers and partners, we generate revenue through a variety of program fees, including transaction fees, card fees, network fees and charges. These fees may be charged as fixed amounts, costs plus a mark-up, or based on a percentage of the transaction purchase amounts, or a combination thereof. Our programs include other fees and charges associated with late payments and based on customer credit risk.</w:t>
      </w:r>
    </w:p>
    <w:p>
      <w:pPr>
        <w:spacing w:after="0" w:line="233"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From our merchants and third-party networks, we generate revenue mostly from the difference between the amount charged to a customer and the amount paid to the merchant or network for a given transaction, as well as network fees and charges in certain businesses. The amount paid to a merchant or network may be calculated as (i) the merchant’s wholesale product cost plus a markup; (ii) the transaction purchase amount less a percentage discount; or (iii) the transaction purchase amount less a fixed fee per unit.</w:t>
      </w:r>
    </w:p>
    <w:p>
      <w:pPr>
        <w:spacing w:after="0" w:line="179"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4"/>
          <w:szCs w:val="14"/>
          <w:color w:val="auto"/>
        </w:rPr>
        <w:t>For a transaction involving the purchase of fuel where the amount paid to the merchant is calculated under the cost plus markup model, we refer to the difference between the amount charged to the customer and the amount paid to the merchant as revenue tied to fuel-price spreads. In all other cases, we refer to the difference between the amount charged to the customer and the amount paid to the merchant for a given transaction as interchange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revenue and revenue per key performance metric by product for the three months ended March 31, 2019 and 2018 (in millions).*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Pro Forma and Macro Adjusted</w:t>
            </w:r>
            <w:r>
              <w:rPr>
                <w:rFonts w:ascii="Times New Roman" w:cs="Times New Roman" w:eastAsia="Times New Roman" w:hAnsi="Times New Roman"/>
                <w:sz w:val="7"/>
                <w:szCs w:val="7"/>
                <w:b w:val="1"/>
                <w:bCs w:val="1"/>
                <w:color w:val="auto"/>
              </w:rPr>
              <w:t>4</w:t>
            </w: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60" w:type="dxa"/>
            <w:vAlign w:val="bottom"/>
            <w:gridSpan w:val="9"/>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00" w:type="dxa"/>
            <w:vAlign w:val="bottom"/>
          </w:tcPr>
          <w:p>
            <w:pPr>
              <w:spacing w:after="0"/>
              <w:rPr>
                <w:sz w:val="9"/>
                <w:szCs w:val="9"/>
                <w:color w:val="auto"/>
              </w:rPr>
            </w:pPr>
          </w:p>
        </w:tc>
        <w:tc>
          <w:tcPr>
            <w:tcW w:w="700" w:type="dxa"/>
            <w:vAlign w:val="bottom"/>
          </w:tcPr>
          <w:p>
            <w:pPr>
              <w:jc w:val="right"/>
              <w:ind w:right="276"/>
              <w:spacing w:after="0" w:line="108" w:lineRule="exact"/>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ind w:right="296"/>
              <w:spacing w:after="0" w:line="108" w:lineRule="exact"/>
              <w:rPr>
                <w:sz w:val="20"/>
                <w:szCs w:val="20"/>
                <w:color w:val="auto"/>
              </w:rPr>
            </w:pPr>
            <w:r>
              <w:rPr>
                <w:rFonts w:ascii="Times New Roman" w:cs="Times New Roman" w:eastAsia="Times New Roman" w:hAnsi="Times New Roman"/>
                <w:sz w:val="11"/>
                <w:szCs w:val="11"/>
                <w:b w:val="1"/>
                <w:bCs w:val="1"/>
                <w:color w:val="auto"/>
              </w:rPr>
              <w:t>2018</w:t>
            </w:r>
          </w:p>
        </w:tc>
        <w:tc>
          <w:tcPr>
            <w:tcW w:w="220" w:type="dxa"/>
            <w:vAlign w:val="bottom"/>
            <w:vMerge w:val="restart"/>
          </w:tcPr>
          <w:p>
            <w:pPr>
              <w:jc w:val="right"/>
              <w:ind w:right="97"/>
              <w:spacing w:after="0"/>
              <w:rPr>
                <w:sz w:val="20"/>
                <w:szCs w:val="20"/>
                <w:color w:val="auto"/>
              </w:rPr>
            </w:pPr>
            <w:r>
              <w:rPr>
                <w:rFonts w:ascii="Times New Roman" w:cs="Times New Roman" w:eastAsia="Times New Roman" w:hAnsi="Times New Roman"/>
                <w:sz w:val="7"/>
                <w:szCs w:val="7"/>
                <w:b w:val="1"/>
                <w:bCs w:val="1"/>
                <w:color w:val="auto"/>
              </w:rPr>
              <w:t>2</w:t>
            </w:r>
          </w:p>
        </w:tc>
        <w:tc>
          <w:tcPr>
            <w:tcW w:w="260" w:type="dxa"/>
            <w:vAlign w:val="bottom"/>
          </w:tcPr>
          <w:p>
            <w:pPr>
              <w:spacing w:after="0"/>
              <w:rPr>
                <w:sz w:val="9"/>
                <w:szCs w:val="9"/>
                <w:color w:val="auto"/>
              </w:rPr>
            </w:pPr>
          </w:p>
        </w:tc>
        <w:tc>
          <w:tcPr>
            <w:tcW w:w="76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 Change</w:t>
            </w:r>
          </w:p>
        </w:tc>
        <w:tc>
          <w:tcPr>
            <w:tcW w:w="220" w:type="dxa"/>
            <w:vAlign w:val="bottom"/>
          </w:tcPr>
          <w:p>
            <w:pPr>
              <w:spacing w:after="0"/>
              <w:rPr>
                <w:sz w:val="9"/>
                <w:szCs w:val="9"/>
                <w:color w:val="auto"/>
              </w:rPr>
            </w:pPr>
          </w:p>
        </w:tc>
        <w:tc>
          <w:tcPr>
            <w:tcW w:w="700" w:type="dxa"/>
            <w:vAlign w:val="bottom"/>
          </w:tcPr>
          <w:p>
            <w:pPr>
              <w:jc w:val="right"/>
              <w:ind w:right="276"/>
              <w:spacing w:after="0" w:line="108" w:lineRule="exact"/>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276"/>
              <w:spacing w:after="0" w:line="108" w:lineRule="exact"/>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Change</w:t>
            </w:r>
          </w:p>
        </w:tc>
        <w:tc>
          <w:tcPr>
            <w:tcW w:w="960" w:type="dxa"/>
            <w:vAlign w:val="bottom"/>
          </w:tcPr>
          <w:p>
            <w:pPr>
              <w:jc w:val="right"/>
              <w:ind w:right="156"/>
              <w:spacing w:after="0" w:line="108" w:lineRule="exact"/>
              <w:rPr>
                <w:sz w:val="20"/>
                <w:szCs w:val="20"/>
                <w:color w:val="auto"/>
              </w:rPr>
            </w:pPr>
            <w:r>
              <w:rPr>
                <w:rFonts w:ascii="Times New Roman" w:cs="Times New Roman" w:eastAsia="Times New Roman" w:hAnsi="Times New Roman"/>
                <w:sz w:val="11"/>
                <w:szCs w:val="11"/>
                <w:b w:val="1"/>
                <w:bCs w:val="1"/>
                <w:color w:val="auto"/>
              </w:rPr>
              <w:t>% Change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920" w:type="dxa"/>
            <w:vAlign w:val="bottom"/>
            <w:tcBorders>
              <w:bottom w:val="single" w:sz="8" w:color="CCEEFF"/>
            </w:tcBorders>
          </w:tcPr>
          <w:p>
            <w:pPr>
              <w:spacing w:after="0"/>
              <w:rPr>
                <w:sz w:val="7"/>
                <w:szCs w:val="7"/>
                <w:color w:val="auto"/>
              </w:rPr>
            </w:pPr>
          </w:p>
        </w:tc>
        <w:tc>
          <w:tcPr>
            <w:tcW w:w="980" w:type="dxa"/>
            <w:vAlign w:val="bottom"/>
            <w:tcBorders>
              <w:bottom w:val="single" w:sz="8" w:color="CCEEFF"/>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80" w:type="dxa"/>
            <w:vAlign w:val="bottom"/>
            <w:tcBorders>
              <w:left w:val="single" w:sz="8" w:color="CCEEFF"/>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FUEL</w:t>
            </w:r>
          </w:p>
        </w:tc>
        <w:tc>
          <w:tcPr>
            <w:tcW w:w="2780" w:type="dxa"/>
            <w:vAlign w:val="bottom"/>
            <w:tcBorders>
              <w:bottom w:val="single" w:sz="8" w:color="CCEEFF"/>
            </w:tcBorders>
            <w:gridSpan w:val="6"/>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r>
              <w:rPr>
                <w:rFonts w:ascii="Times New Roman" w:cs="Times New Roman" w:eastAsia="Times New Roman" w:hAnsi="Times New Roman"/>
                <w:sz w:val="17"/>
                <w:szCs w:val="17"/>
                <w:color w:val="000000"/>
                <w:vertAlign w:val="superscript"/>
              </w:rPr>
              <w:t>1</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283.0</w:t>
            </w:r>
          </w:p>
        </w:tc>
        <w:tc>
          <w:tcPr>
            <w:tcW w:w="120" w:type="dxa"/>
            <w:vAlign w:val="bottom"/>
          </w:tcPr>
          <w:p>
            <w:pPr>
              <w:spacing w:after="0"/>
              <w:rPr>
                <w:sz w:val="18"/>
                <w:szCs w:val="18"/>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265.4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8"/>
                <w:szCs w:val="18"/>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254.8</w:t>
            </w:r>
          </w:p>
        </w:tc>
        <w:tc>
          <w:tcPr>
            <w:tcW w:w="1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lef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Transactions</w:t>
            </w:r>
            <w:r>
              <w:rPr>
                <w:rFonts w:ascii="Times New Roman" w:cs="Times New Roman" w:eastAsia="Times New Roman" w:hAnsi="Times New Roman"/>
                <w:sz w:val="17"/>
                <w:szCs w:val="17"/>
                <w:color w:val="000000"/>
                <w:vertAlign w:val="superscript"/>
              </w:rPr>
              <w:t>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 per transaction</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2.12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0.20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6"/>
                <w:szCs w:val="16"/>
                <w:color w:val="auto"/>
              </w:rPr>
            </w:pP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0.18</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PAYMENTS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110.3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94.8</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Transactions</w:t>
            </w:r>
          </w:p>
        </w:tc>
        <w:tc>
          <w:tcPr>
            <w:tcW w:w="2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 per transaction</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8.30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8.69</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(0.39)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(0.27)</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Spend volume</w:t>
            </w:r>
          </w:p>
        </w:tc>
        <w:tc>
          <w:tcPr>
            <w:tcW w:w="2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15,529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13,398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2,131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15,814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13,398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2,416</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 net per spend $</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TOLLS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r>
              <w:rPr>
                <w:rFonts w:ascii="Times New Roman" w:cs="Times New Roman" w:eastAsia="Times New Roman" w:hAnsi="Times New Roman"/>
                <w:sz w:val="17"/>
                <w:szCs w:val="17"/>
                <w:color w:val="000000"/>
                <w:vertAlign w:val="superscript"/>
              </w:rPr>
              <w:t>1</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89.5</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Tags (average monthly)</w:t>
            </w:r>
          </w:p>
        </w:tc>
        <w:tc>
          <w:tcPr>
            <w:tcW w:w="2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 per tag</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17.94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19.11</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19.11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LODGING</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39.4</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Room nights</w:t>
            </w:r>
          </w:p>
        </w:tc>
        <w:tc>
          <w:tcPr>
            <w:tcW w:w="2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 per room night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10.48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7.27</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3.20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GIFT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48.6</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Transactions</w:t>
            </w:r>
          </w:p>
        </w:tc>
        <w:tc>
          <w:tcPr>
            <w:tcW w:w="20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330.8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349.6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330.8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 per transaction</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0.15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0.14</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60" w:type="dxa"/>
            <w:vAlign w:val="bottom"/>
            <w:gridSpan w:val="9"/>
          </w:tcPr>
          <w:p>
            <w:pPr>
              <w:ind w:left="20"/>
              <w:spacing w:after="0" w:line="162"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7"/>
                <w:szCs w:val="17"/>
                <w:b w:val="1"/>
                <w:bCs w:val="1"/>
                <w:color w:val="auto"/>
                <w:vertAlign w:val="superscript"/>
              </w:rPr>
              <w:t>3</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Borders>
              <w:lef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r>
              <w:rPr>
                <w:rFonts w:ascii="Times New Roman" w:cs="Times New Roman" w:eastAsia="Times New Roman" w:hAnsi="Times New Roman"/>
                <w:sz w:val="17"/>
                <w:szCs w:val="17"/>
                <w:color w:val="000000"/>
                <w:vertAlign w:val="superscript"/>
              </w:rPr>
              <w:t>1</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47.7</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Transactions</w:t>
            </w:r>
            <w:r>
              <w:rPr>
                <w:rFonts w:ascii="Times New Roman" w:cs="Times New Roman" w:eastAsia="Times New Roman" w:hAnsi="Times New Roman"/>
                <w:sz w:val="17"/>
                <w:szCs w:val="17"/>
                <w:color w:val="000000"/>
                <w:vertAlign w:val="superscript"/>
              </w:rPr>
              <w:t>1</w:t>
            </w:r>
          </w:p>
        </w:tc>
        <w:tc>
          <w:tcPr>
            <w:tcW w:w="200" w:type="dxa"/>
            <w:vAlign w:val="bottom"/>
          </w:tcPr>
          <w:p>
            <w:pPr>
              <w:spacing w:after="0"/>
              <w:rPr>
                <w:sz w:val="18"/>
                <w:szCs w:val="18"/>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 per transaction</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3.93</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0.27</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 w:type="dxa"/>
            <w:vAlign w:val="bottom"/>
            <w:tcBorders>
              <w:top w:val="single" w:sz="8" w:color="auto"/>
              <w:left w:val="single" w:sz="8" w:color="auto"/>
            </w:tcBorders>
          </w:tcPr>
          <w:p>
            <w:pPr>
              <w:spacing w:after="0"/>
              <w:rPr>
                <w:sz w:val="13"/>
                <w:szCs w:val="13"/>
                <w:color w:val="auto"/>
              </w:rPr>
            </w:pPr>
          </w:p>
        </w:tc>
        <w:tc>
          <w:tcPr>
            <w:tcW w:w="31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FLEETCOR CONSOLIDATED REVENUES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left w:val="single" w:sz="8" w:color="auto"/>
              <w:bottom w:val="single" w:sz="8" w:color="CCEEFF"/>
            </w:tcBorders>
            <w:shd w:val="clear" w:color="auto" w:fill="CCEEFF"/>
          </w:tcPr>
          <w:p>
            <w:pPr>
              <w:spacing w:after="0"/>
              <w:rPr>
                <w:sz w:val="17"/>
                <w:szCs w:val="17"/>
                <w:color w:val="auto"/>
              </w:rPr>
            </w:pPr>
          </w:p>
        </w:tc>
        <w:tc>
          <w:tcPr>
            <w:tcW w:w="31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FFFFFF"/>
              </w:rPr>
              <w:t>'</w:t>
            </w:r>
            <w:r>
              <w:rPr>
                <w:rFonts w:ascii="Times New Roman" w:cs="Times New Roman" w:eastAsia="Times New Roman" w:hAnsi="Times New Roman"/>
                <w:sz w:val="13"/>
                <w:szCs w:val="13"/>
                <w:color w:val="000000"/>
              </w:rPr>
              <w:t>- Revenues, net</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621.8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585.5</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636.7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576.0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60.6</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80"/>
          </w:cols>
          <w:pgMar w:left="220" w:top="125" w:right="19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9" w:lineRule="exact"/>
        <w:rPr>
          <w:sz w:val="20"/>
          <w:szCs w:val="20"/>
          <w:color w:val="auto"/>
        </w:rPr>
      </w:pPr>
    </w:p>
    <w:p>
      <w:pPr>
        <w:ind w:left="60" w:right="560" w:firstLine="5"/>
        <w:spacing w:after="0" w:line="228" w:lineRule="auto"/>
        <w:tabs>
          <w:tab w:leader="none" w:pos="125"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certain reclassifications of revenue between product categories as the Company realigned its Brazil business into product lines, resulting in refinement of revenue classified as fuel versus tolls and the reclassification of the E-Cash/OnRoad product being realigned to fuel from other.</w:t>
      </w:r>
    </w:p>
    <w:p>
      <w:pPr>
        <w:spacing w:after="0" w:line="10" w:lineRule="exact"/>
        <w:rPr>
          <w:sz w:val="20"/>
          <w:szCs w:val="20"/>
          <w:color w:val="auto"/>
        </w:rPr>
      </w:pPr>
    </w:p>
    <w:p>
      <w:pPr>
        <w:ind w:left="140" w:hanging="75"/>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adjustments from previously disclosed amounts for the prior period to conform to current presentation.</w:t>
      </w:r>
    </w:p>
    <w:p>
      <w:pPr>
        <w:spacing w:after="0" w:line="51" w:lineRule="exact"/>
        <w:rPr>
          <w:rFonts w:ascii="Times New Roman" w:cs="Times New Roman" w:eastAsia="Times New Roman" w:hAnsi="Times New Roman"/>
          <w:sz w:val="17"/>
          <w:szCs w:val="17"/>
          <w:color w:val="auto"/>
          <w:vertAlign w:val="superscript"/>
        </w:rPr>
      </w:pPr>
    </w:p>
    <w:p>
      <w:pPr>
        <w:ind w:left="6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3"/>
          <w:szCs w:val="13"/>
          <w:color w:val="auto"/>
        </w:rPr>
        <w:t xml:space="preserve"> Other includes telematics, maintenance, food, and transportation related businesses.</w:t>
      </w:r>
    </w:p>
    <w:p>
      <w:pPr>
        <w:spacing w:after="0" w:line="5" w:lineRule="exact"/>
        <w:rPr>
          <w:sz w:val="20"/>
          <w:szCs w:val="20"/>
          <w:color w:val="auto"/>
        </w:rPr>
      </w:pPr>
    </w:p>
    <w:p>
      <w:pPr>
        <w:ind w:left="60" w:right="160" w:firstLine="5"/>
        <w:spacing w:after="0" w:line="222" w:lineRule="auto"/>
        <w:tabs>
          <w:tab w:leader="none" w:pos="136"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heading entitled "Management’s Use of Non-GAAP Financial Measures" for a reconciliation of Pro forma and Macro Adjusted revenue by product and metrics, non-GAAP measures, to the comparable financial measure calculated in accordance with GAAP.</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Columns may not calculate due to rounding.</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incur expenses in the following categories:</w:t>
      </w:r>
    </w:p>
    <w:p>
      <w:pPr>
        <w:spacing w:after="0" w:line="106" w:lineRule="exact"/>
        <w:rPr>
          <w:sz w:val="20"/>
          <w:szCs w:val="20"/>
          <w:color w:val="auto"/>
        </w:rPr>
      </w:pPr>
    </w:p>
    <w:p>
      <w:pPr>
        <w:ind w:left="520" w:right="120" w:hanging="266"/>
        <w:spacing w:after="0" w:line="289"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Processing</w:t>
      </w:r>
      <w:r>
        <w:rPr>
          <w:rFonts w:ascii="Times New Roman" w:cs="Times New Roman" w:eastAsia="Times New Roman" w:hAnsi="Times New Roman"/>
          <w:sz w:val="14"/>
          <w:szCs w:val="14"/>
          <w:color w:val="auto"/>
        </w:rPr>
        <w:t>—Our processing expense consists of expenses related to processing transactions, servicing our customers and merchants, bad debt expense and cost of goods sold related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hardware sales in certain businesses.</w:t>
      </w:r>
    </w:p>
    <w:p>
      <w:pPr>
        <w:ind w:left="520" w:right="540" w:hanging="266"/>
        <w:spacing w:after="0" w:line="289"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Selling</w:t>
      </w:r>
      <w:r>
        <w:rPr>
          <w:rFonts w:ascii="Times New Roman" w:cs="Times New Roman" w:eastAsia="Times New Roman" w:hAnsi="Times New Roman"/>
          <w:sz w:val="14"/>
          <w:szCs w:val="14"/>
          <w:color w:val="auto"/>
        </w:rPr>
        <w:t>—Our selling expenses consist primarily of wages, benefits, sales commissions (other than merchant commissions) and related expenses for our sales, marketing and account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personnel and activities.</w:t>
      </w:r>
    </w:p>
    <w:p>
      <w:pPr>
        <w:ind w:left="520" w:right="280" w:hanging="266"/>
        <w:spacing w:after="0" w:line="27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 and administrative</w:t>
      </w:r>
      <w:r>
        <w:rPr>
          <w:rFonts w:ascii="Times New Roman" w:cs="Times New Roman" w:eastAsia="Times New Roman" w:hAnsi="Times New Roman"/>
          <w:sz w:val="14"/>
          <w:szCs w:val="14"/>
          <w:color w:val="auto"/>
        </w:rPr>
        <w:t>—Our general and administrative expenses include compensation and related expenses (including stock-based compensation) for our executives, finance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information technology, human resources, legal and other administrative personnel. Also included are facilities expenses, third-party professional services fees, travel and entertainment expenses, and other corporate-level expenses.</w:t>
      </w:r>
    </w:p>
    <w:p>
      <w:pPr>
        <w:spacing w:after="0" w:line="2" w:lineRule="exact"/>
        <w:rPr>
          <w:rFonts w:ascii="Times New Roman" w:cs="Times New Roman" w:eastAsia="Times New Roman" w:hAnsi="Times New Roman"/>
          <w:sz w:val="14"/>
          <w:szCs w:val="14"/>
          <w:color w:val="auto"/>
        </w:rPr>
      </w:pPr>
    </w:p>
    <w:p>
      <w:pPr>
        <w:ind w:left="520" w:right="140" w:hanging="266"/>
        <w:spacing w:after="0" w:line="270"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Depreciation and amortization</w:t>
      </w:r>
      <w:r>
        <w:rPr>
          <w:rFonts w:ascii="Times New Roman" w:cs="Times New Roman" w:eastAsia="Times New Roman" w:hAnsi="Times New Roman"/>
          <w:sz w:val="14"/>
          <w:szCs w:val="14"/>
          <w:color w:val="auto"/>
        </w:rPr>
        <w:t>—Our depreciation expenses include depreciation of property and equipment, consisting of computer hardware and software (including proprietary software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8" w:lineRule="exact"/>
        <w:rPr>
          <w:rFonts w:ascii="Times New Roman" w:cs="Times New Roman" w:eastAsia="Times New Roman" w:hAnsi="Times New Roman"/>
          <w:sz w:val="14"/>
          <w:szCs w:val="14"/>
          <w:color w:val="auto"/>
        </w:rPr>
      </w:pPr>
    </w:p>
    <w:p>
      <w:pPr>
        <w:ind w:left="520" w:hanging="266"/>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operating, net</w:t>
      </w:r>
      <w:r>
        <w:rPr>
          <w:rFonts w:ascii="Times New Roman" w:cs="Times New Roman" w:eastAsia="Times New Roman" w:hAnsi="Times New Roman"/>
          <w:sz w:val="14"/>
          <w:szCs w:val="14"/>
          <w:color w:val="auto"/>
        </w:rPr>
        <w:t>—Our other operating, net includes other operating expenses and income items that do not relate to our core operations or that occur infrequently.</w:t>
      </w:r>
    </w:p>
    <w:p>
      <w:pPr>
        <w:spacing w:after="0" w:line="54" w:lineRule="exact"/>
        <w:rPr>
          <w:rFonts w:ascii="Times New Roman" w:cs="Times New Roman" w:eastAsia="Times New Roman" w:hAnsi="Times New Roman"/>
          <w:sz w:val="14"/>
          <w:szCs w:val="14"/>
          <w:color w:val="auto"/>
        </w:rPr>
      </w:pPr>
    </w:p>
    <w:p>
      <w:pPr>
        <w:ind w:left="520" w:hanging="266"/>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Investment loss</w:t>
      </w:r>
      <w:r>
        <w:rPr>
          <w:rFonts w:ascii="Times New Roman" w:cs="Times New Roman" w:eastAsia="Times New Roman" w:hAnsi="Times New Roman"/>
          <w:sz w:val="14"/>
          <w:szCs w:val="14"/>
          <w:color w:val="auto"/>
        </w:rPr>
        <w:t>—Our investment results relate to impairment charges related to our investments.</w:t>
      </w:r>
    </w:p>
    <w:p>
      <w:pPr>
        <w:spacing w:after="0" w:line="54" w:lineRule="exact"/>
        <w:rPr>
          <w:rFonts w:ascii="Times New Roman" w:cs="Times New Roman" w:eastAsia="Times New Roman" w:hAnsi="Times New Roman"/>
          <w:sz w:val="14"/>
          <w:szCs w:val="14"/>
          <w:color w:val="auto"/>
        </w:rPr>
      </w:pPr>
    </w:p>
    <w:p>
      <w:pPr>
        <w:ind w:left="520" w:right="20" w:hanging="266"/>
        <w:spacing w:after="0" w:line="289"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Other expense (income), net</w:t>
      </w:r>
      <w:r>
        <w:rPr>
          <w:rFonts w:ascii="Times New Roman" w:cs="Times New Roman" w:eastAsia="Times New Roman" w:hAnsi="Times New Roman"/>
          <w:sz w:val="14"/>
          <w:szCs w:val="14"/>
          <w:color w:val="auto"/>
        </w:rPr>
        <w:t>—Our other expense (income), net includes proceeds/costs from the sale of assets, foreign currency transaction gains or losses and other miscellaneous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and revenue.</w:t>
      </w:r>
    </w:p>
    <w:p>
      <w:pPr>
        <w:ind w:left="520" w:right="60" w:hanging="266"/>
        <w:spacing w:after="0" w:line="289"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—Our interest expense, net includes interest income on our cash balances and interest expense on our outstanding debt, ineffectiveness on interest rate swaps and 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Securitization Facility. We have historically invested our cash primarily in short-term money market funds.</w:t>
      </w:r>
    </w:p>
    <w:p>
      <w:pPr>
        <w:ind w:left="520" w:right="200" w:hanging="266"/>
        <w:spacing w:after="0" w:line="29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Provision for income taxes</w:t>
      </w:r>
      <w:r>
        <w:rPr>
          <w:rFonts w:ascii="Times New Roman" w:cs="Times New Roman" w:eastAsia="Times New Roman" w:hAnsi="Times New Roman"/>
          <w:sz w:val="14"/>
          <w:szCs w:val="14"/>
          <w:color w:val="auto"/>
        </w:rPr>
        <w:t>—Our provision for income taxes consists primarily of corporate income taxes related to profits resulting from the sale of our products and services on a global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and Trends Impacting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following factors and trends are important in understanding our financial performance:</w:t>
      </w:r>
    </w:p>
    <w:p>
      <w:pPr>
        <w:spacing w:after="0" w:line="150" w:lineRule="exact"/>
        <w:rPr>
          <w:sz w:val="20"/>
          <w:szCs w:val="20"/>
          <w:color w:val="auto"/>
        </w:rPr>
      </w:pPr>
    </w:p>
    <w:p>
      <w:pPr>
        <w:jc w:val="both"/>
        <w:ind w:left="520" w:right="240" w:hanging="266"/>
        <w:spacing w:after="0" w:line="277" w:lineRule="auto"/>
        <w:tabs>
          <w:tab w:leader="none" w:pos="5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Global economic conditions</w:t>
      </w:r>
      <w:r>
        <w:rPr>
          <w:rFonts w:ascii="Times New Roman" w:cs="Times New Roman" w:eastAsia="Times New Roman" w:hAnsi="Times New Roman"/>
          <w:sz w:val="14"/>
          <w:szCs w:val="14"/>
          <w:color w:val="auto"/>
        </w:rPr>
        <w:t>—Our results of operations are materially affected by conditions in the economy generally, both in North America and internationally. Factors affected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economy include our transaction volumes, the credit risk of our customers and changes in tax laws across the globe. These factors affected our businesses in both our North America and International segments.</w:t>
      </w:r>
    </w:p>
    <w:p>
      <w:pPr>
        <w:spacing w:after="0" w:line="2" w:lineRule="exact"/>
        <w:rPr>
          <w:rFonts w:ascii="Times New Roman" w:cs="Times New Roman" w:eastAsia="Times New Roman" w:hAnsi="Times New Roman"/>
          <w:sz w:val="14"/>
          <w:szCs w:val="14"/>
          <w:i w:val="1"/>
          <w:iCs w:val="1"/>
          <w:color w:val="auto"/>
        </w:rPr>
      </w:pPr>
    </w:p>
    <w:p>
      <w:pPr>
        <w:ind w:left="520" w:right="100" w:hanging="266"/>
        <w:spacing w:after="0" w:line="27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Foreign currency changes</w:t>
      </w:r>
      <w:r>
        <w:rPr>
          <w:rFonts w:ascii="Times New Roman" w:cs="Times New Roman" w:eastAsia="Times New Roman" w:hAnsi="Times New Roman"/>
          <w:sz w:val="14"/>
          <w:szCs w:val="14"/>
          <w:color w:val="auto"/>
        </w:rPr>
        <w:t>—Our results of operations are significantly impacted by changes in foreign currency rates; namely, by movements of the Australian dollar, Brazilian real, British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pound, Canadian dollar, Czech koruna, Euro, Mexican peso, New Zealand dollar and Russian ruble, relative to the U.S. dollar. Approximately 60% and 59% of our revenue in the three months ended March 31, 2019 and 2018, respectively, was derived in U.S. dollars and was not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420"/>
          </w:cols>
          <w:pgMar w:left="220" w:top="125" w:right="2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affected by foreign currency exchange rates. See “Results of Operations” for information related to foreign currency impact on our total revenue, net.</w:t>
      </w:r>
    </w:p>
    <w:p>
      <w:pPr>
        <w:spacing w:after="0" w:line="63" w:lineRule="exact"/>
        <w:rPr>
          <w:sz w:val="20"/>
          <w:szCs w:val="20"/>
          <w:color w:val="auto"/>
        </w:rPr>
      </w:pPr>
    </w:p>
    <w:p>
      <w:pPr>
        <w:ind w:left="520" w:right="60" w:hanging="266"/>
        <w:spacing w:after="0" w:line="270" w:lineRule="auto"/>
        <w:tabs>
          <w:tab w:leader="none" w:pos="5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Fuel prices</w:t>
      </w:r>
      <w:r>
        <w:rPr>
          <w:rFonts w:ascii="Times New Roman" w:cs="Times New Roman" w:eastAsia="Times New Roman" w:hAnsi="Times New Roman"/>
          <w:sz w:val="14"/>
          <w:szCs w:val="14"/>
          <w:color w:val="auto"/>
        </w:rPr>
        <w:t>—Our fleet customers use our products and services primarily in connection with the purchase of fuel. Accordingly, our revenue is affected by fuel prices, which are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believe approximately 13% and 14% of revenues, net were directly impacted by changes in fuel price in the three months ended March 31, 2019 and 2018, respectively.</w:t>
      </w:r>
    </w:p>
    <w:p>
      <w:pPr>
        <w:spacing w:after="0" w:line="51" w:lineRule="exact"/>
        <w:rPr>
          <w:rFonts w:ascii="Times New Roman" w:cs="Times New Roman" w:eastAsia="Times New Roman" w:hAnsi="Times New Roman"/>
          <w:sz w:val="14"/>
          <w:szCs w:val="14"/>
          <w:i w:val="1"/>
          <w:iCs w:val="1"/>
          <w:color w:val="auto"/>
        </w:rPr>
      </w:pPr>
    </w:p>
    <w:p>
      <w:pPr>
        <w:ind w:left="520" w:right="60" w:hanging="266"/>
        <w:spacing w:after="0" w:line="263"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Fuel-price spread volatility</w:t>
      </w:r>
      <w:r>
        <w:rPr>
          <w:rFonts w:ascii="Times New Roman" w:cs="Times New Roman" w:eastAsia="Times New Roman" w:hAnsi="Times New Roman"/>
          <w:sz w:val="14"/>
          <w:szCs w:val="14"/>
          <w:color w:val="auto"/>
        </w:rPr>
        <w:t>—A portion of our revenue involves transactions where we derive revenue from fuel-price spreads, which is the difference between the price charged to a fleet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fuel-price spread expansion. We believe approximately 5% and 4% of revenues, net were directly impacted by fuel-price spreads in the three months ended March 31, 2019 and 2018, respectively.</w:t>
      </w:r>
    </w:p>
    <w:p>
      <w:pPr>
        <w:spacing w:after="0" w:line="58" w:lineRule="exact"/>
        <w:rPr>
          <w:rFonts w:ascii="Times New Roman" w:cs="Times New Roman" w:eastAsia="Times New Roman" w:hAnsi="Times New Roman"/>
          <w:sz w:val="14"/>
          <w:szCs w:val="14"/>
          <w:color w:val="auto"/>
        </w:rPr>
      </w:pPr>
    </w:p>
    <w:p>
      <w:pPr>
        <w:ind w:left="520" w:right="100" w:hanging="266"/>
        <w:spacing w:after="0" w:line="27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—Since 2002, we have completed over 75 acquisitions of companies and commercial account portfolios. Acquisitions have been an important part of our growth strategy, and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46" w:lineRule="exact"/>
        <w:rPr>
          <w:rFonts w:ascii="Times New Roman" w:cs="Times New Roman" w:eastAsia="Times New Roman" w:hAnsi="Times New Roman"/>
          <w:sz w:val="14"/>
          <w:szCs w:val="14"/>
          <w:color w:val="auto"/>
        </w:rPr>
      </w:pPr>
    </w:p>
    <w:p>
      <w:pPr>
        <w:ind w:left="520" w:hanging="266"/>
        <w:spacing w:after="0" w:line="270"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Interest rates</w:t>
      </w:r>
      <w:r>
        <w:rPr>
          <w:rFonts w:ascii="Times New Roman" w:cs="Times New Roman" w:eastAsia="Times New Roman" w:hAnsi="Times New Roman"/>
          <w:sz w:val="14"/>
          <w:szCs w:val="14"/>
          <w:color w:val="auto"/>
        </w:rPr>
        <w:t>—Our results of operations are affected by interest rates. We are exposed to market risk to changes in interest rates on our cash investments and debt. On January 22, 2019,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entered into three interest rate swap cash flow contracts. The objective of these interest rate swaps is to reduce the variability of cash flows in the previously unhedged interest payments associated with $2.0 billion of variable rate debt, the sole source of which is due to changes in the LIBOR benchmark interest rate. For each of these swaps, the Company will pay a fixed monthly rate and receive 1-Month LIBOR.</w:t>
      </w:r>
    </w:p>
    <w:p>
      <w:pPr>
        <w:spacing w:after="0" w:line="51" w:lineRule="exact"/>
        <w:rPr>
          <w:rFonts w:ascii="Times New Roman" w:cs="Times New Roman" w:eastAsia="Times New Roman" w:hAnsi="Times New Roman"/>
          <w:sz w:val="14"/>
          <w:szCs w:val="14"/>
          <w:color w:val="auto"/>
        </w:rPr>
      </w:pPr>
    </w:p>
    <w:p>
      <w:pPr>
        <w:jc w:val="both"/>
        <w:ind w:left="520" w:right="180" w:hanging="266"/>
        <w:spacing w:after="0" w:line="29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Over the long term, we expect that our general and administrative expense will decrease as a percentage of revenue as our revenue increases. To support our expected revenue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growth, we plan to continue to incur additional sales and marketing expense by investing in our direct marketing, third-party agents, internet marketing, telemarketing and field sales force.</w:t>
      </w:r>
    </w:p>
    <w:p>
      <w:pPr>
        <w:spacing w:after="0" w:line="32" w:lineRule="exact"/>
        <w:rPr>
          <w:rFonts w:ascii="Times New Roman" w:cs="Times New Roman" w:eastAsia="Times New Roman" w:hAnsi="Times New Roman"/>
          <w:sz w:val="14"/>
          <w:szCs w:val="14"/>
          <w:color w:val="auto"/>
        </w:rPr>
      </w:pPr>
    </w:p>
    <w:p>
      <w:pPr>
        <w:ind w:left="520" w:right="120" w:hanging="266"/>
        <w:spacing w:after="0" w:line="27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 We pay taxes in many different taxing jurisdictions, including the U.S., most U.S. states and many non-U.S. jurisdictions. The tax rates in certain non-U.S. taxing jurisdictions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than the U.S. tax rate. Thus, our effective tax rate is impacted not only as a result of tax law changes such as the Tax Cuts and Jobs Act ("Tax Act"), but also as our earnings fluctuate between taxing jurisdictions.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 and Investments</w:t>
      </w:r>
    </w:p>
    <w:p>
      <w:pPr>
        <w:spacing w:after="0" w:line="10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4"/>
          <w:szCs w:val="14"/>
          <w:color w:val="auto"/>
        </w:rPr>
        <w:t>On December 27, 2018, the Company completed an acquisition of an online gift card solution provider with an aggregate purchase price of $17.0 million, net of cash acquired of $11.0 million and made deferred payments of $3.9 million related to acquisitions occurring in prior years. During 2018, the Company acquired other assets of $4.2 million and payments on a seller note for a prior acquisition of $1.6 million.</w:t>
      </w:r>
    </w:p>
    <w:p>
      <w:pPr>
        <w:spacing w:after="0" w:line="136"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4"/>
          <w:szCs w:val="14"/>
          <w:color w:val="auto"/>
        </w:rPr>
        <w:t>On April 1, 2019, the Company completed two acquisitions. The Company acquired NvoicePay, a provider of full AP automation for businesses. The Company also made a small international acquisition. The aggregate purchase price of these acquisitions is approximately $255 million.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2019 compared to the three months ended March 31, 2018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selected consolidated statement of income and selected operational data for the three months ended March 31, 2019 and 2018 (in millions, except percentages)*.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2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60" w:type="dxa"/>
            <w:vAlign w:val="bottom"/>
          </w:tcPr>
          <w:p>
            <w:pPr>
              <w:spacing w:after="0"/>
              <w:rPr>
                <w:sz w:val="14"/>
                <w:szCs w:val="14"/>
                <w:color w:val="auto"/>
              </w:rPr>
            </w:pPr>
          </w:p>
        </w:tc>
        <w:tc>
          <w:tcPr>
            <w:tcW w:w="112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40" w:type="dxa"/>
            <w:vAlign w:val="bottom"/>
          </w:tcPr>
          <w:p>
            <w:pPr>
              <w:spacing w:after="0"/>
              <w:rPr>
                <w:sz w:val="16"/>
                <w:szCs w:val="16"/>
                <w:color w:val="auto"/>
              </w:rPr>
            </w:pPr>
          </w:p>
        </w:tc>
        <w:tc>
          <w:tcPr>
            <w:tcW w:w="144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22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460" w:type="dxa"/>
            <w:vAlign w:val="bottom"/>
          </w:tcPr>
          <w:p>
            <w:pPr>
              <w:spacing w:after="0"/>
              <w:rPr>
                <w:sz w:val="16"/>
                <w:szCs w:val="16"/>
                <w:color w:val="auto"/>
              </w:rPr>
            </w:pPr>
          </w:p>
        </w:tc>
        <w:tc>
          <w:tcPr>
            <w:tcW w:w="1460" w:type="dxa"/>
            <w:vAlign w:val="bottom"/>
          </w:tcPr>
          <w:p>
            <w:pPr>
              <w:jc w:val="right"/>
              <w:ind w:right="749"/>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Pr>
          <w:p>
            <w:pPr>
              <w:spacing w:after="0"/>
              <w:rPr>
                <w:sz w:val="16"/>
                <w:szCs w:val="16"/>
                <w:color w:val="auto"/>
              </w:rPr>
            </w:pPr>
          </w:p>
        </w:tc>
        <w:tc>
          <w:tcPr>
            <w:tcW w:w="11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120" w:type="dxa"/>
            <w:vAlign w:val="bottom"/>
          </w:tcPr>
          <w:p>
            <w:pPr>
              <w:spacing w:after="0"/>
              <w:rPr>
                <w:sz w:val="16"/>
                <w:szCs w:val="16"/>
                <w:color w:val="auto"/>
              </w:rPr>
            </w:pP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Revenues, net:</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396.9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364.3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 net</w:t>
            </w: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621.8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585.5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operating expenses:</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Processing</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129.1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Selling</w:t>
            </w:r>
          </w:p>
        </w:tc>
        <w:tc>
          <w:tcPr>
            <w:tcW w:w="14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92.8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90.4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net</w:t>
            </w: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284.2</w:t>
            </w:r>
          </w:p>
        </w:tc>
        <w:tc>
          <w:tcPr>
            <w:tcW w:w="22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260.1</w:t>
            </w:r>
          </w:p>
        </w:tc>
        <w:tc>
          <w:tcPr>
            <w:tcW w:w="12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loss</w:t>
            </w: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14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174.9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Operating income for segments: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172.4</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111.8</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284.2</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260.1</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margin for segments:</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*The sum of the columns and rows may not calculate due to rounding.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0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Our consolidated revenues were $621.8 million in the three months ended March 31, 2019, an increase of $36.3 million or 6.2%, from $585.5 million in the three months ended March 31, 2018. The increase in our consolidated revenue was primarily due to:</w:t>
      </w:r>
    </w:p>
    <w:p>
      <w:pPr>
        <w:ind w:left="440" w:right="180" w:hanging="261"/>
        <w:spacing w:after="0" w:line="257" w:lineRule="auto"/>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growth of approximately 11% on a constant fuel price, fuel spread margin, foreign currency and acquisition basis, driven by increases in both volume and revenue per transaction in certain of our payment programs.</w:t>
      </w:r>
    </w:p>
    <w:p>
      <w:pPr>
        <w:ind w:left="440" w:right="120" w:hanging="261"/>
        <w:spacing w:after="0" w:line="261" w:lineRule="auto"/>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cannot precisely measure the impact of the macroeconomic environment, in total we believe it had a negative impact on our consolidated revenue for the three months ended March 31, 2019 over the comparable period in 2018 of approximately $23 million. Foreign exchange rates had an unfavorable impact on consolidated revenues in the three months ended March 31, 2019 over the comparable period in 2018 of approximately $28 million, primarily due to unfavorable changes in foreign exchange rates mostly in Brazil and the U.K., partially offset by favorable fuel spread margins of approximately $5 million, in the three months ended March 31, 2019 over the comparable period in 2018. The impact of changes in fuel prices was essentially neutral.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North America segment revenues</w:t>
      </w:r>
    </w:p>
    <w:p>
      <w:pPr>
        <w:spacing w:after="0" w:line="102"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4"/>
          <w:szCs w:val="14"/>
          <w:color w:val="auto"/>
        </w:rPr>
        <w:t>North America revenues were $396.9 million in the three months ended March 31, 2019, an increase of $32.6 million or 9.0%, from $364.3 million in the three months ended March 31, 2018. The increase in our North America segment revenue was primarily due to:</w:t>
      </w:r>
    </w:p>
    <w:p>
      <w:pPr>
        <w:spacing w:after="0" w:line="123" w:lineRule="exact"/>
        <w:rPr>
          <w:sz w:val="20"/>
          <w:szCs w:val="20"/>
          <w:color w:val="auto"/>
        </w:rPr>
      </w:pPr>
    </w:p>
    <w:p>
      <w:pPr>
        <w:ind w:left="440" w:right="240" w:hanging="261"/>
        <w:spacing w:after="0" w:line="267" w:lineRule="auto"/>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growth of approximately 9%, on a constant fuel price, fuel spread margin and acquisition and disposition basis, driven by increases in both volume and revenue per transaction in certain of our payment programs.</w:t>
      </w:r>
    </w:p>
    <w:p>
      <w:pPr>
        <w:jc w:val="both"/>
        <w:ind w:left="440" w:right="220" w:hanging="261"/>
        <w:spacing w:after="0" w:line="265" w:lineRule="auto"/>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cannot precisely measure the impact of the macroeconomic environment, in total we believe it had a positive impact on our North America segment revenue in three months ended March 31, 2019 over the comparable period in 2018 of approximately $3 million, primarily due to favorable fuel spread margins of approximately $5 million, partially offset by the unfavorable impact of foreign exchanges rates in Canada of $1 million and lower fuel prices of approximately $1 million.</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International segment revenues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segment revenues were $224.9 million in the three months ended March 31, 2019, an increase of $3.7 million or 1.7%, from $221.2 million in the three months ended March 31, 2018.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our International segment revenue was primarily due to:</w:t>
      </w:r>
    </w:p>
    <w:p>
      <w:pPr>
        <w:spacing w:after="0" w:line="95" w:lineRule="exact"/>
        <w:rPr>
          <w:sz w:val="20"/>
          <w:szCs w:val="20"/>
          <w:color w:val="auto"/>
        </w:rPr>
      </w:pPr>
    </w:p>
    <w:p>
      <w:pPr>
        <w:ind w:left="520" w:right="220" w:hanging="266"/>
        <w:spacing w:after="0" w:line="26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growth of approximately 13% on a constant fuel price, fuel spread margin and acquisition basis, driven by increases in both volume and revenue per transaction in certain of our payment programs.</w:t>
      </w:r>
    </w:p>
    <w:p>
      <w:pPr>
        <w:ind w:left="520" w:hanging="266"/>
        <w:spacing w:after="0" w:line="262"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cannot precisely measure the impact of the macroeconomic environment, in total we believe it had a negative impact on our International segment revenue for the three months ended March 31, 2019 over the comparable period in 2018 of approximately $26 million. Unfavorable foreign exchange rates negatively impacted consolidated revenues by approximately $27 million primarily due to unfavorable changes in foreign exchange rates mostly in Brazil and the U.K., partially offset by the favorable impact of higher fuel prices on consolidated revenues of approximately $1 million.</w:t>
      </w:r>
    </w:p>
    <w:p>
      <w:pPr>
        <w:spacing w:after="0" w:line="142"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Revenues by geography and product category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Set forth below are further breakdowns of revenue by geography and product category for the three months ended March 31, 2019 and 2018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3"/>
          </w:tcPr>
          <w:p>
            <w:pPr>
              <w:jc w:val="right"/>
              <w:ind w:right="771"/>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52"/>
        </w:trPr>
        <w:tc>
          <w:tcPr>
            <w:tcW w:w="20" w:type="dxa"/>
            <w:vAlign w:val="bottom"/>
          </w:tcPr>
          <w:p>
            <w:pPr>
              <w:spacing w:after="0"/>
              <w:rPr>
                <w:sz w:val="13"/>
                <w:szCs w:val="1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Revenues, net by Geography</w:t>
            </w:r>
          </w:p>
        </w:tc>
        <w:tc>
          <w:tcPr>
            <w:tcW w:w="420" w:type="dxa"/>
            <w:vAlign w:val="bottom"/>
          </w:tcPr>
          <w:p>
            <w:pPr>
              <w:spacing w:after="0"/>
              <w:rPr>
                <w:sz w:val="13"/>
                <w:szCs w:val="13"/>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9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69"/>
        </w:trPr>
        <w:tc>
          <w:tcPr>
            <w:tcW w:w="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20" w:type="dxa"/>
            <w:vAlign w:val="bottom"/>
          </w:tcPr>
          <w:p>
            <w:pPr>
              <w:spacing w:after="0"/>
              <w:rPr>
                <w:sz w:val="14"/>
                <w:szCs w:val="14"/>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Revenues, net</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revenues, net</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Revenues, net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revenues, net</w:t>
            </w:r>
          </w:p>
        </w:tc>
      </w:tr>
      <w:tr>
        <w:trPr>
          <w:trHeight w:val="27"/>
        </w:trPr>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3"/>
        </w:trPr>
        <w:tc>
          <w:tcPr>
            <w:tcW w:w="20" w:type="dxa"/>
            <w:vAlign w:val="bottom"/>
          </w:tcPr>
          <w:p>
            <w:pPr>
              <w:spacing w:after="0"/>
              <w:rPr>
                <w:sz w:val="16"/>
                <w:szCs w:val="16"/>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Brazil</w:t>
            </w:r>
          </w:p>
        </w:tc>
        <w:tc>
          <w:tcPr>
            <w:tcW w:w="420" w:type="dxa"/>
            <w:vAlign w:val="bottom"/>
          </w:tcPr>
          <w:p>
            <w:pPr>
              <w:spacing w:after="0"/>
              <w:rPr>
                <w:sz w:val="16"/>
                <w:szCs w:val="16"/>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4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20" w:type="dxa"/>
            <w:vAlign w:val="bottom"/>
          </w:tcPr>
          <w:p>
            <w:pPr>
              <w:spacing w:after="0"/>
              <w:rPr>
                <w:sz w:val="16"/>
                <w:szCs w:val="16"/>
                <w:color w:val="auto"/>
              </w:rPr>
            </w:pP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6"/>
                <w:szCs w:val="16"/>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revenues, net</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4"/>
          </w:tcPr>
          <w:p>
            <w:pPr>
              <w:jc w:val="right"/>
              <w:ind w:right="77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r>
      <w:tr>
        <w:trPr>
          <w:trHeight w:val="152"/>
        </w:trPr>
        <w:tc>
          <w:tcPr>
            <w:tcW w:w="20" w:type="dxa"/>
            <w:vAlign w:val="bottom"/>
          </w:tcPr>
          <w:p>
            <w:pPr>
              <w:spacing w:after="0"/>
              <w:rPr>
                <w:sz w:val="13"/>
                <w:szCs w:val="13"/>
                <w:color w:val="auto"/>
              </w:rPr>
            </w:pPr>
          </w:p>
        </w:tc>
        <w:tc>
          <w:tcPr>
            <w:tcW w:w="3640" w:type="dxa"/>
            <w:vAlign w:val="bottom"/>
            <w:gridSpan w:val="2"/>
          </w:tcPr>
          <w:p>
            <w:pPr>
              <w:spacing w:after="0" w:line="153" w:lineRule="exact"/>
              <w:rPr>
                <w:sz w:val="20"/>
                <w:szCs w:val="20"/>
                <w:color w:val="auto"/>
              </w:rPr>
            </w:pPr>
            <w:r>
              <w:rPr>
                <w:rFonts w:ascii="Times New Roman" w:cs="Times New Roman" w:eastAsia="Times New Roman" w:hAnsi="Times New Roman"/>
                <w:sz w:val="13"/>
                <w:szCs w:val="13"/>
                <w:b w:val="1"/>
                <w:bCs w:val="1"/>
                <w:color w:val="auto"/>
              </w:rPr>
              <w:t>Revenues, net by Product Category</w:t>
            </w:r>
            <w:r>
              <w:rPr>
                <w:rFonts w:ascii="Times New Roman" w:cs="Times New Roman" w:eastAsia="Times New Roman" w:hAnsi="Times New Roman"/>
                <w:sz w:val="17"/>
                <w:szCs w:val="17"/>
                <w:b w:val="1"/>
                <w:bCs w:val="1"/>
                <w:color w:val="auto"/>
                <w:vertAlign w:val="superscript"/>
              </w:rPr>
              <w:t>1</w:t>
            </w: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gridSpan w:val="3"/>
          </w:tcPr>
          <w:p>
            <w:pPr>
              <w:jc w:val="right"/>
              <w:ind w:right="1635"/>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0" w:type="dxa"/>
            <w:vAlign w:val="bottom"/>
            <w:gridSpan w:val="3"/>
          </w:tcPr>
          <w:p>
            <w:pPr>
              <w:jc w:val="right"/>
              <w:ind w:right="1635"/>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right"/>
              <w:ind w:right="575"/>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9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net</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 of total revenues, net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17"/>
                <w:szCs w:val="17"/>
                <w:b w:val="1"/>
                <w:bCs w:val="1"/>
                <w:color w:val="auto"/>
                <w:vertAlign w:val="superscript"/>
              </w:rPr>
              <w:t>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revenues, net</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Fuel</w:t>
            </w:r>
          </w:p>
        </w:tc>
        <w:tc>
          <w:tcPr>
            <w:tcW w:w="1300" w:type="dxa"/>
            <w:vAlign w:val="bottom"/>
            <w:tcBorders>
              <w:bottom w:val="single" w:sz="8" w:color="CCEEFF"/>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3"/>
        </w:trPr>
        <w:tc>
          <w:tcPr>
            <w:tcW w:w="2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 Payments</w:t>
            </w:r>
          </w:p>
        </w:tc>
        <w:tc>
          <w:tcPr>
            <w:tcW w:w="1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Tolls</w:t>
            </w:r>
          </w:p>
        </w:tc>
        <w:tc>
          <w:tcPr>
            <w:tcW w:w="1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3"/>
        </w:trPr>
        <w:tc>
          <w:tcPr>
            <w:tcW w:w="2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Lodging</w:t>
            </w:r>
          </w:p>
        </w:tc>
        <w:tc>
          <w:tcPr>
            <w:tcW w:w="1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3"/>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Gift</w:t>
            </w:r>
          </w:p>
        </w:tc>
        <w:tc>
          <w:tcPr>
            <w:tcW w:w="1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2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revenues, net</w:t>
            </w:r>
          </w:p>
        </w:tc>
        <w:tc>
          <w:tcPr>
            <w:tcW w:w="1300" w:type="dxa"/>
            <w:vAlign w:val="bottom"/>
            <w:tcBorders>
              <w:bottom w:val="single" w:sz="8" w:color="CCEEFF"/>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600"/>
        <w:spacing w:after="0" w:line="215" w:lineRule="auto"/>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Reflects certain reclassifications of revenue between product categories as the Company realigned its Brazil business into product lines, resulting in refinement of revenue classified as fuel versus tolls and the reclassification of the E-Cash/OnRoad product being realigned to fuel from other.</w:t>
      </w:r>
    </w:p>
    <w:p>
      <w:pPr>
        <w:ind w:left="100" w:hanging="94"/>
        <w:spacing w:after="0" w:line="188" w:lineRule="auto"/>
        <w:tabs>
          <w:tab w:leader="none" w:pos="1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Reflects adjustments from previously disclosed amounts for the prior period to conform to current presentation.</w:t>
      </w:r>
    </w:p>
    <w:p>
      <w:pPr>
        <w:spacing w:after="0" w:line="184" w:lineRule="exact"/>
        <w:rPr>
          <w:rFonts w:ascii="Times New Roman" w:cs="Times New Roman" w:eastAsia="Times New Roman" w:hAnsi="Times New Roman"/>
          <w:sz w:val="19"/>
          <w:szCs w:val="19"/>
          <w:color w:val="auto"/>
          <w:vertAlign w:val="superscript"/>
        </w:rPr>
      </w:pPr>
    </w:p>
    <w:p>
      <w:pPr>
        <w:ind w:left="566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29</w:t>
      </w:r>
    </w:p>
    <w:p>
      <w:pPr>
        <w:sectPr>
          <w:pgSz w:w="11900" w:h="16838" w:orient="portrait"/>
          <w:cols w:equalWidth="0" w:num="1">
            <w:col w:w="11380"/>
          </w:cols>
          <w:pgMar w:left="220" w:top="125" w:right="29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operating expenses</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Processing. </w:t>
      </w:r>
      <w:r>
        <w:rPr>
          <w:rFonts w:ascii="Times New Roman" w:cs="Times New Roman" w:eastAsia="Times New Roman" w:hAnsi="Times New Roman"/>
          <w:sz w:val="14"/>
          <w:szCs w:val="14"/>
          <w:color w:val="auto"/>
        </w:rPr>
        <w:t>Processing expenses were $129.1 million in the three months ended March 31, 2019, an increase of $12.6 million or 10.8%, from $116.5 million in the comparable prior period. Increases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processing expenses were primarily due to organic growth in the business and incremental bad debt expense of approximately $10 million, partially offset by the favorable impact of fluctuations in foreign exchange rates of approximately $6 million.</w:t>
      </w:r>
    </w:p>
    <w:p>
      <w:pPr>
        <w:spacing w:after="0" w:line="130"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Selling. </w:t>
      </w:r>
      <w:r>
        <w:rPr>
          <w:rFonts w:ascii="Times New Roman" w:cs="Times New Roman" w:eastAsia="Times New Roman" w:hAnsi="Times New Roman"/>
          <w:sz w:val="14"/>
          <w:szCs w:val="14"/>
          <w:color w:val="auto"/>
        </w:rPr>
        <w:t>Selling expenses were $49.3 million in the three months ended March 31, 2019, an increase of $2.2 million or 4.6%, from $47.1 million in the comparable prior period. Increases in selling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expenses are primarily due to additional spending in certain lines of business, partially offset by the favorable impact of fluctuations in foreign exchange rates of approximately $2 million.</w:t>
      </w:r>
    </w:p>
    <w:p>
      <w:pPr>
        <w:spacing w:after="0" w:line="11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were $92.8 million in the three months ended March 31, 2019, an increase of $2.4 million or 2.7%, from $90.4 million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comparable prior period. The increase was primarily due to higher third party consulting fees, software license costs and acquisition related expenses over the comparable prior period. These increases were partially offset by a decrease in stock compensation expense of approximately $2 million and the favorable impacts from fluctuations in foreign exchange rates of approximately $4 million.</w:t>
      </w:r>
    </w:p>
    <w:p>
      <w:pPr>
        <w:spacing w:after="0" w:line="30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and amortization. </w:t>
      </w:r>
      <w:r>
        <w:rPr>
          <w:rFonts w:ascii="Times New Roman" w:cs="Times New Roman" w:eastAsia="Times New Roman" w:hAnsi="Times New Roman"/>
          <w:sz w:val="14"/>
          <w:szCs w:val="14"/>
          <w:color w:val="auto"/>
        </w:rPr>
        <w:t>Depreciation and amortization expenses were $67.4 million in the three months ended March 31, 2019, a decrease of $4.1 million or 5.7%, from $71.5 million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comparable prior period. The decrease was primarily due to the favorable impact of foreign exchange rates of approximately $4 million and acquisition related intangible assets that have become fully amortized.</w:t>
      </w:r>
    </w:p>
    <w:p>
      <w:pPr>
        <w:spacing w:after="0" w:line="130"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 loss. </w:t>
      </w:r>
      <w:r>
        <w:rPr>
          <w:rFonts w:ascii="Times New Roman" w:cs="Times New Roman" w:eastAsia="Times New Roman" w:hAnsi="Times New Roman"/>
          <w:sz w:val="14"/>
          <w:szCs w:val="14"/>
          <w:color w:val="auto"/>
        </w:rPr>
        <w:t>Investment loss of $15.7 million was recorded in the three months ended March 31, 2019 related to an impairment charge to our telematics investment. During the first quarter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2019, we determined that the fair value of our investment was below cost and recorded an impairment of the investment of $15.7 million based on observable price changes.</w:t>
      </w:r>
    </w:p>
    <w:p>
      <w:pPr>
        <w:spacing w:after="0" w:line="11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expense, net. </w:t>
      </w:r>
      <w:r>
        <w:rPr>
          <w:rFonts w:ascii="Times New Roman" w:cs="Times New Roman" w:eastAsia="Times New Roman" w:hAnsi="Times New Roman"/>
          <w:sz w:val="14"/>
          <w:szCs w:val="14"/>
          <w:color w:val="auto"/>
        </w:rPr>
        <w:t>Interest expense was $39.1 million in the three months ended March 31, 2019, an increase of $8.0 million or 25.7%, from $31.1 million in the comparable prior period.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in interest expense is primarily due to the impact of additional borrowings to repurchase our common stock, as well as increases in LIBOR. The following table sets forth the average interest rates paid on borrowings under our Credit Facility, excluding the related unused credit facility fees.</w:t>
      </w:r>
    </w:p>
    <w:p>
      <w:pPr>
        <w:spacing w:after="0" w:line="140" w:lineRule="exact"/>
        <w:rPr>
          <w:sz w:val="20"/>
          <w:szCs w:val="20"/>
          <w:color w:val="auto"/>
        </w:rPr>
      </w:pPr>
    </w:p>
    <w:tbl>
      <w:tblPr>
        <w:tblLayout w:type="fixed"/>
        <w:tblInd w:w="176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6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20" w:type="dxa"/>
            <w:vAlign w:val="bottom"/>
            <w:tcBorders>
              <w:bottom w:val="single" w:sz="8" w:color="auto"/>
            </w:tcBorders>
          </w:tcPr>
          <w:p>
            <w:pPr>
              <w:spacing w:after="0"/>
              <w:rPr>
                <w:sz w:val="13"/>
                <w:szCs w:val="13"/>
                <w:color w:val="auto"/>
              </w:rPr>
            </w:pPr>
          </w:p>
        </w:tc>
      </w:tr>
      <w:tr>
        <w:trPr>
          <w:trHeight w:val="206"/>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7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w w:val="99"/>
              </w:rPr>
              <w:t>2018</w:t>
            </w:r>
          </w:p>
        </w:tc>
      </w:tr>
      <w:tr>
        <w:trPr>
          <w:trHeight w:val="191"/>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9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23"/>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Revolver A, B &amp; C USD Borrowings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9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 B GBP Borrowings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23"/>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swing line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23"/>
        </w:trPr>
        <w:tc>
          <w:tcPr>
            <w:tcW w:w="43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average unused credit facility fee for Credit Facility was 0.30% and 0.33% in the three month periods ending March 31, 2019 and 2018, respectively. On January 22, 2019, we entered</w:t>
      </w:r>
    </w:p>
    <w:p>
      <w:pPr>
        <w:spacing w:after="0" w:line="2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into three interest rate swap cash flow contracts. The objective of these interest rate swaps is to reduce the variability of cash flows in the previously unhedged interest payments associated with $2 billion of variable rate debt, associated with the one month LIBOR benchmark interest rate. During the three months ended March 31, 2019, as a result of these swaps, we incurred additional interest expense of $0.2 million or 0.06% over the average LIBOR rates on $2 billion of borrowings.</w:t>
      </w:r>
    </w:p>
    <w:p>
      <w:pPr>
        <w:spacing w:after="0" w:line="22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Provision for income taxes. </w:t>
      </w:r>
      <w:r>
        <w:rPr>
          <w:rFonts w:ascii="Times New Roman" w:cs="Times New Roman" w:eastAsia="Times New Roman" w:hAnsi="Times New Roman"/>
          <w:sz w:val="14"/>
          <w:szCs w:val="14"/>
          <w:color w:val="auto"/>
        </w:rPr>
        <w:t>The provision for income taxes was $57.1 million in the three months ended March 31, 2019, an increase of $2.8 million or 5.1%, from $54.4 million in the comparable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prior period. We provide for income taxes during interim periods based on an estimate of our effective tax rate for the year. Discrete items and changes in the estimate of the annual tax rate are recorded in the period they occur. Our effective tax rate for the three months ended March 31, 2019 was 24.9% compared to 23.7% for three months ended March 31, 2018.</w:t>
      </w:r>
    </w:p>
    <w:p>
      <w:pPr>
        <w:spacing w:after="0" w:line="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Our effective tax rate for the three months ended March 31, 2019 reflects the impact of the non-cash impairment charge in our telematics investment. The impairment charge resulted in a reduction in the basis in the investment for book purposes but not tax purposes. Although the temporary book to tax difference resulted in the Company increasing its deferred tax asset related to its investment, the Company also increased its valuation allowance against the deferred tax asset. Excluding this non-cash item, our tax rate in the first quarter of 2019 would have been 23.3%.</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20"/>
          </w:cols>
          <w:pgMar w:left="220" w:top="125" w:right="25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pay taxes in many different taxing jurisdictions, including the U.S., most U.S. states and many non-U.S. jurisdictions. The tax rates in certain non-U.S. taxing jurisdictions are lower than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rate. Consequently, as our earnings fluctuate between taxing jurisdictions, our effective tax rate fluctuates.</w:t>
      </w:r>
    </w:p>
    <w:p>
      <w:pPr>
        <w:spacing w:after="0" w:line="166"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income. </w:t>
      </w:r>
      <w:r>
        <w:rPr>
          <w:rFonts w:ascii="Times New Roman" w:cs="Times New Roman" w:eastAsia="Times New Roman" w:hAnsi="Times New Roman"/>
          <w:sz w:val="14"/>
          <w:szCs w:val="14"/>
          <w:color w:val="auto"/>
        </w:rPr>
        <w:t>For the reasons discussed above, our net income decreased to $172.1 million in the three months ended March 31, 2019, a decrease of $2.8 million or 1.6%, from $174.9 million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three months ended March 31, 2018.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income and operating margin</w:t>
      </w:r>
    </w:p>
    <w:p>
      <w:pPr>
        <w:spacing w:after="0" w:line="9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Consolidated operating income. </w:t>
      </w:r>
      <w:r>
        <w:rPr>
          <w:rFonts w:ascii="Times New Roman" w:cs="Times New Roman" w:eastAsia="Times New Roman" w:hAnsi="Times New Roman"/>
          <w:sz w:val="14"/>
          <w:szCs w:val="14"/>
          <w:color w:val="auto"/>
        </w:rPr>
        <w:t>Operating income was $284.2 million in the three months ended March 31, 2019, an increase of $24.1 million or 9.3%, from $260.1 million in the comparable prior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period. Our operating margin was 45.7% and 44.4% for the three months ended March 31, 2019 and 2018, respectively. These increases were driven primarily by organic growth. These increases were partially offset by the negative impact of the macroeconomic environment of approximately $8 million, driven by unfavorable movements in foreign exchange rates.</w:t>
      </w:r>
    </w:p>
    <w:p>
      <w:pPr>
        <w:spacing w:after="0" w:line="13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4"/>
          <w:szCs w:val="14"/>
          <w:color w:val="auto"/>
        </w:rPr>
        <w:t>For the purpose of segment operating results, we calculate segment operating income by subtracting segment operating expenses from segment revenue. Segment operating margin is calculated by dividing segment operating income by segment revenue.</w:t>
      </w:r>
    </w:p>
    <w:p>
      <w:pPr>
        <w:spacing w:after="0" w:line="11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North America segment operating income. </w:t>
      </w:r>
      <w:r>
        <w:rPr>
          <w:rFonts w:ascii="Times New Roman" w:cs="Times New Roman" w:eastAsia="Times New Roman" w:hAnsi="Times New Roman"/>
          <w:sz w:val="14"/>
          <w:szCs w:val="14"/>
          <w:color w:val="auto"/>
        </w:rPr>
        <w:t>North America operating income was $172.4 million in the three months ended March 31, 2019, an increase of $16.5 million or 10.6%, from $156.0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in the comparable prior period. North America operating margin was 43.4% and 42.8% for the three months ended March 31, 2019 and 2018, respectively. These increases were due primarily to organic growth and the positive impact of the macroeconomic environment of approximately $4 million, driven by higher fuel price spreads, partially offset by higher bad debt expense.</w:t>
      </w:r>
    </w:p>
    <w:p>
      <w:pPr>
        <w:spacing w:after="0" w:line="13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International segment operating income. </w:t>
      </w:r>
      <w:r>
        <w:rPr>
          <w:rFonts w:ascii="Times New Roman" w:cs="Times New Roman" w:eastAsia="Times New Roman" w:hAnsi="Times New Roman"/>
          <w:sz w:val="14"/>
          <w:szCs w:val="14"/>
          <w:color w:val="auto"/>
        </w:rPr>
        <w:t>International operating income was $111.8 million in the three months ended March 31, 2019, an increase of $7.6 million or 7.3%, from $104.1 million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comparable prior period. International operating margin was 49.7% and 47.1% for the three months ended March 31, 2019 and 2018, respectively. These increases were due primarily to organic growth. These increases were partially offset by the negative impact of the macroeconomic environment of approximately $12 million, driven primarily by unfavorable movements in foreign exchange rates.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00"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3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Sources of liquidity. </w:t>
      </w:r>
      <w:r>
        <w:rPr>
          <w:rFonts w:ascii="Times New Roman" w:cs="Times New Roman" w:eastAsia="Times New Roman" w:hAnsi="Times New Roman"/>
          <w:sz w:val="14"/>
          <w:szCs w:val="14"/>
          <w:color w:val="auto"/>
        </w:rPr>
        <w:t>At March 31, 2019, our cash balances totaled $1,372.6 million, with approximately $315.1 million restricted. Restricted cash represents customer deposits in the Czech Republic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in our Comdata business in the U.S., as well as collateral received from customers for cross-currency transactions in our Cambridge business, which are restricted from use other than to repay customer deposits, as well as secure and settle cross-currency transactions.</w:t>
      </w:r>
    </w:p>
    <w:p>
      <w:pPr>
        <w:spacing w:after="0" w:line="13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At March 31, 2019, cash and cash equivalents held in foreign subsidiaries where we have determined we are permanently reinvested is $761.5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to fund our U.S. operations. We are currently evaluating undistributed foreign earnings for which we have not provided deferred taxes for foreign withholding tax, as these earnings are considered to be indefinitely reinvested. The amount of these unrecorded deferred taxes is not expected to be material.</w:t>
      </w:r>
    </w:p>
    <w:p>
      <w:pPr>
        <w:spacing w:after="0" w:line="1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utilize an accounts receivable Securitization Facility to finance a majority of our domestic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March 31, 2019, we had no additional liquidity under our Securitization Facility. At March 31, 2019, we had approximately $569 million available under our Credit Facility.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three month periods ended March 31, 2019 and 2018 (in millions).</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55"/>
        </w:trPr>
        <w:tc>
          <w:tcPr>
            <w:tcW w:w="50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80" w:type="dxa"/>
            <w:vAlign w:val="bottom"/>
            <w:tcBorders>
              <w:bottom w:val="single" w:sz="8" w:color="auto"/>
            </w:tcBorders>
          </w:tcPr>
          <w:p>
            <w:pPr>
              <w:spacing w:after="0"/>
              <w:rPr>
                <w:sz w:val="13"/>
                <w:szCs w:val="13"/>
                <w:color w:val="auto"/>
              </w:rPr>
            </w:pPr>
          </w:p>
        </w:tc>
      </w:tr>
      <w:tr>
        <w:trPr>
          <w:trHeight w:val="20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297.5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200.7</w:t>
            </w:r>
          </w:p>
        </w:tc>
      </w:tr>
      <w:tr>
        <w:trPr>
          <w:trHeight w:val="19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3"/>
        </w:trPr>
        <w:tc>
          <w:tcPr>
            <w:tcW w:w="5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23"/>
        </w:trPr>
        <w:tc>
          <w:tcPr>
            <w:tcW w:w="50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bl>
    <w:p>
      <w:pPr>
        <w:spacing w:after="0" w:line="15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Operating activities. </w:t>
      </w:r>
      <w:r>
        <w:rPr>
          <w:rFonts w:ascii="Times New Roman" w:cs="Times New Roman" w:eastAsia="Times New Roman" w:hAnsi="Times New Roman"/>
          <w:sz w:val="14"/>
          <w:szCs w:val="14"/>
          <w:color w:val="auto"/>
        </w:rPr>
        <w:t>Net cash provided by operating activities was $297.5 million in the three months ended March 31, 2019, an increase from $200.7 million in the comparable prior period.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in operating cash flows was primarily due to higher net income and favorable working capital adjustments primarily due to the timing of cash receipts and payments in the three months ended March 31, 2019 over the comparable period in 2018.</w:t>
      </w:r>
    </w:p>
    <w:p>
      <w:pPr>
        <w:spacing w:after="0" w:line="130"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activities. </w:t>
      </w:r>
      <w:r>
        <w:rPr>
          <w:rFonts w:ascii="Times New Roman" w:cs="Times New Roman" w:eastAsia="Times New Roman" w:hAnsi="Times New Roman"/>
          <w:sz w:val="14"/>
          <w:szCs w:val="14"/>
          <w:color w:val="auto"/>
        </w:rPr>
        <w:t>Net cash used in investing activities was $14.5 million in the three months ended March 31, 2019 compared to $22.7 million in the three months ended March 31, 2018.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decrease was primarily due to a reduction in cash outlay for acquisitions.</w:t>
      </w:r>
    </w:p>
    <w:p>
      <w:pPr>
        <w:spacing w:after="0" w:line="11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activities. </w:t>
      </w:r>
      <w:r>
        <w:rPr>
          <w:rFonts w:ascii="Times New Roman" w:cs="Times New Roman" w:eastAsia="Times New Roman" w:hAnsi="Times New Roman"/>
          <w:sz w:val="14"/>
          <w:szCs w:val="14"/>
          <w:color w:val="auto"/>
        </w:rPr>
        <w:t>Net cash used in financing activities was $272.9 million in the three months ended March 31, 2019, compared to $99.0 million in the three months ended March 31, 2018.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increased use of cash is primarily due to a reduction in net borrowings of $306.5 million on our Credit Facility. These additional uses of cash were partially offset by an increase in borrowings of $38 million on our Securitization Facility and fewer repurchases of our common stock of $85 million in the three months ended March 31, 2019 over the comparable period in 2018.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spending summary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capital expenditures were $14.5 million in the three months ended March 31, 2019, a decrease of $0.7 million or 4.7%, from $15.2 million in the comparable prior period, an immaterial amount.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FLEETCOR Technologies Operating Company, LLC, and certain of our domestic and foreign owned subsidiaries, as designated co-borrowers (the “Borrowers”), are parties to a $4.33 billion Credit Agreement (the "Credit Agreement"), with Bank of America, N.A., as administrative agent, swing line lender and local currency issuer, and a syndicate of financial institutions (the “Lenders”), which has been amended multiple times. The Credit Agreement provides for senior secured credit facilities consisting of a revolving credit facility in the amount of $1.285 billion, a term loan A facility in the amount of $2.525 billion and a term loan B facility in the amount of $350.0 million as of March 31, 2019. The revolving credit facility consists of (a) a revolving A credit facility in the amount of $800 million, with sublimits for letters of credit and swing line loans, (b) a revolving B facility in the amount of $450 million for borrowings in U.S. Dollars, Euros, British Pounds, Japanese Yen or other currency as agreed in advance, and a sublimit for swing line loans, and (c) a revolving C facility in the amount of $35 million for borrowings in U.S. Dollars, Australian Dollars or New Zealand Dollars. The Credit Agreement also includes an accordion feature for borrowing an additional $750 million in term A, term B, revolver A or revolver B debt. Proceeds from the Credit Facility may be used for working capital purposes, acquisitions, and other general corporate purposes. The term A and revolver maturity dates are December 19, 2023, and the term B maturity date is August 2, 2024.</w:t>
      </w:r>
    </w:p>
    <w:p>
      <w:pPr>
        <w:spacing w:after="0" w:line="6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Interest on the term B loan facility accrues based on the Eurocurrency Rate plus 2.00% for Eurocurrency Loans and at the Base Rate plus 1.00% for Base Rate Loans. In addition, we pay a quarterly commitment fee at a rate per annum ranging from 0.20% to 0.40% of the daily unused portion of the credit facility.</w:t>
      </w:r>
    </w:p>
    <w:p>
      <w:pPr>
        <w:spacing w:after="0" w:line="54"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4"/>
          <w:szCs w:val="14"/>
          <w:color w:val="auto"/>
        </w:rPr>
        <w:t>At March 31, 2019, the interest rate on the term A loan and the revolving A facility was 4.00%, the interest rate on the revolving B facility U.S. Dollar borrowings ($70 million) was 3.99%, the interest rate on the revolving B British Pounds borrowings ($90 million) was 2.23%, the interest rate on the term B loan was 4.50%, the interest rate on the revolving C facility was 4.00% and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40"/>
          </w:cols>
          <w:pgMar w:left="220" w:top="125"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interest rate on the foreign swing line loan was 2.17%. The unused credit facility fee was 0.30% for all revolving facilities at March 31, 2019.</w:t>
      </w:r>
    </w:p>
    <w:p>
      <w:pPr>
        <w:spacing w:after="0" w:line="18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4"/>
          <w:szCs w:val="14"/>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six months after borrowing, depending on the term of the borrowing on the facility. Borrowings on the foreign swing line of credit are due no later than ten business days after such loan is made.</w:t>
      </w:r>
    </w:p>
    <w:p>
      <w:pPr>
        <w:spacing w:after="0" w:line="5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The Credit Facility contains representations, warranties and events of default, as well as certain affirmative and negative covenants, customary for financings of this nature. These covenants include limitations on the ability to pay dividends and make other restricted payments under certain circumstances and compliance with certain financial ratios. As of March 31, 2019, we were in compliance with each of the covenants under the Credit Facility.</w:t>
      </w:r>
    </w:p>
    <w:p>
      <w:pPr>
        <w:spacing w:after="0" w:line="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Our Credit Agreement contains a number of negative covenants restricting, among other things, limitations on liens (with exceptions for our Securitization Facility) and investments, incurrence or guarantees of indebtedness, mergers, acquisitions, dissolutions, liquidations and consolidations, dispositions, dividends and other restricted payments and prepayments of other indebtedness. In particular, we are not permitted to make any restricted payments (which includes any dividend or other distribution) except that we may declare and make dividend payments or other distributions to our stockholders so long as (i) on a pro forma basis both before and after the distribution the consolidated leverage ratio is not greater than 3.25:1.00 and we are in compliance with the financial covenants and (ii) no default or event of default shall exist or result therefrom. The Credit Agreement also contains customary events of default. The Credit Agreement includes financial covenants where the Company is required to maintain a consolidated leverage ratio to consolidated EBITDA of less than (i) 4.00 to 1.00 as of the end of any fiscal quarter provided that in connection with any Material Acquisition the leverage ratio may be increased to 4.25 to 1.00 for the quarter in which the Material Acquisition is consummated and the next three fiscal quarters; and a consolidated interest coverage ratio of no higher than 4.00 to 1.0.</w:t>
      </w:r>
    </w:p>
    <w:p>
      <w:pPr>
        <w:spacing w:after="0" w:line="103" w:lineRule="exact"/>
        <w:rPr>
          <w:sz w:val="20"/>
          <w:szCs w:val="20"/>
          <w:color w:val="auto"/>
        </w:rPr>
      </w:pPr>
    </w:p>
    <w:p>
      <w:pPr>
        <w:ind w:left="40"/>
        <w:spacing w:after="0" w:line="269" w:lineRule="auto"/>
        <w:rPr>
          <w:sz w:val="20"/>
          <w:szCs w:val="20"/>
          <w:color w:val="auto"/>
        </w:rPr>
      </w:pPr>
      <w:r>
        <w:rPr>
          <w:rFonts w:ascii="Times New Roman" w:cs="Times New Roman" w:eastAsia="Times New Roman" w:hAnsi="Times New Roman"/>
          <w:sz w:val="14"/>
          <w:szCs w:val="14"/>
          <w:color w:val="auto"/>
        </w:rPr>
        <w:t>The obligations of the Borrowers under the Credit Agreement are secured by substantially all of the assets of FLEETCOR and its domestic subsidiaries, pursuant to a security agreement and includes a pledge of (i) 100% of the issued and outstanding equity interests owned by us of each Domestic Subsidiary and (2) 66% of the voting shares of the first-tier foreign subsidiaries, but excluding real property, personal property located outside of the U.S., accounts receivables and related assets subject to the Securitization Facility and certain investments required under money transmitter laws to be held free and clear of liens.</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At March 31, 2019, we had $2.5 billion in borrowings outstanding on the term A loan, excluding the related debt discount, $344.8 million in borrowings outstanding on term B loan, excluding the related debt discount, $490.0 million in borrowings outstanding on the revolving A facility, $159.9 million in borrowings outstanding on the revolving B facility, excluding the swing line, $35.0 million in borrowings outstanding on the revolving C facility and $30.7 million in borrowings outstanding on the revolving B swing line facility. We have unamortized debt issuance costs of $7.9 million related to the Revolver as of March 31, 2019 recorded within other assets in the unaudited consolidated balance sheet. We have unamortized debt discounts and debt issuance costs related to the term loans of $9.5 million and $0.8 million at March 31, 2019, respectively.</w:t>
      </w:r>
    </w:p>
    <w:p>
      <w:pPr>
        <w:spacing w:after="0" w:line="142"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4"/>
          <w:szCs w:val="14"/>
          <w:color w:val="auto"/>
        </w:rPr>
        <w:t>During the three months ended March 31, 2019, we made principal payments of $32.4 million on the term loans, $165.0 million on the revolving A facility, $188.6 million on the revolving B facility, and $4.3 million on the swing line revolving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0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On January 22, 2019, the Company entered into three interest rate swap cash flow contracts. The objective of these interest rate swaps is to reduce the variability of cash flows in the previously unhedged interest payments associated with $2.0 billion of variable rate debt, the sole source of which is due to changes in the LIBOR benchmark interest rate. These swap agreements qualify as hedging instruments and have been designated as cash flow hedges. For each of these swaps, the Company will pay a fixed monthly rate and receive 1-Month LIBOR. We reclassified approximately $0.2 million of losses from accumulated other comprehensive income into interest expense $0.2 million during the three months ended March 31, 2019 as a result of these hedges.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Securitization Facility</w:t>
      </w:r>
    </w:p>
    <w:p>
      <w:pPr>
        <w:spacing w:after="0" w:line="145"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latest on April 22, 2019. The Securitization Facility expires on November 14, 2020 and contains certain customary financial covenants.</w:t>
      </w:r>
    </w:p>
    <w:p>
      <w:pPr>
        <w:spacing w:after="0" w:line="136"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4"/>
          <w:szCs w:val="14"/>
          <w:color w:val="auto"/>
        </w:rPr>
        <w:t>There is a program fee equal to one month LIBOR plus 0.90% or the Commercial Paper Rate plus 0.80%. The program fee was 2.53% plus 0.88% and 2.52% plus 0.89% as of March 31, 2019 and December 31, 2018, respectively. The unused facility fee is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40"/>
          </w:cols>
          <w:pgMar w:left="220" w:top="125"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9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color w:val="auto"/>
        </w:rPr>
        <w:t>payable at a rate of 0.40% as of March 31, 2019 and December 31, 2018, respectively. We have unamortized debt issuance costs of $1.1 million related to the Securitization Facility as of March 31, 2019 recorded within other assets in the unaudited consolidated balance sheet.</w:t>
      </w:r>
    </w:p>
    <w:p>
      <w:pPr>
        <w:spacing w:after="0" w:line="123"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4"/>
          <w:szCs w:val="14"/>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were in compliance with the financial covenant requirements related to our Securitization Facility as of March 31,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Board of Directors has approved a stock repurchase program (the "Program") under which the Company may purchase up to an aggregate of $2.1 billion of its common stock over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18 month period. The Program was updated most recently on January 23, 2019, the Company's Board of Directors, with an authorized increase in the size of the program by 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$500 million. With the increase and giving effect to the Company's $1.6 billion of previous repurchases, the Company may repurchase up to $545 million in shares of its common stock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time prior to February 1, 2020.</w:t>
      </w:r>
    </w:p>
    <w:p>
      <w:pPr>
        <w:spacing w:after="0" w:line="170"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4"/>
          <w:szCs w:val="14"/>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On December 14, 2018, as part of the Program, the Company entered an accelerated stock repurchase agreement ("2018 ASR Agreement") with a third-party financial institution to repurchase $220 million of its common stock. Pursuant to the 2018 ASR Agreement, the Company delivered $220 million in cash and received 1,057,035 shares based on a stock price of $176.91 on December 14, 2018. The 2018 ASR Agreement was completed on January 29, 2019, at which time the Company received 117,751 additional shares based on a final weighted average per share purchase price during the repurchase period of $187.27.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the beginning of the Program, 9,052,163 shares for an aggregate purchase price of $1.6 billion have been repurchased.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4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Accounting estimates necessarily require subjective determinations about future events and conditions. During the three months ended March 31, 2019, other than noted in footnote 1, "Summary of Significant Accounting Policies" and footnote 2, "Leases", related to our adoption of new lease guidance,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2018. For critical accounting policies, refer to the Critical Accounting Estimates in Item 7 – Management’s Discussion and Analysis of Financial Condition and Results of Operations included in our Annual Report on Form 10-K for the year ended December 31, 2018 and our summary of significant accounting policies in Note 1 of our notes to the unaudited consolidated financial statements in this Form 10-Q.</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Use of Non-GAAP Financial Measures</w:t>
      </w:r>
    </w:p>
    <w:p>
      <w:pPr>
        <w:spacing w:after="0" w:line="14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4"/>
          <w:szCs w:val="14"/>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132"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 forma and macro adjusted revenue and key performance metric by product. </w:t>
      </w:r>
      <w:r>
        <w:rPr>
          <w:rFonts w:ascii="Times New Roman" w:cs="Times New Roman" w:eastAsia="Times New Roman" w:hAnsi="Times New Roman"/>
          <w:sz w:val="14"/>
          <w:szCs w:val="14"/>
          <w:color w:val="auto"/>
        </w:rPr>
        <w:t>We define the pro forma and macro adjusted revenue as revenue, net as reflected in our statement of income,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adjusted to eliminate the impact of the macroeconomic environment and the impact of acquisitions and dispositions. The macroeconomic environment includes the impact that market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20"/>
          </w:cols>
          <w:pgMar w:left="220" w:top="125" w:right="25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fuel spread margins, fuel prices and foreign exchange rates have on our business. We use pro forma and macro adjusted revenue and key performance metric to evaluate the organic growth in our revenue and the associated performance metric. Set forth below is a reconciliation of pro forma and macro adjusted revenue and key performance metric to the most directly comparable GAAP measure, revenue, net and performance metric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3"/>
          </w:tcPr>
          <w:p>
            <w:pPr>
              <w:jc w:val="right"/>
              <w:ind w:right="755"/>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Key Performance Metric</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20" w:type="dxa"/>
            <w:vAlign w:val="bottom"/>
            <w:gridSpan w:val="4"/>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w:t>
            </w:r>
          </w:p>
        </w:tc>
        <w:tc>
          <w:tcPr>
            <w:tcW w:w="2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2018*</w:t>
            </w:r>
          </w:p>
        </w:tc>
        <w:tc>
          <w:tcPr>
            <w:tcW w:w="500" w:type="dxa"/>
            <w:vAlign w:val="bottom"/>
          </w:tcPr>
          <w:p>
            <w:pPr>
              <w:spacing w:after="0"/>
              <w:rPr>
                <w:sz w:val="17"/>
                <w:szCs w:val="17"/>
                <w:color w:val="auto"/>
              </w:rPr>
            </w:pPr>
          </w:p>
        </w:tc>
        <w:tc>
          <w:tcPr>
            <w:tcW w:w="1680" w:type="dxa"/>
            <w:vAlign w:val="bottom"/>
            <w:gridSpan w:val="3"/>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7"/>
                <w:szCs w:val="17"/>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7"/>
                <w:szCs w:val="17"/>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7"/>
              </w:rPr>
              <w:t>FUEL</w:t>
            </w:r>
          </w:p>
        </w:tc>
        <w:tc>
          <w:tcPr>
            <w:tcW w:w="3260" w:type="dxa"/>
            <w:vAlign w:val="bottom"/>
            <w:tcBorders>
              <w:top w:val="single" w:sz="8" w:color="CCEEFF"/>
              <w:bottom w:val="single" w:sz="8" w:color="CCEEFF"/>
              <w:right w:val="single" w:sz="8" w:color="CCEEFF"/>
            </w:tcBorders>
            <w:gridSpan w:val="10"/>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279.1</w:t>
            </w:r>
          </w:p>
        </w:tc>
        <w:tc>
          <w:tcPr>
            <w:tcW w:w="120" w:type="dxa"/>
            <w:vAlign w:val="bottom"/>
          </w:tcPr>
          <w:p>
            <w:pPr>
              <w:spacing w:after="0"/>
              <w:rPr>
                <w:sz w:val="16"/>
                <w:szCs w:val="16"/>
                <w:color w:val="auto"/>
              </w:rPr>
            </w:pP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254.8</w:t>
            </w: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tcPr>
          <w:p>
            <w:pPr>
              <w:spacing w:after="0"/>
              <w:rPr>
                <w:sz w:val="16"/>
                <w:szCs w:val="16"/>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118.7</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acquisitions/dispositions/Uber</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10.7</w:t>
            </w:r>
          </w:p>
        </w:tc>
        <w:tc>
          <w:tcPr>
            <w:tcW w:w="1680" w:type="dxa"/>
            <w:vAlign w:val="bottom"/>
            <w:tcBorders>
              <w:bottom w:val="single" w:sz="8" w:color="CCEEFF"/>
            </w:tcBorders>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6"/>
                <w:szCs w:val="16"/>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283.0</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265.4</w:t>
            </w: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122.3</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125.4</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auto"/>
            </w:tcBorders>
            <w:gridSpan w:val="10"/>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8"/>
              </w:rPr>
              <w:t>CORPORATE PAYMENTS - TRANSACTIONS</w:t>
            </w:r>
          </w:p>
        </w:tc>
        <w:tc>
          <w:tcPr>
            <w:tcW w:w="920" w:type="dxa"/>
            <w:vAlign w:val="bottom"/>
            <w:tcBorders>
              <w:bottom w:val="single" w:sz="8" w:color="CCEEFF"/>
              <w:right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112.0</w:t>
            </w:r>
          </w:p>
        </w:tc>
        <w:tc>
          <w:tcPr>
            <w:tcW w:w="120" w:type="dxa"/>
            <w:vAlign w:val="bottom"/>
          </w:tcPr>
          <w:p>
            <w:pPr>
              <w:spacing w:after="0"/>
              <w:rPr>
                <w:sz w:val="16"/>
                <w:szCs w:val="16"/>
                <w:color w:val="auto"/>
              </w:rPr>
            </w:pP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94.8</w:t>
            </w: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6"/>
                <w:szCs w:val="16"/>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110.3</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94.8</w:t>
            </w: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auto"/>
            </w:tcBorders>
            <w:gridSpan w:val="8"/>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CORPORATE PAYMENTS - SPEND</w:t>
            </w:r>
          </w:p>
        </w:tc>
        <w:tc>
          <w:tcPr>
            <w:tcW w:w="152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right w:val="single" w:sz="8" w:color="auto"/>
            </w:tcBorders>
          </w:tcPr>
          <w:p>
            <w:pPr>
              <w:spacing w:after="0"/>
              <w:rPr>
                <w:sz w:val="14"/>
                <w:szCs w:val="14"/>
                <w:color w:val="auto"/>
              </w:rPr>
            </w:pP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15,813.7</w:t>
            </w:r>
          </w:p>
        </w:tc>
        <w:tc>
          <w:tcPr>
            <w:tcW w:w="100" w:type="dxa"/>
            <w:vAlign w:val="bottom"/>
          </w:tcPr>
          <w:p>
            <w:pPr>
              <w:spacing w:after="0"/>
              <w:rPr>
                <w:sz w:val="14"/>
                <w:szCs w:val="14"/>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13,398.0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8"/>
                <w:szCs w:val="18"/>
                <w:color w:val="auto"/>
              </w:rPr>
            </w:pPr>
          </w:p>
        </w:tc>
        <w:tc>
          <w:tcPr>
            <w:tcW w:w="1700" w:type="dxa"/>
            <w:vAlign w:val="bottom"/>
            <w:gridSpan w:val="3"/>
          </w:tcPr>
          <w:p>
            <w:pPr>
              <w:jc w:val="right"/>
              <w:ind w:right="375"/>
              <w:spacing w:after="0"/>
              <w:rPr>
                <w:sz w:val="20"/>
                <w:szCs w:val="20"/>
                <w:color w:val="auto"/>
              </w:rPr>
            </w:pPr>
            <w:r>
              <w:rPr>
                <w:rFonts w:ascii="Times New Roman" w:cs="Times New Roman" w:eastAsia="Times New Roman" w:hAnsi="Times New Roman"/>
                <w:sz w:val="13"/>
                <w:szCs w:val="13"/>
                <w:color w:val="auto"/>
                <w:w w:val="98"/>
              </w:rPr>
              <w:t>Intentionally Left Blank</w:t>
            </w:r>
          </w:p>
        </w:tc>
        <w:tc>
          <w:tcPr>
            <w:tcW w:w="5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right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3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15,529.5</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13,398.0</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34"/>
        </w:trPr>
        <w:tc>
          <w:tcPr>
            <w:tcW w:w="20" w:type="dxa"/>
            <w:vAlign w:val="bottom"/>
            <w:shd w:val="clear" w:color="auto" w:fill="CCEEFF"/>
          </w:tcPr>
          <w:p>
            <w:pPr>
              <w:spacing w:after="0"/>
              <w:rPr>
                <w:sz w:val="11"/>
                <w:szCs w:val="11"/>
                <w:color w:val="auto"/>
              </w:rPr>
            </w:pPr>
          </w:p>
        </w:tc>
        <w:tc>
          <w:tcPr>
            <w:tcW w:w="3620" w:type="dxa"/>
            <w:vAlign w:val="bottom"/>
            <w:tcBorders>
              <w:right w:val="single" w:sz="8" w:color="CCEEFF"/>
            </w:tcBorders>
            <w:gridSpan w:val="11"/>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TOLLS - TAGS</w:t>
            </w: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103.2</w:t>
            </w:r>
          </w:p>
        </w:tc>
        <w:tc>
          <w:tcPr>
            <w:tcW w:w="120" w:type="dxa"/>
            <w:vAlign w:val="bottom"/>
          </w:tcPr>
          <w:p>
            <w:pPr>
              <w:spacing w:after="0"/>
              <w:rPr>
                <w:sz w:val="16"/>
                <w:szCs w:val="16"/>
                <w:color w:val="auto"/>
              </w:rPr>
            </w:pP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89.5</w:t>
            </w: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6"/>
                <w:szCs w:val="16"/>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89.5</w:t>
            </w: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auto"/>
            </w:tcBorders>
            <w:gridSpan w:val="7"/>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9"/>
              </w:rPr>
              <w:t>LODGING - ROOM NIGHTS</w:t>
            </w:r>
          </w:p>
        </w:tc>
        <w:tc>
          <w:tcPr>
            <w:tcW w:w="1920" w:type="dxa"/>
            <w:vAlign w:val="bottom"/>
            <w:tcBorders>
              <w:bottom w:val="single" w:sz="8" w:color="CCEEFF"/>
              <w:right w:val="single" w:sz="8" w:color="CCEEFF"/>
            </w:tcBorders>
            <w:gridSpan w:val="4"/>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tcPr>
          <w:p>
            <w:pPr>
              <w:spacing w:after="0"/>
              <w:rPr>
                <w:sz w:val="16"/>
                <w:szCs w:val="16"/>
                <w:color w:val="auto"/>
              </w:rPr>
            </w:pP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39.4</w:t>
            </w: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6"/>
                <w:szCs w:val="16"/>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auto"/>
            </w:tcBorders>
            <w:gridSpan w:val="5"/>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8"/>
              </w:rPr>
              <w:t>GIFT - TRANSACTIONS</w:t>
            </w:r>
          </w:p>
        </w:tc>
        <w:tc>
          <w:tcPr>
            <w:tcW w:w="2160" w:type="dxa"/>
            <w:vAlign w:val="bottom"/>
            <w:tcBorders>
              <w:bottom w:val="single" w:sz="8" w:color="CCEEFF"/>
              <w:right w:val="single" w:sz="8" w:color="CCEEFF"/>
            </w:tcBorders>
            <w:gridSpan w:val="6"/>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tcPr>
          <w:p>
            <w:pPr>
              <w:spacing w:after="0"/>
              <w:rPr>
                <w:sz w:val="16"/>
                <w:szCs w:val="16"/>
                <w:color w:val="auto"/>
              </w:rPr>
            </w:pP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49.8</w:t>
            </w: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330.8</w:t>
            </w:r>
          </w:p>
        </w:tc>
        <w:tc>
          <w:tcPr>
            <w:tcW w:w="100" w:type="dxa"/>
            <w:vAlign w:val="bottom"/>
          </w:tcPr>
          <w:p>
            <w:pPr>
              <w:spacing w:after="0"/>
              <w:rPr>
                <w:sz w:val="16"/>
                <w:szCs w:val="16"/>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349.9</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330.8</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349.6</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34"/>
        </w:trPr>
        <w:tc>
          <w:tcPr>
            <w:tcW w:w="20" w:type="dxa"/>
            <w:vAlign w:val="bottom"/>
            <w:shd w:val="clear" w:color="auto" w:fill="CCEEFF"/>
          </w:tcPr>
          <w:p>
            <w:pPr>
              <w:spacing w:after="0"/>
              <w:rPr>
                <w:sz w:val="11"/>
                <w:szCs w:val="11"/>
                <w:color w:val="auto"/>
              </w:rPr>
            </w:pPr>
          </w:p>
        </w:tc>
        <w:tc>
          <w:tcPr>
            <w:tcW w:w="3620" w:type="dxa"/>
            <w:vAlign w:val="bottom"/>
            <w:tcBorders>
              <w:right w:val="single" w:sz="8" w:color="CCEEFF"/>
            </w:tcBorders>
            <w:gridSpan w:val="11"/>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OTHER</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TRANSACTIONS</w:t>
            </w: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6"/>
                <w:szCs w:val="16"/>
                <w:color w:val="auto"/>
              </w:rPr>
            </w:pP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47.7</w:t>
            </w:r>
          </w:p>
        </w:tc>
        <w:tc>
          <w:tcPr>
            <w:tcW w:w="16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6"/>
                <w:szCs w:val="16"/>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5"/>
                <w:szCs w:val="15"/>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5"/>
                <w:szCs w:val="15"/>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80"/>
        </w:trPr>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tcBorders>
              <w:right w:val="single" w:sz="8" w:color="CCEEFF"/>
            </w:tcBorders>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62"/>
        </w:trPr>
        <w:tc>
          <w:tcPr>
            <w:tcW w:w="20" w:type="dxa"/>
            <w:vAlign w:val="bottom"/>
          </w:tcPr>
          <w:p>
            <w:pPr>
              <w:spacing w:after="0"/>
              <w:rPr>
                <w:sz w:val="14"/>
                <w:szCs w:val="14"/>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FLEETCOR CONSOLIDATED REVENUES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and macro adjusted</w:t>
            </w:r>
          </w:p>
        </w:tc>
        <w:tc>
          <w:tcPr>
            <w:tcW w:w="92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636.7</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576.0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acquisitions/dispositions</w:t>
            </w:r>
          </w:p>
        </w:tc>
        <w:tc>
          <w:tcPr>
            <w:tcW w:w="920" w:type="dxa"/>
            <w:vAlign w:val="bottom"/>
          </w:tcPr>
          <w:p>
            <w:pPr>
              <w:spacing w:after="0"/>
              <w:rPr>
                <w:sz w:val="16"/>
                <w:szCs w:val="16"/>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of fuel prices/spread</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30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8"/>
              </w:rPr>
              <w:t>Intentionally Left Blank</w:t>
            </w:r>
          </w:p>
        </w:tc>
        <w:tc>
          <w:tcPr>
            <w:tcW w:w="20" w:type="dxa"/>
            <w:vAlign w:val="bottom"/>
            <w:tcBorders>
              <w:bottom w:val="single" w:sz="8" w:color="auto"/>
            </w:tcBorders>
            <w:shd w:val="clear" w:color="auto" w:fill="000000"/>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Impact of foreign exchange rates</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As reported</w:t>
            </w:r>
          </w:p>
        </w:tc>
        <w:tc>
          <w:tcPr>
            <w:tcW w:w="92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621.8</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585.5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Columns may not calculate due to rounding.</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Other includes telematics, maintenance, and transportation related businesses.</w:t>
      </w:r>
    </w:p>
    <w:p>
      <w:pPr>
        <w:sectPr>
          <w:pgSz w:w="11900" w:h="16838" w:orient="portrait"/>
          <w:cols w:equalWidth="0" w:num="1">
            <w:col w:w="11160"/>
          </w:cols>
          <w:pgMar w:left="220" w:top="125" w:right="519" w:bottom="1440" w:gutter="0" w:footer="0" w:header="0"/>
        </w:sect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160"/>
          </w:cols>
          <w:pgMar w:left="220" w:top="125" w:right="51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Adjusted net income and adjusted net income per diluted share. </w:t>
      </w:r>
      <w:r>
        <w:rPr>
          <w:rFonts w:ascii="Times New Roman" w:cs="Times New Roman" w:eastAsia="Times New Roman" w:hAnsi="Times New Roman"/>
          <w:sz w:val="14"/>
          <w:szCs w:val="14"/>
          <w:color w:val="auto"/>
        </w:rPr>
        <w:t>We have defined the non-GAAP measure adjusted net income as net income as reflected in our statement of income, adjusted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eliminate (a) non-cash stock based compensation expense related to share based compensation awards, (b) amortization of deferred financing costs, discounts and intangible assets, and amortization of the premium recognized on the purchase of receivables, (c) other non-recurring items, including the impact of the Tax Act, impairment charges, asset write-offs, restructuring costs, gains due to disposition of assets and a business, loss on extinguishment of debt, legal settlements, and the unauthorized access impact.</w:t>
      </w:r>
    </w:p>
    <w:p>
      <w:pPr>
        <w:spacing w:after="0" w:line="96"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4"/>
          <w:szCs w:val="14"/>
          <w:color w:val="auto"/>
        </w:rPr>
        <w:t>We have defined the non-GAAP measure adjusted net income per diluted share as the calculation previously noted divided by the weighted average diluted shares outstanding as reflected in our statement of income.</w:t>
      </w:r>
    </w:p>
    <w:p>
      <w:pPr>
        <w:spacing w:after="0" w:line="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adjusted net income. We also believe one-time non-recurring gains, losses, and impairment charges do not necessarily reflect how our investments and business are performing. We believe that adjusted net income and adjusted net income per diluted share are appropriate supplemental measures of financial performance and may be useful to investors to understanding our operating performance on a consistent basis. Adjusted net income and adjusted net income per diluted share are not intended to be a substitute for GAAP financial measures and should not be used as such.</w:t>
      </w:r>
    </w:p>
    <w:p>
      <w:pPr>
        <w:spacing w:after="0" w:line="10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color w:val="auto"/>
        </w:rPr>
        <w:t>Set forth below is a reconciliation of adjusted net income and adjusted net income per diluted share to the most directly comparable GAAP measure, net income and net income per diluted share (in thousands, except per share amounts)*:</w:t>
      </w:r>
    </w:p>
    <w:p>
      <w:pPr>
        <w:spacing w:after="0" w:line="200" w:lineRule="exact"/>
        <w:rPr>
          <w:sz w:val="20"/>
          <w:szCs w:val="20"/>
          <w:color w:val="auto"/>
        </w:rPr>
      </w:pPr>
    </w:p>
    <w:p>
      <w:pPr>
        <w:spacing w:after="0" w:line="306" w:lineRule="exact"/>
        <w:rPr>
          <w:sz w:val="20"/>
          <w:szCs w:val="20"/>
          <w:color w:val="auto"/>
        </w:rPr>
      </w:pPr>
    </w:p>
    <w:tbl>
      <w:tblPr>
        <w:tblLayout w:type="fixed"/>
        <w:tblInd w:w="158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20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172,107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174,937</w:t>
            </w: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3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12,541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14,403</w:t>
            </w:r>
          </w:p>
        </w:tc>
      </w:tr>
      <w:tr>
        <w:trPr>
          <w:trHeight w:val="23"/>
        </w:trPr>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 premium on receivables, deferred financing costs and</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53,518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60,444</w:t>
            </w: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investment</w:t>
            </w:r>
          </w:p>
        </w:tc>
        <w:tc>
          <w:tcPr>
            <w:tcW w:w="3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15,660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costs</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1,929</w:t>
            </w:r>
          </w:p>
        </w:tc>
      </w:tr>
      <w:tr>
        <w:trPr>
          <w:trHeight w:val="184"/>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pre-tax adjustments</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81,719</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76,776</w:t>
            </w:r>
          </w:p>
        </w:tc>
      </w:tr>
      <w:tr>
        <w:trPr>
          <w:trHeight w:val="23"/>
        </w:trPr>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4"/>
                <w:szCs w:val="14"/>
                <w:color w:val="auto"/>
              </w:rPr>
              <w:t>Income tax impact of pre-tax adjustments at the effective tax rate</w:t>
            </w:r>
            <w:r>
              <w:rPr>
                <w:rFonts w:ascii="Times New Roman" w:cs="Times New Roman" w:eastAsia="Times New Roman" w:hAnsi="Times New Roman"/>
                <w:sz w:val="20"/>
                <w:szCs w:val="20"/>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(18,207)</w:t>
            </w:r>
          </w:p>
        </w:tc>
      </w:tr>
      <w:tr>
        <w:trPr>
          <w:trHeight w:val="184"/>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238,415</w:t>
            </w:r>
          </w:p>
        </w:tc>
        <w:tc>
          <w:tcPr>
            <w:tcW w:w="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233,506</w:t>
            </w:r>
          </w:p>
        </w:tc>
      </w:tr>
      <w:tr>
        <w:trPr>
          <w:trHeight w:val="63"/>
        </w:trPr>
        <w:tc>
          <w:tcPr>
            <w:tcW w:w="52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68"/>
        </w:trPr>
        <w:tc>
          <w:tcPr>
            <w:tcW w:w="52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Adjusted net income per diluted share</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w:t>
            </w: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shares</w:t>
            </w:r>
          </w:p>
        </w:tc>
        <w:tc>
          <w:tcPr>
            <w:tcW w:w="360" w:type="dxa"/>
            <w:vAlign w:val="bottom"/>
          </w:tcPr>
          <w:p>
            <w:pPr>
              <w:spacing w:after="0"/>
              <w:rPr>
                <w:sz w:val="16"/>
                <w:szCs w:val="16"/>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89,244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93,250</w:t>
            </w:r>
          </w:p>
        </w:tc>
      </w:tr>
    </w:tbl>
    <w:p>
      <w:pPr>
        <w:spacing w:after="0" w:line="1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*Columns may not calculate due to rounding.</w:t>
      </w:r>
    </w:p>
    <w:p>
      <w:pPr>
        <w:spacing w:after="0" w:line="55" w:lineRule="exact"/>
        <w:rPr>
          <w:sz w:val="20"/>
          <w:szCs w:val="20"/>
          <w:color w:val="auto"/>
        </w:rPr>
      </w:pPr>
    </w:p>
    <w:p>
      <w:pPr>
        <w:ind w:left="1720" w:right="1880" w:firstLine="5"/>
        <w:spacing w:after="0" w:line="230" w:lineRule="auto"/>
        <w:tabs>
          <w:tab w:leader="none" w:pos="1806"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Excludes the results of the Company's investments on our effective tax rate, as results from our investments are reported within the consolidated statements of income on a post-tax basis and no tax-over-book outside basis differences related to our investments reversed during 2019.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40"/>
          </w:cols>
          <w:pgMar w:left="220" w:top="125"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Cautionary Notice Regarding Forward-Looking Statements</w:t>
      </w:r>
    </w:p>
    <w:p>
      <w:pPr>
        <w:spacing w:after="0" w:line="10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4"/>
          <w:szCs w:val="14"/>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3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referendum to leave the European Union; the impact of foreign exchange rates on operations, revenue and income; the effects of general economic and political conditions on fueling patterns and the commercial activity of fleets; risks related to litigation; risks related to unauthorized access to systems and information; as well as the other risks and uncertainties identified under the caption “Risk Factors” in our Annual Report on Form 10-K for the year ended December 31, 2018 filed with the Securities and Exchange Commission on March 1, 2019 and this Quarterly Report.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104"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2019, there have been no material changes to our market risk from that disclosed in our Annual Report on Form 10-K for the year ended December 31, 2018.</w:t>
      </w:r>
    </w:p>
    <w:p>
      <w:pPr>
        <w:spacing w:after="0" w:line="139"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1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of March 31, 2019,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March 31, 2019,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added internal controls in support of the accounting, reporting and disclosure requirements of the new lease accounting standard, ASC 842, which became effective for us as of January 1, 2019.</w:t>
      </w:r>
    </w:p>
    <w:p>
      <w:pPr>
        <w:spacing w:after="0" w:line="18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Other than as discussed above, there were no changes in our internal control over financial reporting during the quarter ended March 31, 2019, that have materially affected, or are reasonably likely to materially affect, our internal control over financial reporting.</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440"/>
          </w:cols>
          <w:pgMar w:left="220" w:top="125"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313"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2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Class Action and Derivative Lawsuits</w:t>
      </w:r>
    </w:p>
    <w:p>
      <w:pPr>
        <w:spacing w:after="0" w:line="10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September 20, 2018, the court entered an order deferring the case pending a ruling on the parties’ anticipated motions for summary judgment in the putative shareholder class action, or until otherwise agreed to by the parties. On January 9, 2019, a similar shareholder derivative complaint was filed in the Superior Court of Gwinnett County, Georgia, which is stayed pending a ruling on the parties' anticipated motions for summary judgment in the putative shareholder class action, or until otherwise agreed by the parties. The defendants dispute the allegations in the derivative complaints and intend to vigorously defend against the claims.</w:t>
      </w:r>
    </w:p>
    <w:p>
      <w:pPr>
        <w:spacing w:after="0" w:line="23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February 1, 2019, Schultz Transfer Systems, Inc. filed a complaint against Fleetcor Technologies Operating Company, LLC (“Fleetcor LLC”) in the United States District Court for the Northern District of Georgia. The plaintiff alleges that it is a Fleetcor LLC customer and member of the Fuelman program, and that Fleetcor LLC overcharged the plaintiff for fees and fuel through the Fuelman program. Based on these allegations, the plaintiff asserts claims for breach of contract, breach of the covenant of good faith and fair dealing, fraud, fraudulent concealment, money had and received, and unjust enrichment. The plaintiff seeks to represent a class defined as all persons, including corporate entities, who were enrolled in the Fuelman program between June 2016 and the present. On April 1, 2019, the Company filed a motion to compel arbitration and to dismiss the case, which is pending with the court. The Company disputes the allegations in the complaint and intends to vigorously defend against these claims.</w:t>
      </w:r>
    </w:p>
    <w:p>
      <w:pPr>
        <w:spacing w:after="0" w:line="5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4"/>
          <w:szCs w:val="14"/>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35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20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Part I, Item 1A. “Risk Factors” in our Annual Report on Form 10-K for the year ended December 31, 2018 filed with the Securities and Exchange Commission on March 1, 2019, which could materially affect our business, financial condition or future results. There have been no material changes from the risk factors previously disclosed in the Company’s Annual Report on Form 10-K for the year ended December 31, 2018.</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40"/>
          </w:cols>
          <w:pgMar w:left="220" w:top="125"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33"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Board of Directors has approved a stock repurchase program (the "Program") under which the Company may purchase up to an aggregate of $2.1 billion of its common stock over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18 month period. The Program was updated most recently on January 23, 2019, the Company's Board of Directors, with an authorized increase in the size of the program by 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$500 million. With the increase and giving effect to the Company's $1.6 billion of previous repurchases, the Company may repurchase up to $545 million in shares of its common stock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time prior to February 1, 2020.</w:t>
      </w:r>
    </w:p>
    <w:p>
      <w:pPr>
        <w:spacing w:after="0" w:line="170"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4"/>
          <w:szCs w:val="14"/>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On December 14, 2018, as part of the Program, the Company entered an accelerated stock repurchase agreement ("2018 ASR Agreement") with a third-party financial institution to repurchase $220 million of its common stock. Pursuant to the 2018 ASR Agreement, the Company delivered $220 million in cash and received 1,057,035 shares based on a stock price of $176.91 on December 14, 2018. The 2018 ASR Agreement was completed on January 29, 2019, at which time the Company received 117,751 additional shares based on a final weighted average per share purchase price during the repurchase period of $187.27.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the beginning of the Program, 9,052,163 shares for an aggregate purchase price of $1.6 billion have been repurchased.</w:t>
      </w:r>
    </w:p>
    <w:p>
      <w:pPr>
        <w:spacing w:after="0" w:line="98"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4"/>
          <w:szCs w:val="14"/>
          <w:color w:val="auto"/>
        </w:rPr>
        <w:t>The following table presents information with respect to purchase of common stock of the Company made during the three months ended March 31, 2019 by the Company as defined in Rule 10b-18(a)(3) under the Exchange Act: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220" w:type="dxa"/>
            <w:vAlign w:val="bottom"/>
          </w:tcPr>
          <w:p>
            <w:pPr>
              <w:spacing w:after="0"/>
              <w:rPr>
                <w:sz w:val="11"/>
                <w:szCs w:val="11"/>
                <w:color w:val="auto"/>
              </w:rPr>
            </w:pPr>
          </w:p>
        </w:tc>
        <w:tc>
          <w:tcPr>
            <w:tcW w:w="1340" w:type="dxa"/>
            <w:vAlign w:val="bottom"/>
            <w:vMerge w:val="restart"/>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Average Price Paid Per</w:t>
            </w: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900" w:type="dxa"/>
            <w:vAlign w:val="bottom"/>
            <w:gridSpan w:val="2"/>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rPr>
              <w:t>Maximum Value that May Yet be</w:t>
            </w: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300" w:type="dxa"/>
            <w:vAlign w:val="bottom"/>
            <w:vMerge w:val="restart"/>
          </w:tcPr>
          <w:p>
            <w:pPr>
              <w:ind w:left="96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40" w:type="dxa"/>
            <w:vAlign w:val="bottom"/>
            <w:vMerge w:val="restart"/>
          </w:tcPr>
          <w:p>
            <w:pPr>
              <w:spacing w:after="0"/>
              <w:rPr>
                <w:sz w:val="10"/>
                <w:szCs w:val="10"/>
                <w:color w:val="auto"/>
              </w:rPr>
            </w:pPr>
          </w:p>
        </w:tc>
        <w:tc>
          <w:tcPr>
            <w:tcW w:w="17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6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Purchased as Part of the</w:t>
            </w:r>
          </w:p>
        </w:tc>
        <w:tc>
          <w:tcPr>
            <w:tcW w:w="220" w:type="dxa"/>
            <w:vAlign w:val="bottom"/>
          </w:tcPr>
          <w:p>
            <w:pPr>
              <w:spacing w:after="0"/>
              <w:rPr>
                <w:sz w:val="10"/>
                <w:szCs w:val="10"/>
                <w:color w:val="auto"/>
              </w:rPr>
            </w:pPr>
          </w:p>
        </w:tc>
        <w:tc>
          <w:tcPr>
            <w:tcW w:w="168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1"/>
                <w:szCs w:val="11"/>
                <w:b w:val="1"/>
                <w:bCs w:val="1"/>
                <w:color w:val="auto"/>
              </w:rPr>
              <w:t>Purchased Under the Publicly</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vMerge w:val="continue"/>
          </w:tcPr>
          <w:p>
            <w:pPr>
              <w:spacing w:after="0"/>
              <w:rPr>
                <w:sz w:val="13"/>
                <w:szCs w:val="13"/>
                <w:color w:val="auto"/>
              </w:rPr>
            </w:pPr>
          </w:p>
        </w:tc>
        <w:tc>
          <w:tcPr>
            <w:tcW w:w="17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Publicly Announced Plan</w:t>
            </w: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Announced Plan (in thousands)</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2019 through January 31, 2019</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1,073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color w:val="auto"/>
              </w:rPr>
              <w:t>197.16</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9,026,615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551,022</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March 1, 2019 through March 31, 2019</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25,548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239.92</w:t>
            </w:r>
          </w:p>
        </w:tc>
        <w:tc>
          <w:tcPr>
            <w:tcW w:w="162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9,052,163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544,892</w:t>
            </w:r>
          </w:p>
        </w:tc>
        <w:tc>
          <w:tcPr>
            <w:tcW w:w="0" w:type="dxa"/>
            <w:vAlign w:val="bottom"/>
          </w:tcPr>
          <w:p>
            <w:pPr>
              <w:spacing w:after="0"/>
              <w:rPr>
                <w:sz w:val="1"/>
                <w:szCs w:val="1"/>
                <w:color w:val="auto"/>
              </w:rPr>
            </w:pPr>
          </w:p>
        </w:tc>
      </w:tr>
      <w:tr>
        <w:trPr>
          <w:trHeight w:val="66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Defaults Upon Senior Securities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Mine Safety Disclosures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125" w:right="2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56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6" w:lineRule="exact"/>
        <w:rPr>
          <w:sz w:val="20"/>
          <w:szCs w:val="20"/>
          <w:color w:val="auto"/>
        </w:rPr>
      </w:pPr>
    </w:p>
    <w:p>
      <w:pPr>
        <w:jc w:val="center"/>
        <w:ind w:right="9560"/>
        <w:spacing w:after="0"/>
        <w:rPr>
          <w:sz w:val="20"/>
          <w:szCs w:val="20"/>
          <w:color w:val="auto"/>
        </w:rPr>
      </w:pPr>
      <w:r>
        <w:rPr>
          <w:rFonts w:ascii="Times New Roman" w:cs="Times New Roman" w:eastAsia="Times New Roman" w:hAnsi="Times New Roman"/>
          <w:sz w:val="11"/>
          <w:szCs w:val="11"/>
          <w:b w:val="1"/>
          <w:bCs w:val="1"/>
          <w:u w:val="single" w:color="auto"/>
          <w:color w:val="auto"/>
        </w:rPr>
        <w:t>No.</w:t>
      </w:r>
    </w:p>
    <w:p>
      <w:pPr>
        <w:spacing w:after="0" w:line="2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40" w:type="dxa"/>
            <w:vAlign w:val="bottom"/>
            <w:gridSpan w:val="3"/>
          </w:tcPr>
          <w:p>
            <w:pPr>
              <w:jc w:val="center"/>
              <w:spacing w:after="0"/>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1</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Acquisition agreement to acquire Serviços e Tecnologia de Pagamentos S.A. (incorporated by reference to Exhibit 2.1 to the Registrant's Form 8-K, File No. 001-</w:t>
            </w:r>
          </w:p>
        </w:tc>
      </w:tr>
      <w:tr>
        <w:trPr>
          <w:trHeight w:val="184"/>
        </w:trPr>
        <w:tc>
          <w:tcPr>
            <w:tcW w:w="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35004, filed with the Securities and Exchange Commission ("SEC") on March 18, 2016)</w:t>
            </w:r>
          </w:p>
        </w:tc>
      </w:tr>
      <w:tr>
        <w:trPr>
          <w:trHeight w:val="281"/>
        </w:trPr>
        <w:tc>
          <w:tcPr>
            <w:tcW w:w="240" w:type="dxa"/>
            <w:vAlign w:val="bottom"/>
            <w:gridSpan w:val="3"/>
          </w:tcPr>
          <w:p>
            <w:pPr>
              <w:jc w:val="center"/>
              <w:spacing w:after="0"/>
              <w:rPr>
                <w:rFonts w:ascii="Times New Roman" w:cs="Times New Roman" w:eastAsia="Times New Roman" w:hAnsi="Times New Roman"/>
                <w:sz w:val="14"/>
                <w:szCs w:val="14"/>
                <w:color w:val="0000FF"/>
              </w:rPr>
            </w:pPr>
            <w:hyperlink r:id="rId25">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Amended and Restated Certificate of Incorporation of FleetCor Technologies, Inc. (incorporated by reference to Exhibit 3.1 to the Registrant’s Annual Report on</w:t>
            </w:r>
          </w:p>
        </w:tc>
      </w:tr>
      <w:tr>
        <w:trPr>
          <w:trHeight w:val="184"/>
        </w:trPr>
        <w:tc>
          <w:tcPr>
            <w:tcW w:w="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Form 10-K, File No. 001-35004, filed with the SEC on March 25, 2011)</w:t>
            </w:r>
          </w:p>
        </w:tc>
      </w:tr>
      <w:tr>
        <w:trPr>
          <w:trHeight w:val="281"/>
        </w:trPr>
        <w:tc>
          <w:tcPr>
            <w:tcW w:w="240" w:type="dxa"/>
            <w:vAlign w:val="bottom"/>
            <w:gridSpan w:val="3"/>
          </w:tcPr>
          <w:p>
            <w:pPr>
              <w:jc w:val="center"/>
              <w:spacing w:after="0"/>
              <w:rPr>
                <w:rFonts w:ascii="Times New Roman" w:cs="Times New Roman" w:eastAsia="Times New Roman" w:hAnsi="Times New Roman"/>
                <w:sz w:val="14"/>
                <w:szCs w:val="14"/>
                <w:color w:val="0000FF"/>
              </w:rPr>
            </w:pPr>
            <w:hyperlink r:id="rId26">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Certificate of Amendment to the Amended and Restated Certificate of Incorporation of FleetCor Technologies, Inc. (incorporated by reference to Exhibit 3.1 to the</w:t>
            </w:r>
          </w:p>
        </w:tc>
      </w:tr>
      <w:tr>
        <w:trPr>
          <w:trHeight w:val="184"/>
        </w:trPr>
        <w:tc>
          <w:tcPr>
            <w:tcW w:w="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Registrant's Current Report on Form 8-K, File No. 001-35004, file with the SEC on June 8, 2018)</w:t>
            </w:r>
          </w:p>
        </w:tc>
      </w:tr>
      <w:tr>
        <w:trPr>
          <w:trHeight w:val="281"/>
        </w:trPr>
        <w:tc>
          <w:tcPr>
            <w:tcW w:w="240" w:type="dxa"/>
            <w:vAlign w:val="bottom"/>
            <w:gridSpan w:val="3"/>
          </w:tcPr>
          <w:p>
            <w:pPr>
              <w:jc w:val="center"/>
              <w:spacing w:after="0"/>
              <w:rPr>
                <w:rFonts w:ascii="Times New Roman" w:cs="Times New Roman" w:eastAsia="Times New Roman" w:hAnsi="Times New Roman"/>
                <w:sz w:val="14"/>
                <w:szCs w:val="14"/>
                <w:color w:val="0000FF"/>
              </w:rPr>
            </w:pPr>
            <w:hyperlink r:id="rId27">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3</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Amended and Restated Bylaws of FleetCor Technologies, Inc. (incorporated by reference to Exhibit 3.1 to the Registrant’s Annual Report on Form 8-K, File No.</w:t>
            </w:r>
          </w:p>
        </w:tc>
      </w:tr>
      <w:tr>
        <w:trPr>
          <w:trHeight w:val="184"/>
        </w:trPr>
        <w:tc>
          <w:tcPr>
            <w:tcW w:w="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001-35004, filed with the SEC on January 29, 2018)</w:t>
            </w:r>
          </w:p>
        </w:tc>
      </w:tr>
      <w:tr>
        <w:trPr>
          <w:trHeight w:val="281"/>
        </w:trPr>
        <w:tc>
          <w:tcPr>
            <w:tcW w:w="240" w:type="dxa"/>
            <w:vAlign w:val="bottom"/>
            <w:gridSpan w:val="3"/>
          </w:tcPr>
          <w:p>
            <w:pPr>
              <w:jc w:val="center"/>
              <w:spacing w:after="0"/>
              <w:rPr>
                <w:rFonts w:ascii="Times New Roman" w:cs="Times New Roman" w:eastAsia="Times New Roman" w:hAnsi="Times New Roman"/>
                <w:sz w:val="14"/>
                <w:szCs w:val="14"/>
                <w:color w:val="0000FF"/>
              </w:rPr>
            </w:pPr>
            <w:hyperlink r:id="rId28">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Form of Stock Certificate for Common Stock (incorporated by reference to Exhibit 4.1 to Amendment No. 3 to the Registrant’s Registration Statement on Form S-</w:t>
            </w:r>
          </w:p>
        </w:tc>
      </w:tr>
      <w:tr>
        <w:trPr>
          <w:trHeight w:val="184"/>
        </w:trPr>
        <w:tc>
          <w:tcPr>
            <w:tcW w:w="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 File No. 333-166092, filed with the SEC on June 29, 2010)</w:t>
            </w:r>
          </w:p>
        </w:tc>
      </w:tr>
      <w:tr>
        <w:trPr>
          <w:trHeight w:val="281"/>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45">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1</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Offer Letter, dated March 30, 2018, between FLEETCOR Technologies, Inc. and David Krantz</w:t>
            </w:r>
          </w:p>
        </w:tc>
      </w:tr>
      <w:tr>
        <w:trPr>
          <w:trHeight w:val="303"/>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52">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2</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Offer Letter, dated August14, 2015, between FLEETCOR Technologies, Inc. and Kurt Adams</w:t>
            </w:r>
          </w:p>
        </w:tc>
      </w:tr>
      <w:tr>
        <w:trPr>
          <w:trHeight w:val="293"/>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57">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3</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Fifth Amendment to the Fifth Amended and Restated Receivables Purchase Agreement, dated February 8, 2019 by and among FleetCor Funding LLC, FleetCor</w:t>
            </w:r>
          </w:p>
        </w:tc>
      </w:tr>
      <w:tr>
        <w:trPr>
          <w:trHeight w:val="170"/>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Technologies Operating Company, LLC, PNC Bank, National Association as administrator for a group of purchasers and purchaser agents, and certain other parties</w:t>
            </w:r>
          </w:p>
        </w:tc>
      </w:tr>
      <w:tr>
        <w:trPr>
          <w:trHeight w:val="186"/>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thereto</w:t>
            </w:r>
          </w:p>
        </w:tc>
      </w:tr>
      <w:tr>
        <w:trPr>
          <w:trHeight w:val="454"/>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61">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4</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Sixth Amendment to the Fifth Amended and Restated Receivables Purchase Agreement, dated April 22, 2019 by and among FleetCor Funding LLC, FleetCor</w:t>
            </w:r>
          </w:p>
        </w:tc>
      </w:tr>
      <w:tr>
        <w:trPr>
          <w:trHeight w:val="170"/>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Technologies Operating Company, LLC, PNC Bank, National Association as administrator for a group of purchasers and purchaser agents, and certain other parties</w:t>
            </w:r>
          </w:p>
        </w:tc>
      </w:tr>
      <w:tr>
        <w:trPr>
          <w:trHeight w:val="186"/>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thereto</w:t>
            </w:r>
          </w:p>
        </w:tc>
      </w:tr>
      <w:tr>
        <w:trPr>
          <w:trHeight w:val="281"/>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67">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1</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as amended</w:t>
            </w:r>
          </w:p>
        </w:tc>
      </w:tr>
      <w:tr>
        <w:trPr>
          <w:trHeight w:val="196"/>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68">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2</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as amended</w:t>
            </w:r>
          </w:p>
        </w:tc>
      </w:tr>
      <w:tr>
        <w:trPr>
          <w:trHeight w:val="293"/>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69">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1</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1350, as adopted pursuant to Section 906 of the Sarbanes-Oxley Act of 2001</w:t>
            </w:r>
          </w:p>
        </w:tc>
      </w:tr>
      <w:tr>
        <w:trPr>
          <w:trHeight w:val="293"/>
        </w:trPr>
        <w:tc>
          <w:tcPr>
            <w:tcW w:w="24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w w:val="97"/>
              </w:rPr>
            </w:pPr>
            <w:hyperlink w:anchor="page70">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2</w:t>
              </w:r>
            </w:hyperlink>
          </w:p>
        </w:tc>
        <w:tc>
          <w:tcPr>
            <w:tcW w:w="10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1350, as adopted pursuant to Section 906 of the Sarbanes-Oxley Act of 2001</w:t>
            </w:r>
          </w:p>
        </w:tc>
      </w:tr>
    </w:tbl>
    <w:p>
      <w:pPr>
        <w:spacing w:after="0" w:line="147" w:lineRule="exact"/>
        <w:rPr>
          <w:sz w:val="20"/>
          <w:szCs w:val="20"/>
          <w:color w:val="auto"/>
        </w:rPr>
      </w:pPr>
    </w:p>
    <w:p>
      <w:pPr>
        <w:ind w:left="1980" w:hanging="1166"/>
        <w:spacing w:after="0" w:line="275" w:lineRule="auto"/>
        <w:tabs>
          <w:tab w:leader="none" w:pos="1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Herein</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00"/>
          </w:cols>
          <w:pgMar w:left="220" w:top="125" w:right="27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in their capacities indicated on May 10, 2019.</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FleetCor Technologies, Inc.</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(Registrant)</w:t>
            </w:r>
          </w:p>
        </w:tc>
        <w:tc>
          <w:tcPr>
            <w:tcW w:w="0" w:type="dxa"/>
            <w:vAlign w:val="bottom"/>
          </w:tcPr>
          <w:p>
            <w:pPr>
              <w:spacing w:after="0"/>
              <w:rPr>
                <w:sz w:val="1"/>
                <w:szCs w:val="1"/>
                <w:color w:val="auto"/>
              </w:rPr>
            </w:pPr>
          </w:p>
        </w:tc>
      </w:tr>
      <w:tr>
        <w:trPr>
          <w:trHeight w:val="434"/>
        </w:trPr>
        <w:tc>
          <w:tcPr>
            <w:tcW w:w="5040" w:type="dxa"/>
            <w:vAlign w:val="bottom"/>
          </w:tcPr>
          <w:p>
            <w:pPr>
              <w:ind w:left="22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940" w:type="dxa"/>
            <w:vAlign w:val="bottom"/>
          </w:tcPr>
          <w:p>
            <w:pPr>
              <w:spacing w:after="0"/>
              <w:rPr>
                <w:sz w:val="24"/>
                <w:szCs w:val="24"/>
                <w:color w:val="auto"/>
              </w:rPr>
            </w:pPr>
          </w:p>
        </w:tc>
        <w:tc>
          <w:tcPr>
            <w:tcW w:w="5480" w:type="dxa"/>
            <w:vAlign w:val="bottom"/>
          </w:tcPr>
          <w:p>
            <w:pPr>
              <w:ind w:left="26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0" w:type="dxa"/>
            <w:vAlign w:val="bottom"/>
          </w:tcPr>
          <w:p>
            <w:pPr>
              <w:spacing w:after="0"/>
              <w:rPr>
                <w:sz w:val="1"/>
                <w:szCs w:val="1"/>
                <w:color w:val="auto"/>
              </w:rPr>
            </w:pPr>
          </w:p>
        </w:tc>
      </w:tr>
      <w:tr>
        <w:trPr>
          <w:trHeight w:val="63"/>
        </w:trPr>
        <w:tc>
          <w:tcPr>
            <w:tcW w:w="5040" w:type="dxa"/>
            <w:vAlign w:val="bottom"/>
            <w:tcBorders>
              <w:bottom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9"/>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Ronald F. Clarke</w:t>
            </w:r>
          </w:p>
        </w:tc>
        <w:tc>
          <w:tcPr>
            <w:tcW w:w="940" w:type="dxa"/>
            <w:vAlign w:val="bottom"/>
          </w:tcPr>
          <w:p>
            <w:pPr>
              <w:spacing w:after="0"/>
              <w:rPr>
                <w:sz w:val="24"/>
                <w:szCs w:val="24"/>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President, Chief Executive Officer and Chairman of the Board of Directors (Duly</w:t>
            </w:r>
          </w:p>
        </w:tc>
        <w:tc>
          <w:tcPr>
            <w:tcW w:w="0" w:type="dxa"/>
            <w:vAlign w:val="bottom"/>
          </w:tcPr>
          <w:p>
            <w:pPr>
              <w:spacing w:after="0"/>
              <w:rPr>
                <w:sz w:val="1"/>
                <w:szCs w:val="1"/>
                <w:color w:val="auto"/>
              </w:rPr>
            </w:pPr>
          </w:p>
        </w:tc>
      </w:tr>
      <w:tr>
        <w:trPr>
          <w:trHeight w:val="67"/>
        </w:trPr>
        <w:tc>
          <w:tcPr>
            <w:tcW w:w="50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5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Authorized Officer and Principal</w:t>
            </w: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54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Ronald F. Clarke</w:t>
            </w:r>
          </w:p>
        </w:tc>
        <w:tc>
          <w:tcPr>
            <w:tcW w:w="940" w:type="dxa"/>
            <w:vAlign w:val="bottom"/>
            <w:vMerge w:val="continue"/>
          </w:tcPr>
          <w:p>
            <w:pPr>
              <w:spacing w:after="0"/>
              <w:rPr>
                <w:sz w:val="5"/>
                <w:szCs w:val="5"/>
                <w:color w:val="auto"/>
              </w:rPr>
            </w:pP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0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5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Executive Officer)</w:t>
            </w:r>
          </w:p>
        </w:tc>
        <w:tc>
          <w:tcPr>
            <w:tcW w:w="0" w:type="dxa"/>
            <w:vAlign w:val="bottom"/>
          </w:tcPr>
          <w:p>
            <w:pPr>
              <w:spacing w:after="0"/>
              <w:rPr>
                <w:sz w:val="1"/>
                <w:szCs w:val="1"/>
                <w:color w:val="auto"/>
              </w:rPr>
            </w:pPr>
          </w:p>
        </w:tc>
      </w:tr>
      <w:tr>
        <w:trPr>
          <w:trHeight w:val="65"/>
        </w:trPr>
        <w:tc>
          <w:tcPr>
            <w:tcW w:w="5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4"/>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Eric R. Dey</w:t>
            </w:r>
          </w:p>
        </w:tc>
        <w:tc>
          <w:tcPr>
            <w:tcW w:w="940" w:type="dxa"/>
            <w:vAlign w:val="bottom"/>
          </w:tcPr>
          <w:p>
            <w:pPr>
              <w:spacing w:after="0"/>
              <w:rPr>
                <w:sz w:val="24"/>
                <w:szCs w:val="24"/>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 (Principal Financial Officer and Principal Accounting Officer)</w:t>
            </w: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R. Dey</w:t>
            </w:r>
          </w:p>
        </w:tc>
        <w:tc>
          <w:tcPr>
            <w:tcW w:w="9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50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9878695</wp:posOffset>
            </wp:positionV>
            <wp:extent cx="721741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ind w:left="9580"/>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AMENDMENT TO FIFTH AMENDED AND RESTATED RECEIVABLES PURCHASE AGREEMENT</w:t>
      </w: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FIFTH AMENDMENT TO FIFTH AMENDED AND RESTATED RECEIVABLES PURCHASE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19, 2018, is entered into by and among the following parties:</w:t>
      </w:r>
    </w:p>
    <w:p>
      <w:pPr>
        <w:spacing w:after="0" w:line="162" w:lineRule="exact"/>
        <w:rPr>
          <w:sz w:val="20"/>
          <w:szCs w:val="20"/>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FLEETCOR FUNDING LLC, as Seller (the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FLEETCOR TECHNOLOGIES OPERATING COMPANY, LLC, as Servicer (the “</w:t>
      </w:r>
      <w:r>
        <w:rPr>
          <w:rFonts w:ascii="Times New Roman" w:cs="Times New Roman" w:eastAsia="Times New Roman" w:hAnsi="Times New Roman"/>
          <w:sz w:val="17"/>
          <w:szCs w:val="17"/>
          <w:u w:val="single" w:color="auto"/>
          <w:color w:val="auto"/>
        </w:rPr>
        <w:t>Servicer</w:t>
      </w:r>
      <w:r>
        <w:rPr>
          <w:rFonts w:ascii="Times New Roman" w:cs="Times New Roman" w:eastAsia="Times New Roman" w:hAnsi="Times New Roman"/>
          <w:sz w:val="17"/>
          <w:szCs w:val="17"/>
          <w:color w:val="auto"/>
        </w:rPr>
        <w:t>”);</w:t>
      </w:r>
    </w:p>
    <w:p>
      <w:pPr>
        <w:spacing w:after="0" w:line="95" w:lineRule="exact"/>
        <w:rPr>
          <w:rFonts w:ascii="Times New Roman" w:cs="Times New Roman" w:eastAsia="Times New Roman" w:hAnsi="Times New Roman"/>
          <w:sz w:val="17"/>
          <w:szCs w:val="17"/>
          <w:color w:val="auto"/>
        </w:rPr>
      </w:pPr>
    </w:p>
    <w:p>
      <w:pPr>
        <w:ind w:left="1040" w:hanging="517"/>
        <w:spacing w:after="0" w:line="288"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PNC BANK, NATIONAL ASSOCIATION (“</w:t>
      </w:r>
      <w:r>
        <w:rPr>
          <w:rFonts w:ascii="Times New Roman" w:cs="Times New Roman" w:eastAsia="Times New Roman" w:hAnsi="Times New Roman"/>
          <w:sz w:val="17"/>
          <w:szCs w:val="17"/>
          <w:u w:val="single" w:color="auto"/>
          <w:color w:val="auto"/>
        </w:rPr>
        <w:t>PNC</w:t>
      </w:r>
      <w:r>
        <w:rPr>
          <w:rFonts w:ascii="Times New Roman" w:cs="Times New Roman" w:eastAsia="Times New Roman" w:hAnsi="Times New Roman"/>
          <w:sz w:val="17"/>
          <w:szCs w:val="17"/>
          <w:color w:val="auto"/>
        </w:rPr>
        <w:t>”), as a Committed Purchaser, as the sole Swingline Purchaser and as the Purchaser Agent for its Purchaser Group;</w:t>
      </w:r>
    </w:p>
    <w:p>
      <w:pPr>
        <w:spacing w:after="0" w:line="26"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WELLS FARGO BANK, NATIONAL ASSOCIATION (“</w:t>
      </w:r>
      <w:r>
        <w:rPr>
          <w:rFonts w:ascii="Times New Roman" w:cs="Times New Roman" w:eastAsia="Times New Roman" w:hAnsi="Times New Roman"/>
          <w:sz w:val="17"/>
          <w:szCs w:val="17"/>
          <w:u w:val="single" w:color="auto"/>
          <w:color w:val="auto"/>
        </w:rPr>
        <w:t>Wells</w:t>
      </w:r>
      <w:r>
        <w:rPr>
          <w:rFonts w:ascii="Times New Roman" w:cs="Times New Roman" w:eastAsia="Times New Roman" w:hAnsi="Times New Roman"/>
          <w:sz w:val="17"/>
          <w:szCs w:val="17"/>
          <w:color w:val="auto"/>
        </w:rPr>
        <w:t>”), as a Committed Purchaser and as the Purchaser Agent for its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REGIONS BANK (“</w:t>
      </w:r>
      <w:r>
        <w:rPr>
          <w:rFonts w:ascii="Times New Roman" w:cs="Times New Roman" w:eastAsia="Times New Roman" w:hAnsi="Times New Roman"/>
          <w:sz w:val="17"/>
          <w:szCs w:val="17"/>
          <w:u w:val="single" w:color="auto"/>
          <w:color w:val="auto"/>
        </w:rPr>
        <w:t>Regions</w:t>
      </w:r>
      <w:r>
        <w:rPr>
          <w:rFonts w:ascii="Times New Roman" w:cs="Times New Roman" w:eastAsia="Times New Roman" w:hAnsi="Times New Roman"/>
          <w:sz w:val="17"/>
          <w:szCs w:val="17"/>
          <w:color w:val="auto"/>
        </w:rPr>
        <w:t>”), as a Committed Purchaser and as the Purchaser Agent for its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MUFG BANK, LTD. (“</w:t>
      </w:r>
      <w:r>
        <w:rPr>
          <w:rFonts w:ascii="Times New Roman" w:cs="Times New Roman" w:eastAsia="Times New Roman" w:hAnsi="Times New Roman"/>
          <w:sz w:val="17"/>
          <w:szCs w:val="17"/>
          <w:u w:val="single" w:color="auto"/>
          <w:color w:val="auto"/>
        </w:rPr>
        <w:t>MUFG</w:t>
      </w:r>
      <w:r>
        <w:rPr>
          <w:rFonts w:ascii="Times New Roman" w:cs="Times New Roman" w:eastAsia="Times New Roman" w:hAnsi="Times New Roman"/>
          <w:sz w:val="17"/>
          <w:szCs w:val="17"/>
          <w:color w:val="auto"/>
        </w:rPr>
        <w:t>”), as a Committed Purchaser and as the Purchaser Agent for its and Victory’s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VICTORY RECEIVABLES CORPORATION (“</w:t>
      </w:r>
      <w:r>
        <w:rPr>
          <w:rFonts w:ascii="Times New Roman" w:cs="Times New Roman" w:eastAsia="Times New Roman" w:hAnsi="Times New Roman"/>
          <w:sz w:val="17"/>
          <w:szCs w:val="17"/>
          <w:u w:val="single" w:color="auto"/>
          <w:color w:val="auto"/>
        </w:rPr>
        <w:t>Victory</w:t>
      </w:r>
      <w:r>
        <w:rPr>
          <w:rFonts w:ascii="Times New Roman" w:cs="Times New Roman" w:eastAsia="Times New Roman" w:hAnsi="Times New Roman"/>
          <w:sz w:val="17"/>
          <w:szCs w:val="17"/>
          <w:color w:val="auto"/>
        </w:rPr>
        <w:t>”), as a Conduit Purchaser for MUFG’s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MIZUHO BANK, LTD. (“</w:t>
      </w:r>
      <w:r>
        <w:rPr>
          <w:rFonts w:ascii="Times New Roman" w:cs="Times New Roman" w:eastAsia="Times New Roman" w:hAnsi="Times New Roman"/>
          <w:sz w:val="17"/>
          <w:szCs w:val="17"/>
          <w:u w:val="single" w:color="auto"/>
          <w:color w:val="auto"/>
        </w:rPr>
        <w:t>Mizuho</w:t>
      </w:r>
      <w:r>
        <w:rPr>
          <w:rFonts w:ascii="Times New Roman" w:cs="Times New Roman" w:eastAsia="Times New Roman" w:hAnsi="Times New Roman"/>
          <w:sz w:val="17"/>
          <w:szCs w:val="17"/>
          <w:color w:val="auto"/>
        </w:rPr>
        <w:t>”), as a Committed Purchaser; and</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PNC BANK, NATIONAL ASSOCIATION, as Administrator</w:t>
      </w:r>
    </w:p>
    <w:p>
      <w:pPr>
        <w:spacing w:after="0" w:line="3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(in such capacity, the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BACKGROUND</w:t>
      </w:r>
    </w:p>
    <w:p>
      <w:pPr>
        <w:spacing w:after="0" w:line="182" w:lineRule="exact"/>
        <w:rPr>
          <w:sz w:val="20"/>
          <w:szCs w:val="20"/>
          <w:color w:val="auto"/>
        </w:rPr>
      </w:pPr>
    </w:p>
    <w:p>
      <w:pPr>
        <w:jc w:val="both"/>
        <w:ind w:firstLine="523"/>
        <w:spacing w:after="0" w:line="269" w:lineRule="auto"/>
        <w:tabs>
          <w:tab w:leader="none" w:pos="86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are parties to that certain Fifth Amended and Restated Receivables Purchase Agreement dated as of November 14, 2014 (as amended, restated, supplemented or otherwise modified through the date hereof, the “</w:t>
      </w:r>
      <w:r>
        <w:rPr>
          <w:rFonts w:ascii="Times New Roman" w:cs="Times New Roman" w:eastAsia="Times New Roman" w:hAnsi="Times New Roman"/>
          <w:sz w:val="17"/>
          <w:szCs w:val="17"/>
          <w:u w:val="single" w:color="auto"/>
          <w:color w:val="auto"/>
        </w:rPr>
        <w:t>Receivables Purchase Agreement</w:t>
      </w:r>
      <w:r>
        <w:rPr>
          <w:rFonts w:ascii="Times New Roman" w:cs="Times New Roman" w:eastAsia="Times New Roman" w:hAnsi="Times New Roman"/>
          <w:sz w:val="17"/>
          <w:szCs w:val="17"/>
          <w:color w:val="auto"/>
        </w:rPr>
        <w:t>”). Capitalized terms used and not otherwise defined herein have the respective meaning assigned to such terms in the Receivables Purchase Agreement.</w:t>
      </w:r>
    </w:p>
    <w:p>
      <w:pPr>
        <w:spacing w:after="0" w:line="129" w:lineRule="exact"/>
        <w:rPr>
          <w:rFonts w:ascii="Times New Roman" w:cs="Times New Roman" w:eastAsia="Times New Roman" w:hAnsi="Times New Roman"/>
          <w:sz w:val="17"/>
          <w:szCs w:val="17"/>
          <w:color w:val="auto"/>
        </w:rPr>
      </w:pPr>
    </w:p>
    <w:p>
      <w:pPr>
        <w:ind w:firstLine="523"/>
        <w:spacing w:after="0" w:line="288" w:lineRule="auto"/>
        <w:tabs>
          <w:tab w:leader="none" w:pos="89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Effective Date (defined below), the Seller, as seller, and Fleetcor, as buyer, are entering into that certain Assignment Agreement in connection herewith whereby the Seller is selling now existing Chevron Receivables to Fleetcor (the “</w:t>
      </w:r>
      <w:r>
        <w:rPr>
          <w:rFonts w:ascii="Times New Roman" w:cs="Times New Roman" w:eastAsia="Times New Roman" w:hAnsi="Times New Roman"/>
          <w:sz w:val="17"/>
          <w:szCs w:val="17"/>
          <w:u w:val="single" w:color="auto"/>
          <w:color w:val="auto"/>
        </w:rPr>
        <w:t>Assignment Agreement</w:t>
      </w:r>
      <w:r>
        <w:rPr>
          <w:rFonts w:ascii="Times New Roman" w:cs="Times New Roman" w:eastAsia="Times New Roman" w:hAnsi="Times New Roman"/>
          <w:sz w:val="17"/>
          <w:szCs w:val="17"/>
          <w:color w:val="auto"/>
        </w:rPr>
        <w:t>”).</w:t>
      </w:r>
    </w:p>
    <w:p>
      <w:pPr>
        <w:spacing w:after="0" w:line="112" w:lineRule="exact"/>
        <w:rPr>
          <w:rFonts w:ascii="Times New Roman" w:cs="Times New Roman" w:eastAsia="Times New Roman" w:hAnsi="Times New Roman"/>
          <w:sz w:val="17"/>
          <w:szCs w:val="17"/>
          <w:color w:val="auto"/>
        </w:rPr>
      </w:pPr>
    </w:p>
    <w:p>
      <w:pPr>
        <w:ind w:left="860" w:hanging="337"/>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desire to amend the Receivables Purchase Agreement on the terms and subject to the conditions set forth herein.</w:t>
      </w:r>
    </w:p>
    <w:p>
      <w:pPr>
        <w:spacing w:after="0" w:line="182" w:lineRule="exact"/>
        <w:rPr>
          <w:sz w:val="20"/>
          <w:szCs w:val="20"/>
          <w:color w:val="auto"/>
        </w:rPr>
      </w:pPr>
    </w:p>
    <w:p>
      <w:pPr>
        <w:ind w:firstLine="517"/>
        <w:spacing w:after="0" w:line="288" w:lineRule="auto"/>
        <w:rPr>
          <w:sz w:val="20"/>
          <w:szCs w:val="20"/>
          <w:color w:val="auto"/>
        </w:rPr>
      </w:pPr>
      <w:r>
        <w:rPr>
          <w:rFonts w:ascii="Times New Roman" w:cs="Times New Roman" w:eastAsia="Times New Roman" w:hAnsi="Times New Roman"/>
          <w:sz w:val="17"/>
          <w:szCs w:val="17"/>
          <w:color w:val="auto"/>
        </w:rPr>
        <w:t>NOW, THEREFORE, for good and valuable consideration, the receipt and sufficiency of which are hereby acknowledged, the parties hereto hereby agree as follows:</w:t>
      </w:r>
    </w:p>
    <w:p>
      <w:pPr>
        <w:spacing w:after="0" w:line="113" w:lineRule="exact"/>
        <w:rPr>
          <w:sz w:val="20"/>
          <w:szCs w:val="20"/>
          <w:color w:val="auto"/>
        </w:rPr>
      </w:pPr>
    </w:p>
    <w:p>
      <w:pPr>
        <w:ind w:firstLine="517"/>
        <w:spacing w:after="0" w:line="301"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Amendments to the Receivables Purchase Agreement</w:t>
      </w:r>
      <w:r>
        <w:rPr>
          <w:rFonts w:ascii="Times New Roman" w:cs="Times New Roman" w:eastAsia="Times New Roman" w:hAnsi="Times New Roman"/>
          <w:sz w:val="17"/>
          <w:szCs w:val="17"/>
          <w:color w:val="auto"/>
        </w:rPr>
        <w:t xml:space="preserve">. The Receivables Purchase Agreement is hereby amended on and after the Effective Date to reflect the marked changes shown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w:t>
      </w:r>
    </w:p>
    <w:p>
      <w:pPr>
        <w:spacing w:after="0" w:line="102" w:lineRule="exact"/>
        <w:rPr>
          <w:sz w:val="20"/>
          <w:szCs w:val="20"/>
          <w:color w:val="auto"/>
        </w:rPr>
      </w:pPr>
    </w:p>
    <w:p>
      <w:pPr>
        <w:ind w:firstLine="517"/>
        <w:spacing w:after="0" w:line="301"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Representations and Warranties of the Seller and Servicer</w:t>
      </w:r>
      <w:r>
        <w:rPr>
          <w:rFonts w:ascii="Times New Roman" w:cs="Times New Roman" w:eastAsia="Times New Roman" w:hAnsi="Times New Roman"/>
          <w:sz w:val="17"/>
          <w:szCs w:val="17"/>
          <w:color w:val="auto"/>
        </w:rPr>
        <w:t>. Each of the Seller and the Servicer hereby represents and warrants, as to itself, to each of the Administrator, each Purchaser and each Purchaser Agent as follows as of the date hereof and on the Effective Date:</w:t>
      </w:r>
    </w:p>
    <w:p>
      <w:pPr>
        <w:spacing w:after="0" w:line="102" w:lineRule="exact"/>
        <w:rPr>
          <w:sz w:val="20"/>
          <w:szCs w:val="20"/>
          <w:color w:val="auto"/>
        </w:rPr>
      </w:pPr>
    </w:p>
    <w:p>
      <w:pPr>
        <w:ind w:left="520" w:firstLine="521"/>
        <w:spacing w:after="0" w:line="301" w:lineRule="auto"/>
        <w:tabs>
          <w:tab w:leader="none" w:pos="143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it in the Transaction Documents are true and correct as of the date hereof (unless stated to relate solely to an earlier date, in which case such representations or warranties were true and correct as of such earlier date);</w:t>
      </w:r>
    </w:p>
    <w:p>
      <w:pPr>
        <w:spacing w:after="0" w:line="102" w:lineRule="exact"/>
        <w:rPr>
          <w:rFonts w:ascii="Times New Roman" w:cs="Times New Roman" w:eastAsia="Times New Roman" w:hAnsi="Times New Roman"/>
          <w:sz w:val="17"/>
          <w:szCs w:val="17"/>
          <w:color w:val="auto"/>
        </w:rPr>
      </w:pPr>
    </w:p>
    <w:p>
      <w:pPr>
        <w:ind w:left="520" w:firstLine="521"/>
        <w:spacing w:after="0" w:line="301" w:lineRule="auto"/>
        <w:tabs>
          <w:tab w:leader="none" w:pos="142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has occurred and is continuing, or would result from the transactions contemplated hereby, that constitutes a Termination Event or an Unmatured Termination Event, and the Facility Termination Date has not occurred;</w:t>
      </w:r>
    </w:p>
    <w:p>
      <w:pPr>
        <w:spacing w:after="0" w:line="102" w:lineRule="exact"/>
        <w:rPr>
          <w:rFonts w:ascii="Times New Roman" w:cs="Times New Roman" w:eastAsia="Times New Roman" w:hAnsi="Times New Roman"/>
          <w:sz w:val="17"/>
          <w:szCs w:val="17"/>
          <w:color w:val="auto"/>
        </w:rPr>
      </w:pPr>
    </w:p>
    <w:p>
      <w:pPr>
        <w:jc w:val="both"/>
        <w:ind w:left="520" w:firstLine="521"/>
        <w:spacing w:after="0" w:line="276" w:lineRule="auto"/>
        <w:tabs>
          <w:tab w:leader="none" w:pos="142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such Person of this Amendment, and the performance of each of its obligations under this Amendment and the Receivables Purchase Agreement, as amended hereby, are within each of its corporate powers and have been duly authorized by all necessary corporate action on its part; and</w:t>
      </w:r>
    </w:p>
    <w:p>
      <w:pPr>
        <w:spacing w:after="0" w:line="123" w:lineRule="exact"/>
        <w:rPr>
          <w:rFonts w:ascii="Times New Roman" w:cs="Times New Roman" w:eastAsia="Times New Roman" w:hAnsi="Times New Roman"/>
          <w:sz w:val="17"/>
          <w:szCs w:val="17"/>
          <w:color w:val="auto"/>
        </w:rPr>
      </w:pPr>
    </w:p>
    <w:p>
      <w:pPr>
        <w:ind w:left="520" w:firstLine="521"/>
        <w:spacing w:after="0" w:line="301" w:lineRule="auto"/>
        <w:tabs>
          <w:tab w:leader="none" w:pos="152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and the Receivables Purchase Agreement, as amended hereby, are such Person’s valid and legally binding obligations, enforceable in accordance with its terms.</w:t>
      </w:r>
    </w:p>
    <w:p>
      <w:pPr>
        <w:spacing w:after="0" w:line="102"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All provisions of the Receivables Purchase Agreement,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spacing w:after="0" w:line="136"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This Amendment shall be effective as of the date (such date,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on which all of the following conditions precedent have been satisfied: (a) the Administrator’s receipt of counterparts of this Amendment and the Assignment Agreement; (b) the receipt by the Seller of the amounts owing under the Assignment Agreement; and (c) receipt by the Administrator of a written notice in substantially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attached hereto (an “</w:t>
      </w:r>
      <w:r>
        <w:rPr>
          <w:rFonts w:ascii="Times New Roman" w:cs="Times New Roman" w:eastAsia="Times New Roman" w:hAnsi="Times New Roman"/>
          <w:sz w:val="17"/>
          <w:szCs w:val="17"/>
          <w:u w:val="single" w:color="auto"/>
          <w:color w:val="auto"/>
        </w:rPr>
        <w:t>Effectiveness Notice</w:t>
      </w:r>
      <w:r>
        <w:rPr>
          <w:rFonts w:ascii="Times New Roman" w:cs="Times New Roman" w:eastAsia="Times New Roman" w:hAnsi="Times New Roman"/>
          <w:sz w:val="17"/>
          <w:szCs w:val="17"/>
          <w:color w:val="auto"/>
        </w:rPr>
        <w:t xml:space="preserve">”) executed by the Seller and Fleetcor;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if each of the conditions precedent set forth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have not been satisfied in full 60 days after the date hereof, this Amendment shall be void and have no force and effect unless such period is extended in writing by the Administrator in their sole discretion.</w:t>
      </w:r>
    </w:p>
    <w:p>
      <w:pPr>
        <w:spacing w:after="0" w:line="136"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This Amendment shall be binding upon, and inure to the benefit of, the parties hereto and their respective successors and assigns.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electronic transmission shall be effective as delivery of a manually executed counterpart hereof.</w:t>
      </w:r>
    </w:p>
    <w:p>
      <w:pPr>
        <w:spacing w:after="0" w:line="129" w:lineRule="exact"/>
        <w:rPr>
          <w:sz w:val="20"/>
          <w:szCs w:val="20"/>
          <w:color w:val="auto"/>
        </w:rPr>
      </w:pPr>
    </w:p>
    <w:p>
      <w:pPr>
        <w:jc w:val="both"/>
        <w:ind w:firstLine="517"/>
        <w:spacing w:after="0" w:line="216" w:lineRule="exact"/>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SHALL BE DEEMED TO BE A CONTRACT MADE UNDER AND GOVERNED BY THE INTERNAL LAWS OF THE STATE OF NEW YORK (INCLUDING FOR SUCH PURPOSE SECTIONS 5-1401 AND 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1402 OF THE GENERAL OBLIGATIONS LAW OF THE STATE OF NEW YORK).</w:t>
      </w:r>
    </w:p>
    <w:p>
      <w:pPr>
        <w:sectPr>
          <w:pgSz w:w="11900" w:h="16838" w:orient="portrait"/>
          <w:cols w:equalWidth="0" w:num="1">
            <w:col w:w="11460"/>
          </w:cols>
          <w:pgMar w:left="220" w:top="126" w:right="219" w:bottom="0" w:gutter="0" w:footer="0" w:header="0"/>
        </w:sectPr>
      </w:pPr>
    </w:p>
    <w:bookmarkStart w:id="57" w:name="page58"/>
    <w:bookmarkEnd w:id="57"/>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one or more of the agreements, provisions or terms of this Amendment shall for any reason whatsoever be held invalid or unenforceable, then such agreements, provisions or terms shall be deemed severable from the remaining agreements, provisions and terms of this Amendment and shall in no way affect the validity or enforceability of the provisions of this Amendment or the Receivables Purchase Agreement.</w:t>
      </w:r>
    </w:p>
    <w:p>
      <w:pPr>
        <w:spacing w:after="0" w:line="123" w:lineRule="exact"/>
        <w:rPr>
          <w:sz w:val="20"/>
          <w:szCs w:val="20"/>
          <w:color w:val="auto"/>
        </w:rPr>
      </w:pPr>
    </w:p>
    <w:p>
      <w:pPr>
        <w:jc w:val="both"/>
        <w:ind w:firstLine="517"/>
        <w:spacing w:after="0" w:line="301"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Section Headings</w:t>
      </w:r>
      <w:r>
        <w:rPr>
          <w:rFonts w:ascii="Times New Roman" w:cs="Times New Roman" w:eastAsia="Times New Roman" w:hAnsi="Times New Roman"/>
          <w:sz w:val="17"/>
          <w:szCs w:val="17"/>
          <w:color w:val="auto"/>
        </w:rPr>
        <w:t>. The various headings of this Amendment are included for convenience only and shall not affect the meaning or interpretation of this Amendment, the Receivables Purchase Agreement or any provision hereof or thereof.</w:t>
      </w:r>
    </w:p>
    <w:p>
      <w:pPr>
        <w:spacing w:after="0" w:line="102" w:lineRule="exact"/>
        <w:rPr>
          <w:sz w:val="20"/>
          <w:szCs w:val="20"/>
          <w:color w:val="auto"/>
        </w:rPr>
      </w:pPr>
    </w:p>
    <w:p>
      <w:pPr>
        <w:jc w:val="both"/>
        <w:ind w:firstLine="517"/>
        <w:spacing w:after="0" w:line="301"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Consent to Assignment Agreement</w:t>
      </w:r>
      <w:r>
        <w:rPr>
          <w:rFonts w:ascii="Times New Roman" w:cs="Times New Roman" w:eastAsia="Times New Roman" w:hAnsi="Times New Roman"/>
          <w:sz w:val="17"/>
          <w:szCs w:val="17"/>
          <w:color w:val="auto"/>
        </w:rPr>
        <w:t xml:space="preserve">. Each Person party hereby consents to Fleetcor and the Seller’s execution, delivery of the Assignment Agreement and performance of its obligations thereunder so long as the same is in substantially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[SIGNATURES BEGIN ON NEXT PAGE]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Amendment by their duly authorized officers as of the date first above written.</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FLEETCOR FUNDING LLC</w:t>
      </w:r>
      <w:r>
        <w:rPr>
          <w:rFonts w:ascii="Times New Roman" w:cs="Times New Roman" w:eastAsia="Times New Roman" w:hAnsi="Times New Roman"/>
          <w:sz w:val="17"/>
          <w:szCs w:val="17"/>
          <w:color w:val="auto"/>
        </w:rPr>
        <w:t>, as Seller</w:t>
      </w: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 Pisciotta</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Steve Pisciotta</w:t>
      </w:r>
    </w:p>
    <w:p>
      <w:pPr>
        <w:spacing w:after="0" w:line="9"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17"/>
          <w:szCs w:val="17"/>
          <w:color w:val="auto"/>
        </w:rPr>
        <w:t>Title:</w:t>
        <w:tab/>
        <w:t>Treasurer</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FLEETCOR TECHNOLOGIES OPERATING COMPANY, LLC</w:t>
      </w:r>
      <w:r>
        <w:rPr>
          <w:rFonts w:ascii="Times New Roman" w:cs="Times New Roman" w:eastAsia="Times New Roman" w:hAnsi="Times New Roman"/>
          <w:sz w:val="17"/>
          <w:szCs w:val="17"/>
          <w:color w:val="auto"/>
        </w:rPr>
        <w:t>, as Servicer</w:t>
      </w:r>
    </w:p>
    <w:p>
      <w:pPr>
        <w:spacing w:after="0" w:line="3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 Pisciotta</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Steve Pisciotta</w:t>
      </w:r>
    </w:p>
    <w:p>
      <w:pPr>
        <w:spacing w:after="0" w:line="9"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17"/>
          <w:szCs w:val="17"/>
          <w:color w:val="auto"/>
        </w:rPr>
        <w:t>Title:</w:t>
        <w:tab/>
        <w:t>Treasurer</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 Committed Purchaser and as Purchaser Agent for its Purchaser Group</w:t>
      </w:r>
    </w:p>
    <w:p>
      <w:pPr>
        <w:spacing w:after="0" w:line="3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Michael Brown</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Michael Brown</w:t>
      </w:r>
    </w:p>
    <w:p>
      <w:pPr>
        <w:spacing w:after="0" w:line="9"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WELLS FARGO BANK,</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NATIONAL ASSOCIATION</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 Committed Purchaser and as Purchaser Agent for its Purchaser Group</w:t>
      </w:r>
    </w:p>
    <w:p>
      <w:pPr>
        <w:spacing w:after="0" w:line="3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Jason Barwig</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Jason Barwig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Assistant Vice President</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REGIONS BANK</w:t>
      </w:r>
      <w:r>
        <w:rPr>
          <w:rFonts w:ascii="Times New Roman" w:cs="Times New Roman" w:eastAsia="Times New Roman" w:hAnsi="Times New Roman"/>
          <w:sz w:val="17"/>
          <w:szCs w:val="17"/>
          <w:color w:val="auto"/>
        </w:rPr>
        <w:t>, as a Committed Purchaser and as Purchaser Agent for its Purchaser Group</w:t>
      </w: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Kathy Myers</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Kathy Myers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a Committed Purchaser</w:t>
      </w: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By:/s/ Eric Williams</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Eric Williams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3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VICTORY RECEIVABLES CORPORATION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 Conduit Purchaser for MUFG Bank, LTD.’s Purchaser Group</w:t>
      </w:r>
    </w:p>
    <w:p>
      <w:pPr>
        <w:spacing w:after="0" w:line="200" w:lineRule="exact"/>
        <w:rPr>
          <w:sz w:val="20"/>
          <w:szCs w:val="20"/>
          <w:color w:val="auto"/>
        </w:rPr>
      </w:pPr>
    </w:p>
    <w:p>
      <w:pPr>
        <w:spacing w:after="0" w:line="2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By:/s/ Kevin J Corrigan</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Kevin J Corrigan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Purchaser Agent for its and Victory Receivables Corporation’s Purchaser Group</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By:/s/ Eric Williams</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Eric Williams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a Committed Purchaser and as Purchaser Agent for its Purchaser Group</w:t>
      </w:r>
    </w:p>
    <w:p>
      <w:pPr>
        <w:sectPr>
          <w:pgSz w:w="11900" w:h="16838" w:orient="portrait"/>
          <w:cols w:equalWidth="0" w:num="1">
            <w:col w:w="11460"/>
          </w:cols>
          <w:pgMar w:left="220" w:top="127" w:right="219" w:bottom="197" w:gutter="0" w:footer="0" w:header="0"/>
        </w:sectPr>
      </w:pPr>
    </w:p>
    <w:bookmarkStart w:id="58" w:name="page59"/>
    <w:bookmarkEnd w:id="58"/>
    <w:p>
      <w:pPr>
        <w:ind w:left="2600"/>
        <w:spacing w:after="0"/>
        <w:rPr>
          <w:sz w:val="20"/>
          <w:szCs w:val="20"/>
          <w:color w:val="auto"/>
        </w:rPr>
      </w:pPr>
      <w:r>
        <w:rPr>
          <w:rFonts w:ascii="Times New Roman" w:cs="Times New Roman" w:eastAsia="Times New Roman" w:hAnsi="Times New Roman"/>
          <w:sz w:val="17"/>
          <w:szCs w:val="17"/>
          <w:color w:val="auto"/>
        </w:rPr>
        <w:t>By:/s/ Richard A. Burke</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Richard A. Burke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Administrator</w:t>
      </w:r>
    </w:p>
    <w:p>
      <w:pPr>
        <w:spacing w:after="0" w:line="3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Michael Brown</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Michael Brown</w:t>
      </w:r>
    </w:p>
    <w:p>
      <w:pPr>
        <w:spacing w:after="0" w:line="9"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EFFECTIVENESS NOTICE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 201_</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PNC Bank, National Association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PNC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Pittsburgh, PA 15222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Robyn Reeher</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Notice of Effectiveness: Fifth Amendment to Fifth A&amp;R Receivables Purchase Agreement</w:t>
      </w:r>
    </w:p>
    <w:p>
      <w:pPr>
        <w:spacing w:after="0" w:line="214" w:lineRule="exact"/>
        <w:rPr>
          <w:sz w:val="20"/>
          <w:szCs w:val="20"/>
          <w:color w:val="auto"/>
        </w:rPr>
      </w:pPr>
    </w:p>
    <w:p>
      <w:pPr>
        <w:jc w:val="both"/>
        <w:ind w:firstLine="517"/>
        <w:spacing w:after="0" w:line="256" w:lineRule="auto"/>
        <w:rPr>
          <w:sz w:val="20"/>
          <w:szCs w:val="20"/>
          <w:color w:val="auto"/>
        </w:rPr>
      </w:pPr>
      <w:r>
        <w:rPr>
          <w:rFonts w:ascii="Times New Roman" w:cs="Times New Roman" w:eastAsia="Times New Roman" w:hAnsi="Times New Roman"/>
          <w:sz w:val="17"/>
          <w:szCs w:val="17"/>
          <w:color w:val="auto"/>
        </w:rPr>
        <w:t>Reference is hereby made to that certain Fifth Amendment to Fifth A&amp;R Receivables Purchase Agreement (the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 December 19, 2018, among FLEETCOR FUNDING LLC, as Seller (the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FLEETCOR TECHNOLOGIES OPERATING COMPANY, LLC, as Servicer (the “</w:t>
      </w:r>
      <w:r>
        <w:rPr>
          <w:rFonts w:ascii="Times New Roman" w:cs="Times New Roman" w:eastAsia="Times New Roman" w:hAnsi="Times New Roman"/>
          <w:sz w:val="17"/>
          <w:szCs w:val="17"/>
          <w:u w:val="single" w:color="auto"/>
          <w:color w:val="auto"/>
        </w:rPr>
        <w:t>Servicer</w:t>
      </w:r>
      <w:r>
        <w:rPr>
          <w:rFonts w:ascii="Times New Roman" w:cs="Times New Roman" w:eastAsia="Times New Roman" w:hAnsi="Times New Roman"/>
          <w:sz w:val="17"/>
          <w:szCs w:val="17"/>
          <w:color w:val="auto"/>
        </w:rPr>
        <w:t>”) and Buyer (the “</w:t>
      </w:r>
      <w:r>
        <w:rPr>
          <w:rFonts w:ascii="Times New Roman" w:cs="Times New Roman" w:eastAsia="Times New Roman" w:hAnsi="Times New Roman"/>
          <w:sz w:val="17"/>
          <w:szCs w:val="17"/>
          <w:u w:val="single" w:color="auto"/>
          <w:color w:val="auto"/>
        </w:rPr>
        <w:t>Buyer</w:t>
      </w:r>
      <w:r>
        <w:rPr>
          <w:rFonts w:ascii="Times New Roman" w:cs="Times New Roman" w:eastAsia="Times New Roman" w:hAnsi="Times New Roman"/>
          <w:sz w:val="17"/>
          <w:szCs w:val="17"/>
          <w:color w:val="auto"/>
        </w:rPr>
        <w:t>”), PNC BANK, NATIONAL ASSOCIATION (“</w:t>
      </w:r>
      <w:r>
        <w:rPr>
          <w:rFonts w:ascii="Times New Roman" w:cs="Times New Roman" w:eastAsia="Times New Roman" w:hAnsi="Times New Roman"/>
          <w:sz w:val="17"/>
          <w:szCs w:val="17"/>
          <w:u w:val="single" w:color="auto"/>
          <w:color w:val="auto"/>
        </w:rPr>
        <w:t>PNC</w:t>
      </w:r>
      <w:r>
        <w:rPr>
          <w:rFonts w:ascii="Times New Roman" w:cs="Times New Roman" w:eastAsia="Times New Roman" w:hAnsi="Times New Roman"/>
          <w:sz w:val="17"/>
          <w:szCs w:val="17"/>
          <w:color w:val="auto"/>
        </w:rPr>
        <w:t>”), as a Committed Purchaser, as the sole Swingline Purchaser and as the Purchaser Agent for its Purchaser Group; WELLS FARGO BANK, NATIONAL ASSOCIATION (“</w:t>
      </w:r>
      <w:r>
        <w:rPr>
          <w:rFonts w:ascii="Times New Roman" w:cs="Times New Roman" w:eastAsia="Times New Roman" w:hAnsi="Times New Roman"/>
          <w:sz w:val="17"/>
          <w:szCs w:val="17"/>
          <w:u w:val="single" w:color="auto"/>
          <w:color w:val="auto"/>
        </w:rPr>
        <w:t>Wells</w:t>
      </w:r>
      <w:r>
        <w:rPr>
          <w:rFonts w:ascii="Times New Roman" w:cs="Times New Roman" w:eastAsia="Times New Roman" w:hAnsi="Times New Roman"/>
          <w:sz w:val="17"/>
          <w:szCs w:val="17"/>
          <w:color w:val="auto"/>
        </w:rPr>
        <w:t>”), as a Committed Purchaser and as the Purchaser Agent for its Purchaser Group, REGIONS BANK (“</w:t>
      </w:r>
      <w:r>
        <w:rPr>
          <w:rFonts w:ascii="Times New Roman" w:cs="Times New Roman" w:eastAsia="Times New Roman" w:hAnsi="Times New Roman"/>
          <w:sz w:val="17"/>
          <w:szCs w:val="17"/>
          <w:u w:val="single" w:color="auto"/>
          <w:color w:val="auto"/>
        </w:rPr>
        <w:t>Regions</w:t>
      </w:r>
      <w:r>
        <w:rPr>
          <w:rFonts w:ascii="Times New Roman" w:cs="Times New Roman" w:eastAsia="Times New Roman" w:hAnsi="Times New Roman"/>
          <w:sz w:val="17"/>
          <w:szCs w:val="17"/>
          <w:color w:val="auto"/>
        </w:rPr>
        <w:t>”), as a Committed Purchaser and as the Purchaser Agent for its Purchaser Group, MUFG BANK, LTD. (“</w:t>
      </w:r>
      <w:r>
        <w:rPr>
          <w:rFonts w:ascii="Times New Roman" w:cs="Times New Roman" w:eastAsia="Times New Roman" w:hAnsi="Times New Roman"/>
          <w:sz w:val="17"/>
          <w:szCs w:val="17"/>
          <w:u w:val="single" w:color="auto"/>
          <w:color w:val="auto"/>
        </w:rPr>
        <w:t>MUFG</w:t>
      </w:r>
      <w:r>
        <w:rPr>
          <w:rFonts w:ascii="Times New Roman" w:cs="Times New Roman" w:eastAsia="Times New Roman" w:hAnsi="Times New Roman"/>
          <w:sz w:val="17"/>
          <w:szCs w:val="17"/>
          <w:color w:val="auto"/>
        </w:rPr>
        <w:t>”), as a Committed Purchaser and as the Purchaser Agent for its and Victory’s Purchaser Group, VICTORY RECEIVABLES CORPORATION (“</w:t>
      </w:r>
      <w:r>
        <w:rPr>
          <w:rFonts w:ascii="Times New Roman" w:cs="Times New Roman" w:eastAsia="Times New Roman" w:hAnsi="Times New Roman"/>
          <w:sz w:val="17"/>
          <w:szCs w:val="17"/>
          <w:u w:val="single" w:color="auto"/>
          <w:color w:val="auto"/>
        </w:rPr>
        <w:t>Victory</w:t>
      </w:r>
      <w:r>
        <w:rPr>
          <w:rFonts w:ascii="Times New Roman" w:cs="Times New Roman" w:eastAsia="Times New Roman" w:hAnsi="Times New Roman"/>
          <w:sz w:val="17"/>
          <w:szCs w:val="17"/>
          <w:color w:val="auto"/>
        </w:rPr>
        <w:t>”), as a Conduit Purchaser for MUFG’s Purchaser Group, MIZUHO BANK, LTD. (“</w:t>
      </w:r>
      <w:r>
        <w:rPr>
          <w:rFonts w:ascii="Times New Roman" w:cs="Times New Roman" w:eastAsia="Times New Roman" w:hAnsi="Times New Roman"/>
          <w:sz w:val="17"/>
          <w:szCs w:val="17"/>
          <w:u w:val="single" w:color="auto"/>
          <w:color w:val="auto"/>
        </w:rPr>
        <w:t>Mizuho</w:t>
      </w:r>
      <w:r>
        <w:rPr>
          <w:rFonts w:ascii="Times New Roman" w:cs="Times New Roman" w:eastAsia="Times New Roman" w:hAnsi="Times New Roman"/>
          <w:sz w:val="17"/>
          <w:szCs w:val="17"/>
          <w:color w:val="auto"/>
        </w:rPr>
        <w:t>”), as a Committed Purchaser, and PNC BANK, NATIONAL ASSOCIATION, as Administrator (in such capacity, the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Capitalized terms that are used but not defined herein shall have the meanings set forth in, or by reference in, the Amendment. This notice is the “Effectiveness Notice” as defined in the Amendment.</w:t>
      </w:r>
    </w:p>
    <w:p>
      <w:pPr>
        <w:spacing w:after="0" w:line="257" w:lineRule="exact"/>
        <w:rPr>
          <w:sz w:val="20"/>
          <w:szCs w:val="20"/>
          <w:color w:val="auto"/>
        </w:rPr>
      </w:pPr>
    </w:p>
    <w:p>
      <w:pPr>
        <w:jc w:val="both"/>
        <w:ind w:firstLine="517"/>
        <w:spacing w:after="0" w:line="288" w:lineRule="auto"/>
        <w:rPr>
          <w:sz w:val="20"/>
          <w:szCs w:val="20"/>
          <w:color w:val="auto"/>
        </w:rPr>
      </w:pPr>
      <w:r>
        <w:rPr>
          <w:rFonts w:ascii="Times New Roman" w:cs="Times New Roman" w:eastAsia="Times New Roman" w:hAnsi="Times New Roman"/>
          <w:sz w:val="17"/>
          <w:szCs w:val="17"/>
          <w:color w:val="auto"/>
        </w:rPr>
        <w:t>Pursuant to Section 4 of the Amendment, the Seller hereby provides notice to the Administrator that the Seller desires that the Amendment become effective as of the date hereof.</w:t>
      </w:r>
    </w:p>
    <w:p>
      <w:pPr>
        <w:spacing w:after="0" w:line="200" w:lineRule="exact"/>
        <w:rPr>
          <w:sz w:val="20"/>
          <w:szCs w:val="20"/>
          <w:color w:val="auto"/>
        </w:rPr>
      </w:pPr>
    </w:p>
    <w:p>
      <w:pPr>
        <w:spacing w:after="0" w:line="3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Signatures follow</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FLEETCOR FUNDING LLC,</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as the Seller</w:t>
      </w:r>
    </w:p>
    <w:p>
      <w:pPr>
        <w:spacing w:after="0" w:line="398" w:lineRule="exact"/>
        <w:rPr>
          <w:sz w:val="20"/>
          <w:szCs w:val="20"/>
          <w:color w:val="auto"/>
        </w:rPr>
      </w:pPr>
    </w:p>
    <w:tbl>
      <w:tblPr>
        <w:tblLayout w:type="fixed"/>
        <w:tblInd w:w="3100" w:type="dxa"/>
        <w:tblCellMar>
          <w:top w:w="0" w:type="dxa"/>
          <w:left w:w="0" w:type="dxa"/>
          <w:bottom w:w="0" w:type="dxa"/>
          <w:right w:w="0" w:type="dxa"/>
        </w:tblCellMar>
      </w:tblPr>
      <w:tr>
        <w:trPr>
          <w:trHeight w:val="195"/>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w w:val="97"/>
              </w:rPr>
              <w:t>By:</w:t>
            </w: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__________________________</w:t>
            </w:r>
          </w:p>
        </w:tc>
      </w:tr>
      <w:tr>
        <w:trPr>
          <w:trHeight w:val="205"/>
        </w:trPr>
        <w:tc>
          <w:tcPr>
            <w:tcW w:w="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w:t>
            </w:r>
          </w:p>
        </w:tc>
        <w:tc>
          <w:tcPr>
            <w:tcW w:w="2300" w:type="dxa"/>
            <w:vAlign w:val="bottom"/>
          </w:tcPr>
          <w:p>
            <w:pPr>
              <w:spacing w:after="0"/>
              <w:rPr>
                <w:sz w:val="17"/>
                <w:szCs w:val="17"/>
                <w:color w:val="auto"/>
              </w:rPr>
            </w:pPr>
          </w:p>
        </w:tc>
      </w:tr>
      <w:tr>
        <w:trPr>
          <w:trHeight w:val="226"/>
        </w:trPr>
        <w:tc>
          <w:tcPr>
            <w:tcW w:w="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300" w:type="dxa"/>
            <w:vAlign w:val="bottom"/>
          </w:tcPr>
          <w:p>
            <w:pPr>
              <w:spacing w:after="0"/>
              <w:rPr>
                <w:sz w:val="19"/>
                <w:szCs w:val="19"/>
                <w:color w:val="auto"/>
              </w:rPr>
            </w:pPr>
          </w:p>
        </w:tc>
      </w:tr>
    </w:tbl>
    <w:p>
      <w:pPr>
        <w:spacing w:after="0" w:line="3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FLEETCOR TECHNOLOGIES OPERATING COMPANY, LLC,</w:t>
      </w:r>
    </w:p>
    <w:p>
      <w:pPr>
        <w:spacing w:after="0" w:line="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as the Buyer</w:t>
      </w:r>
    </w:p>
    <w:p>
      <w:pPr>
        <w:spacing w:after="0" w:line="200" w:lineRule="exact"/>
        <w:rPr>
          <w:sz w:val="20"/>
          <w:szCs w:val="20"/>
          <w:color w:val="auto"/>
        </w:rPr>
      </w:pPr>
    </w:p>
    <w:p>
      <w:pPr>
        <w:spacing w:after="0" w:line="37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By:</w:t>
      </w:r>
    </w:p>
    <w:p>
      <w:pPr>
        <w:spacing w:after="0" w:line="21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w:t>
      </w:r>
    </w:p>
    <w:p>
      <w:pPr>
        <w:spacing w:after="0" w:line="21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1">
            <w:col w:w="11460"/>
          </w:cols>
          <w:pgMar w:left="220" w:top="127" w:right="219"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ectPr>
          <w:pgSz w:w="11900" w:h="16838" w:orient="portrait"/>
          <w:cols w:equalWidth="0" w:num="1">
            <w:col w:w="11460"/>
          </w:cols>
          <w:pgMar w:left="220" w:top="127" w:right="219" w:bottom="0" w:gutter="0" w:footer="0" w:header="0"/>
          <w:type w:val="continuous"/>
        </w:sectPr>
      </w:pPr>
    </w:p>
    <w:bookmarkStart w:id="59" w:name="page60"/>
    <w:bookmarkEnd w:id="59"/>
    <w:p>
      <w:pPr>
        <w:jc w:val="center"/>
        <w:ind w:right="-180"/>
        <w:spacing w:after="0"/>
        <w:rPr>
          <w:sz w:val="20"/>
          <w:szCs w:val="20"/>
          <w:color w:val="auto"/>
        </w:rPr>
      </w:pPr>
      <w:r>
        <w:rPr>
          <w:rFonts w:ascii="Times New Roman" w:cs="Times New Roman" w:eastAsia="Times New Roman" w:hAnsi="Times New Roman"/>
          <w:sz w:val="17"/>
          <w:szCs w:val="17"/>
          <w:u w:val="single" w:color="auto"/>
          <w:color w:val="auto"/>
        </w:rPr>
        <w:t>ASSIGNMENT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730571915 04351262</w:t>
      </w:r>
    </w:p>
    <w:p>
      <w:pPr>
        <w:sectPr>
          <w:pgSz w:w="11900" w:h="16838" w:orient="portrait"/>
          <w:cols w:equalWidth="0" w:num="1">
            <w:col w:w="9199"/>
          </w:cols>
          <w:pgMar w:left="1260" w:top="332" w:right="1440" w:bottom="1440" w:gutter="0" w:footer="0" w:header="0"/>
        </w:sectPr>
      </w:pPr>
    </w:p>
    <w:bookmarkStart w:id="60" w:name="page61"/>
    <w:bookmarkEnd w:id="60"/>
    <w:p>
      <w:pPr>
        <w:spacing w:after="0" w:line="7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b w:val="1"/>
          <w:bCs w:val="1"/>
          <w:color w:val="auto"/>
        </w:rPr>
        <w:t>MB DRAFT 2/5/19</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SIXTH AMENDMENT TO FIFTH AMENDED AND RESTATED RECEIVABLES PURCHASE AGREEMENT</w:t>
      </w: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SIXTH AMENDMENT TO FIFTH AMENDED AND RESTATED RECEIVABLES PURCHASE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[8], 2019, is entered into by and among the following parties:</w:t>
      </w:r>
    </w:p>
    <w:p>
      <w:pPr>
        <w:spacing w:after="0" w:line="162" w:lineRule="exact"/>
        <w:rPr>
          <w:sz w:val="20"/>
          <w:szCs w:val="20"/>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FLEETCOR FUNDING LLC, as Seller (the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FLEETCOR TECHNOLOGIES OPERATING COMPANY, LLC, as Servicer (the “</w:t>
      </w:r>
      <w:r>
        <w:rPr>
          <w:rFonts w:ascii="Times New Roman" w:cs="Times New Roman" w:eastAsia="Times New Roman" w:hAnsi="Times New Roman"/>
          <w:sz w:val="17"/>
          <w:szCs w:val="17"/>
          <w:u w:val="single" w:color="auto"/>
          <w:color w:val="auto"/>
        </w:rPr>
        <w:t>Servicer</w:t>
      </w:r>
      <w:r>
        <w:rPr>
          <w:rFonts w:ascii="Times New Roman" w:cs="Times New Roman" w:eastAsia="Times New Roman" w:hAnsi="Times New Roman"/>
          <w:sz w:val="17"/>
          <w:szCs w:val="17"/>
          <w:color w:val="auto"/>
        </w:rPr>
        <w:t>”);</w:t>
      </w:r>
    </w:p>
    <w:p>
      <w:pPr>
        <w:spacing w:after="0" w:line="95" w:lineRule="exact"/>
        <w:rPr>
          <w:rFonts w:ascii="Times New Roman" w:cs="Times New Roman" w:eastAsia="Times New Roman" w:hAnsi="Times New Roman"/>
          <w:sz w:val="17"/>
          <w:szCs w:val="17"/>
          <w:color w:val="auto"/>
        </w:rPr>
      </w:pPr>
    </w:p>
    <w:p>
      <w:pPr>
        <w:ind w:left="1040" w:hanging="517"/>
        <w:spacing w:after="0" w:line="288"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PNC BANK, NATIONAL ASSOCIATION (“</w:t>
      </w:r>
      <w:r>
        <w:rPr>
          <w:rFonts w:ascii="Times New Roman" w:cs="Times New Roman" w:eastAsia="Times New Roman" w:hAnsi="Times New Roman"/>
          <w:sz w:val="17"/>
          <w:szCs w:val="17"/>
          <w:u w:val="single" w:color="auto"/>
          <w:color w:val="auto"/>
        </w:rPr>
        <w:t>PNC</w:t>
      </w:r>
      <w:r>
        <w:rPr>
          <w:rFonts w:ascii="Times New Roman" w:cs="Times New Roman" w:eastAsia="Times New Roman" w:hAnsi="Times New Roman"/>
          <w:sz w:val="17"/>
          <w:szCs w:val="17"/>
          <w:color w:val="auto"/>
        </w:rPr>
        <w:t>”), as a Committed Purchaser, as the sole Swingline Purchaser and as the Purchaser Agent for its Purchaser Group;</w:t>
      </w:r>
    </w:p>
    <w:p>
      <w:pPr>
        <w:spacing w:after="0" w:line="26"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WELLS FARGO BANK, NATIONAL ASSOCIATION (“</w:t>
      </w:r>
      <w:r>
        <w:rPr>
          <w:rFonts w:ascii="Times New Roman" w:cs="Times New Roman" w:eastAsia="Times New Roman" w:hAnsi="Times New Roman"/>
          <w:sz w:val="17"/>
          <w:szCs w:val="17"/>
          <w:u w:val="single" w:color="auto"/>
          <w:color w:val="auto"/>
        </w:rPr>
        <w:t>Wells</w:t>
      </w:r>
      <w:r>
        <w:rPr>
          <w:rFonts w:ascii="Times New Roman" w:cs="Times New Roman" w:eastAsia="Times New Roman" w:hAnsi="Times New Roman"/>
          <w:sz w:val="17"/>
          <w:szCs w:val="17"/>
          <w:color w:val="auto"/>
        </w:rPr>
        <w:t>”), as a Committed Purchaser and as the Purchaser Agent for its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REGIONS BANK (“</w:t>
      </w:r>
      <w:r>
        <w:rPr>
          <w:rFonts w:ascii="Times New Roman" w:cs="Times New Roman" w:eastAsia="Times New Roman" w:hAnsi="Times New Roman"/>
          <w:sz w:val="17"/>
          <w:szCs w:val="17"/>
          <w:u w:val="single" w:color="auto"/>
          <w:color w:val="auto"/>
        </w:rPr>
        <w:t>Regions</w:t>
      </w:r>
      <w:r>
        <w:rPr>
          <w:rFonts w:ascii="Times New Roman" w:cs="Times New Roman" w:eastAsia="Times New Roman" w:hAnsi="Times New Roman"/>
          <w:sz w:val="17"/>
          <w:szCs w:val="17"/>
          <w:color w:val="auto"/>
        </w:rPr>
        <w:t>”), as a Committed Purchaser and as the Purchaser Agent for its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MUFG BANK, LTD. (“</w:t>
      </w:r>
      <w:r>
        <w:rPr>
          <w:rFonts w:ascii="Times New Roman" w:cs="Times New Roman" w:eastAsia="Times New Roman" w:hAnsi="Times New Roman"/>
          <w:sz w:val="17"/>
          <w:szCs w:val="17"/>
          <w:u w:val="single" w:color="auto"/>
          <w:color w:val="auto"/>
        </w:rPr>
        <w:t>MUFG</w:t>
      </w:r>
      <w:r>
        <w:rPr>
          <w:rFonts w:ascii="Times New Roman" w:cs="Times New Roman" w:eastAsia="Times New Roman" w:hAnsi="Times New Roman"/>
          <w:sz w:val="17"/>
          <w:szCs w:val="17"/>
          <w:color w:val="auto"/>
        </w:rPr>
        <w:t>”), as a Committed Purchaser and as the Purchaser Agent for its and Victory’s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VICTORY RECEIVABLES CORPORATION (“</w:t>
      </w:r>
      <w:r>
        <w:rPr>
          <w:rFonts w:ascii="Times New Roman" w:cs="Times New Roman" w:eastAsia="Times New Roman" w:hAnsi="Times New Roman"/>
          <w:sz w:val="17"/>
          <w:szCs w:val="17"/>
          <w:u w:val="single" w:color="auto"/>
          <w:color w:val="auto"/>
        </w:rPr>
        <w:t>Victory</w:t>
      </w:r>
      <w:r>
        <w:rPr>
          <w:rFonts w:ascii="Times New Roman" w:cs="Times New Roman" w:eastAsia="Times New Roman" w:hAnsi="Times New Roman"/>
          <w:sz w:val="17"/>
          <w:szCs w:val="17"/>
          <w:color w:val="auto"/>
        </w:rPr>
        <w:t>”), as a Conduit Purchaser for MUFG’s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MIZUHO BANK, LTD. (“</w:t>
      </w:r>
      <w:r>
        <w:rPr>
          <w:rFonts w:ascii="Times New Roman" w:cs="Times New Roman" w:eastAsia="Times New Roman" w:hAnsi="Times New Roman"/>
          <w:sz w:val="17"/>
          <w:szCs w:val="17"/>
          <w:u w:val="single" w:color="auto"/>
          <w:color w:val="auto"/>
        </w:rPr>
        <w:t>Mizuho</w:t>
      </w:r>
      <w:r>
        <w:rPr>
          <w:rFonts w:ascii="Times New Roman" w:cs="Times New Roman" w:eastAsia="Times New Roman" w:hAnsi="Times New Roman"/>
          <w:sz w:val="17"/>
          <w:szCs w:val="17"/>
          <w:color w:val="auto"/>
        </w:rPr>
        <w:t>”), as a Committed Purchaser and as the Purchaser Agent for its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line="264"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TORONTO-DOMINION BANK (“</w:t>
      </w:r>
      <w:r>
        <w:rPr>
          <w:rFonts w:ascii="Times New Roman" w:cs="Times New Roman" w:eastAsia="Times New Roman" w:hAnsi="Times New Roman"/>
          <w:sz w:val="17"/>
          <w:szCs w:val="17"/>
          <w:u w:val="single" w:color="auto"/>
          <w:color w:val="auto"/>
        </w:rPr>
        <w:t>TD Bank</w:t>
      </w:r>
      <w:r>
        <w:rPr>
          <w:rFonts w:ascii="Times New Roman" w:cs="Times New Roman" w:eastAsia="Times New Roman" w:hAnsi="Times New Roman"/>
          <w:sz w:val="17"/>
          <w:szCs w:val="17"/>
          <w:color w:val="auto"/>
        </w:rPr>
        <w:t>”), as a Committed Purchaser and as the Purchaser Agent for its and Reliant Trust’s Purchaser Group;</w:t>
      </w:r>
    </w:p>
    <w:p>
      <w:pPr>
        <w:spacing w:after="0" w:line="280"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RELIANT TRUST (“</w:t>
      </w:r>
      <w:r>
        <w:rPr>
          <w:rFonts w:ascii="Times New Roman" w:cs="Times New Roman" w:eastAsia="Times New Roman" w:hAnsi="Times New Roman"/>
          <w:sz w:val="17"/>
          <w:szCs w:val="17"/>
          <w:u w:val="single" w:color="auto"/>
          <w:color w:val="auto"/>
        </w:rPr>
        <w:t>Reliant Trust</w:t>
      </w:r>
      <w:r>
        <w:rPr>
          <w:rFonts w:ascii="Times New Roman" w:cs="Times New Roman" w:eastAsia="Times New Roman" w:hAnsi="Times New Roman"/>
          <w:sz w:val="17"/>
          <w:szCs w:val="17"/>
          <w:color w:val="auto"/>
        </w:rPr>
        <w:t>”), as a Conduit Purchaser for TD Bank’s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 OF NOVA SCOTIA (“</w:t>
      </w:r>
      <w:r>
        <w:rPr>
          <w:rFonts w:ascii="Times New Roman" w:cs="Times New Roman" w:eastAsia="Times New Roman" w:hAnsi="Times New Roman"/>
          <w:sz w:val="17"/>
          <w:szCs w:val="17"/>
          <w:u w:val="single" w:color="auto"/>
          <w:color w:val="auto"/>
        </w:rPr>
        <w:t>Scotia</w:t>
      </w:r>
      <w:r>
        <w:rPr>
          <w:rFonts w:ascii="Times New Roman" w:cs="Times New Roman" w:eastAsia="Times New Roman" w:hAnsi="Times New Roman"/>
          <w:sz w:val="17"/>
          <w:szCs w:val="17"/>
          <w:color w:val="auto"/>
        </w:rPr>
        <w:t>”), as a Committed Purchaser and as the Purchaser Agent for its and Liberty Street’s Purchaser Group;</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LIBERTY STREET FUNDING LLC, as a Conduit Purchaser for Scotia’s Purchaser Group; and</w:t>
      </w:r>
    </w:p>
    <w:p>
      <w:pPr>
        <w:spacing w:after="0" w:line="95" w:lineRule="exact"/>
        <w:rPr>
          <w:rFonts w:ascii="Times New Roman" w:cs="Times New Roman" w:eastAsia="Times New Roman" w:hAnsi="Times New Roman"/>
          <w:sz w:val="17"/>
          <w:szCs w:val="17"/>
          <w:color w:val="auto"/>
        </w:rPr>
      </w:pPr>
    </w:p>
    <w:p>
      <w:pPr>
        <w:ind w:left="1040" w:hanging="517"/>
        <w:spacing w:after="0"/>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PNC BANK, NATIONAL ASSOCIATION, as Administrator</w:t>
      </w:r>
    </w:p>
    <w:p>
      <w:pPr>
        <w:spacing w:after="0" w:line="3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(in such capacity, the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BACKGROUND</w:t>
      </w:r>
    </w:p>
    <w:p>
      <w:pPr>
        <w:spacing w:after="0" w:line="182" w:lineRule="exact"/>
        <w:rPr>
          <w:sz w:val="20"/>
          <w:szCs w:val="20"/>
          <w:color w:val="auto"/>
        </w:rPr>
      </w:pPr>
    </w:p>
    <w:p>
      <w:pPr>
        <w:jc w:val="both"/>
        <w:ind w:firstLine="523"/>
        <w:spacing w:after="0" w:line="263" w:lineRule="auto"/>
        <w:tabs>
          <w:tab w:leader="none" w:pos="86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(with the exception of Reliant Trust, TD Bank, Liberty Street and Scotia (the “</w:t>
      </w:r>
      <w:r>
        <w:rPr>
          <w:rFonts w:ascii="Times New Roman" w:cs="Times New Roman" w:eastAsia="Times New Roman" w:hAnsi="Times New Roman"/>
          <w:sz w:val="17"/>
          <w:szCs w:val="17"/>
          <w:u w:val="single" w:color="auto"/>
          <w:color w:val="auto"/>
        </w:rPr>
        <w:t>Additional Purchasers</w:t>
      </w:r>
      <w:r>
        <w:rPr>
          <w:rFonts w:ascii="Times New Roman" w:cs="Times New Roman" w:eastAsia="Times New Roman" w:hAnsi="Times New Roman"/>
          <w:sz w:val="17"/>
          <w:szCs w:val="17"/>
          <w:color w:val="auto"/>
        </w:rPr>
        <w:t>”)) are parties to that certain Fifth Amended and Restated Receivables Purchase Agreement dated as of November 14, 2014 (as amended, restated, supplemented or otherwise modified through the date hereof, the “</w:t>
      </w:r>
      <w:r>
        <w:rPr>
          <w:rFonts w:ascii="Times New Roman" w:cs="Times New Roman" w:eastAsia="Times New Roman" w:hAnsi="Times New Roman"/>
          <w:sz w:val="17"/>
          <w:szCs w:val="17"/>
          <w:u w:val="single" w:color="auto"/>
          <w:color w:val="auto"/>
        </w:rPr>
        <w:t>Receivables Purchase Agreement</w:t>
      </w:r>
      <w:r>
        <w:rPr>
          <w:rFonts w:ascii="Times New Roman" w:cs="Times New Roman" w:eastAsia="Times New Roman" w:hAnsi="Times New Roman"/>
          <w:sz w:val="17"/>
          <w:szCs w:val="17"/>
          <w:color w:val="auto"/>
        </w:rPr>
        <w:t>”). Capitalized terms used and not otherwise defined herein have the respective meaning assigned to such terms in the Receivables Purchase Agreement.</w:t>
      </w:r>
    </w:p>
    <w:p>
      <w:pPr>
        <w:spacing w:after="0" w:line="134" w:lineRule="exact"/>
        <w:rPr>
          <w:rFonts w:ascii="Times New Roman" w:cs="Times New Roman" w:eastAsia="Times New Roman" w:hAnsi="Times New Roman"/>
          <w:sz w:val="17"/>
          <w:szCs w:val="17"/>
          <w:color w:val="auto"/>
        </w:rPr>
      </w:pPr>
    </w:p>
    <w:p>
      <w:pPr>
        <w:ind w:left="920" w:hanging="397"/>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herewith, the parties hereto are entering into that certain Amended and Restated Fee Letter in connection herewith (the “</w:t>
      </w:r>
      <w:r>
        <w:rPr>
          <w:rFonts w:ascii="Times New Roman" w:cs="Times New Roman" w:eastAsia="Times New Roman" w:hAnsi="Times New Roman"/>
          <w:sz w:val="17"/>
          <w:szCs w:val="17"/>
          <w:u w:val="single" w:color="auto"/>
          <w:color w:val="auto"/>
        </w:rPr>
        <w:t>Amended Fee</w:t>
      </w:r>
    </w:p>
    <w:p>
      <w:pPr>
        <w:spacing w:after="0" w:line="2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860" w:hanging="337"/>
        <w:spacing w:after="0"/>
        <w:tabs>
          <w:tab w:leader="none" w:pos="8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desire to amend the Receivables Purchase Agreement on the terms and subject to the conditions set forth herein.</w:t>
      </w:r>
    </w:p>
    <w:p>
      <w:pPr>
        <w:spacing w:after="0" w:line="182" w:lineRule="exact"/>
        <w:rPr>
          <w:sz w:val="20"/>
          <w:szCs w:val="20"/>
          <w:color w:val="auto"/>
        </w:rPr>
      </w:pPr>
    </w:p>
    <w:p>
      <w:pPr>
        <w:ind w:firstLine="517"/>
        <w:spacing w:after="0" w:line="288" w:lineRule="auto"/>
        <w:rPr>
          <w:sz w:val="20"/>
          <w:szCs w:val="20"/>
          <w:color w:val="auto"/>
        </w:rPr>
      </w:pPr>
      <w:r>
        <w:rPr>
          <w:rFonts w:ascii="Times New Roman" w:cs="Times New Roman" w:eastAsia="Times New Roman" w:hAnsi="Times New Roman"/>
          <w:sz w:val="17"/>
          <w:szCs w:val="17"/>
          <w:color w:val="auto"/>
        </w:rPr>
        <w:t>NOW, THEREFORE, for good and valuable consideration, the receipt and sufficiency of which are hereby acknowledged, the parties hereto hereby agree as follows:</w:t>
      </w:r>
    </w:p>
    <w:p>
      <w:pPr>
        <w:spacing w:after="0" w:line="113" w:lineRule="exact"/>
        <w:rPr>
          <w:sz w:val="20"/>
          <w:szCs w:val="20"/>
          <w:color w:val="auto"/>
        </w:rPr>
      </w:pPr>
    </w:p>
    <w:p>
      <w:pPr>
        <w:ind w:left="520"/>
        <w:spacing w:after="0"/>
        <w:tabs>
          <w:tab w:leader="none" w:pos="160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u w:val="single" w:color="auto"/>
          <w:color w:val="auto"/>
        </w:rPr>
        <w:t>Joinder and Rebalancing</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left="520" w:firstLine="521"/>
        <w:spacing w:after="0" w:line="256" w:lineRule="auto"/>
        <w:tabs>
          <w:tab w:leader="none" w:pos="22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Joinder</w:t>
      </w:r>
      <w:r>
        <w:rPr>
          <w:rFonts w:ascii="Times New Roman" w:cs="Times New Roman" w:eastAsia="Times New Roman" w:hAnsi="Times New Roman"/>
          <w:sz w:val="17"/>
          <w:szCs w:val="17"/>
          <w:color w:val="auto"/>
        </w:rPr>
        <w:t xml:space="preserve">. Effective as of the date hereof, (i) each of Reliant Trust and Liberty Street hereby becomes a party to this Agreement as a Conduit Purchaser hereunder with all the rights, interests, duties and obligations of a Conduit Purchaser hereunder, (ii) each of TD Bank and Scotia hereby becomes a party to this Agreement as a Committed Purchaser hereunder with all the rights, interests, duties and obligations of a Committed Purchaser hereunder, (iii) TD Bank, as a Committed Purchaser and Reliant Trust, as its related Conduit Purchaser, shall constitute the members of a new Purchaser Group, and TD Bank and Reliant Trust hereby appoint TD Bank as the Purchaser Agent for such Purchaser Group, (iv) Scotia, as a Committed Purchaser and Liberty Street, as its related Conduit Purchaser, shall constitute the members of a new Purchaser Group, and Scotia and Liberty Street hereby appoint Scotia as the Purchaser Agent for such Purchaser Group, and (v) each of each of TD Bank and Scotia hereby becomes a party to this Agreement as a Purchaser Agent hereunder with all the rights, interests, duties and obligations of a Purchaser Agent hereunder. In its capacity as a Committed Purchaser, each Additional Purchaser’s Commitment shall be the amount set forth on </w:t>
      </w:r>
      <w:r>
        <w:rPr>
          <w:rFonts w:ascii="Times New Roman" w:cs="Times New Roman" w:eastAsia="Times New Roman" w:hAnsi="Times New Roman"/>
          <w:sz w:val="17"/>
          <w:szCs w:val="17"/>
          <w:u w:val="single" w:color="auto"/>
          <w:color w:val="auto"/>
        </w:rPr>
        <w:t>Schedule V</w:t>
      </w:r>
      <w:r>
        <w:rPr>
          <w:rFonts w:ascii="Times New Roman" w:cs="Times New Roman" w:eastAsia="Times New Roman" w:hAnsi="Times New Roman"/>
          <w:sz w:val="17"/>
          <w:szCs w:val="17"/>
          <w:color w:val="auto"/>
        </w:rPr>
        <w:t xml:space="preserve"> hereto.</w:t>
      </w:r>
    </w:p>
    <w:p>
      <w:pPr>
        <w:spacing w:after="0" w:line="138" w:lineRule="exact"/>
        <w:rPr>
          <w:rFonts w:ascii="Times New Roman" w:cs="Times New Roman" w:eastAsia="Times New Roman" w:hAnsi="Times New Roman"/>
          <w:sz w:val="17"/>
          <w:szCs w:val="17"/>
          <w:color w:val="auto"/>
        </w:rPr>
      </w:pPr>
    </w:p>
    <w:p>
      <w:pPr>
        <w:jc w:val="both"/>
        <w:ind w:left="520" w:firstLine="521"/>
        <w:spacing w:after="0" w:line="255" w:lineRule="auto"/>
        <w:tabs>
          <w:tab w:leader="none" w:pos="228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Rebalancing of Capital</w:t>
      </w:r>
      <w:r>
        <w:rPr>
          <w:rFonts w:ascii="Times New Roman" w:cs="Times New Roman" w:eastAsia="Times New Roman" w:hAnsi="Times New Roman"/>
          <w:sz w:val="17"/>
          <w:szCs w:val="17"/>
          <w:color w:val="auto"/>
        </w:rPr>
        <w:t>. On the date hereof, the Seller will repay a portion of the outstanding Capital in the amounts for PNC (the “</w:t>
      </w:r>
      <w:r>
        <w:rPr>
          <w:rFonts w:ascii="Times New Roman" w:cs="Times New Roman" w:eastAsia="Times New Roman" w:hAnsi="Times New Roman"/>
          <w:sz w:val="17"/>
          <w:szCs w:val="17"/>
          <w:u w:val="single" w:color="auto"/>
          <w:color w:val="auto"/>
        </w:rPr>
        <w:t>Reducing Purchaser</w:t>
      </w:r>
      <w:r>
        <w:rPr>
          <w:rFonts w:ascii="Times New Roman" w:cs="Times New Roman" w:eastAsia="Times New Roman" w:hAnsi="Times New Roman"/>
          <w:sz w:val="17"/>
          <w:szCs w:val="17"/>
          <w:color w:val="auto"/>
        </w:rPr>
        <w:t xml:space="preserve">”) specified in the flow of funds memorandum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all accrued and unpaid Discount with respect to such Capital so repaid shall be payable by the Seller to the Reducing Purchaser, as applicable, on the next occurring Weekly Settlement Date. The Seller hereby requests that Regions, Victory, Mizuho, Reliant Trust and Liberty Street (collectively, the “</w:t>
      </w:r>
      <w:r>
        <w:rPr>
          <w:rFonts w:ascii="Times New Roman" w:cs="Times New Roman" w:eastAsia="Times New Roman" w:hAnsi="Times New Roman"/>
          <w:sz w:val="17"/>
          <w:szCs w:val="17"/>
          <w:u w:val="single" w:color="auto"/>
          <w:color w:val="auto"/>
        </w:rPr>
        <w:t>Increasing Purchasers</w:t>
      </w:r>
      <w:r>
        <w:rPr>
          <w:rFonts w:ascii="Times New Roman" w:cs="Times New Roman" w:eastAsia="Times New Roman" w:hAnsi="Times New Roman"/>
          <w:sz w:val="17"/>
          <w:szCs w:val="17"/>
          <w:color w:val="auto"/>
        </w:rPr>
        <w:t xml:space="preserve">”) fund a Purchase on the date hereof in an amount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Such Purchase shall be funded by each Increasing Purchasers on the date hereof in accordance with the terms of the Receivables Purchase Agreement and upon satisfaction of all conditions precedent thereto specified in the Receivables Purchase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Purchase Notice shall be required therefor. For administrative convenience, the Seller hereby instructs the Increasing Purchasers to fund the foregoing Purchase by paying the proceeds thereof directly to the Reducing Purchaser to the account and in the amounts specified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to be applied as the foregoing repayment of the Reducing Purchaser’s Capital (as applicable) on the Seller’s behalf. The Seller shall be deemed to have received the proceeds of such Purchase from the Increasing Purchasers for all purposes immediately upon receipt thereof by the Reducing Purchaser, respectively.</w:t>
      </w:r>
    </w:p>
    <w:p>
      <w:pPr>
        <w:spacing w:after="0" w:line="142" w:lineRule="exact"/>
        <w:rPr>
          <w:rFonts w:ascii="Times New Roman" w:cs="Times New Roman" w:eastAsia="Times New Roman" w:hAnsi="Times New Roman"/>
          <w:sz w:val="17"/>
          <w:szCs w:val="17"/>
          <w:color w:val="auto"/>
        </w:rPr>
      </w:pPr>
    </w:p>
    <w:p>
      <w:pPr>
        <w:jc w:val="both"/>
        <w:ind w:left="520" w:firstLine="521"/>
        <w:spacing w:after="0" w:line="263" w:lineRule="auto"/>
        <w:tabs>
          <w:tab w:leader="none" w:pos="233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xml:space="preserve">. The parties hereto hereby consent to the joinder of the Additional Purchasers as parties to the Receivables Purchase Agreement on the terms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to the non-ratable repayment of the Reducing Purchaser’s Capital on terms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and the foregoing non-ratable Purchase to be funded by the Increasing Purchasers on the terms set forth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in each case, as set forth above on a one-time basis.</w:t>
      </w:r>
    </w:p>
    <w:p>
      <w:pPr>
        <w:spacing w:after="0" w:line="132" w:lineRule="exact"/>
        <w:rPr>
          <w:rFonts w:ascii="Times New Roman" w:cs="Times New Roman" w:eastAsia="Times New Roman" w:hAnsi="Times New Roman"/>
          <w:sz w:val="17"/>
          <w:szCs w:val="17"/>
          <w:color w:val="auto"/>
        </w:rPr>
      </w:pPr>
    </w:p>
    <w:p>
      <w:pPr>
        <w:jc w:val="both"/>
        <w:ind w:left="520" w:firstLine="521"/>
        <w:spacing w:after="0" w:line="259" w:lineRule="auto"/>
        <w:tabs>
          <w:tab w:leader="none" w:pos="232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Credit Decision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Additional Purchaser (i) confirms to the Administrator that it has received a copy of the Receivables Purchase Agreement, the other Transaction Documents, and such other documents and information as it has deemed appropriate to make its own credit analysis and decision to enter into this Amendment and (ii) agrees that it will, independently and without reliance upon the Administrator (in any capacity) or any of its Affiliates, based on such documents and information as each Additional Purchaser shall deem appropriate at the time, continue to make its own credit decisions in taking or not taking action under the Receivables Purchase Agreement and any other Transaction Document. The Administrator makes no representation or warranty and assumes no responsibility with respect to (x) any statements, warranties or representations made in or in connection with the</w:t>
      </w:r>
    </w:p>
    <w:p>
      <w:pPr>
        <w:sectPr>
          <w:pgSz w:w="11900" w:h="16916" w:orient="portrait"/>
          <w:cols w:equalWidth="0" w:num="1">
            <w:col w:w="11460"/>
          </w:cols>
          <w:pgMar w:left="220" w:top="126" w:right="219" w:bottom="0" w:gutter="0" w:footer="0" w:header="0"/>
        </w:sectPr>
      </w:pPr>
    </w:p>
    <w:bookmarkStart w:id="61" w:name="page62"/>
    <w:bookmarkEnd w:id="61"/>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Receivables Purchase Agreement, any other Transaction Document or any other instrument or document furnished pursuant thereto or the execution, legality, validity, enforceability, genuineness, sufficiency or value of the Receivables Purchase Agreement or the Receivables, any other Transaction Document or any other instrument or document furnished pursuant thereto or (y) the financial condition of any of the Seller, the Servicer, the parties to the Performance Guaranty or the Originators or the performance or observance by any of the Seller, the Servicer, the parties to the Performance Guaranty or the Originators of any of their respective obligations under the Receivables Purchase Agreement, any other Transaction Document, or any instrument or document furnished pursuant thereto.</w:t>
      </w:r>
    </w:p>
    <w:p>
      <w:pPr>
        <w:spacing w:after="0" w:line="346" w:lineRule="exact"/>
        <w:rPr>
          <w:sz w:val="20"/>
          <w:szCs w:val="20"/>
          <w:color w:val="auto"/>
        </w:rPr>
      </w:pPr>
    </w:p>
    <w:p>
      <w:pPr>
        <w:ind w:firstLine="521"/>
        <w:spacing w:after="0" w:line="288" w:lineRule="auto"/>
        <w:tabs>
          <w:tab w:leader="none" w:pos="175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CP Rate</w:t>
      </w:r>
      <w:r>
        <w:rPr>
          <w:rFonts w:ascii="Times New Roman" w:cs="Times New Roman" w:eastAsia="Times New Roman" w:hAnsi="Times New Roman"/>
          <w:sz w:val="17"/>
          <w:szCs w:val="17"/>
          <w:color w:val="auto"/>
        </w:rPr>
        <w:t xml:space="preserve">. Reliant Trust hereby notifies the Seller, the Servicer and TD Bank that the “CP Rate” for Reliant Trust shall be determined pursuant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thereof and the “CP Rate” so designated by Reliant shall be a rate equal to LMIR.</w:t>
      </w:r>
    </w:p>
    <w:p>
      <w:pPr>
        <w:spacing w:after="0" w:line="112" w:lineRule="exact"/>
        <w:rPr>
          <w:rFonts w:ascii="Times New Roman" w:cs="Times New Roman" w:eastAsia="Times New Roman" w:hAnsi="Times New Roman"/>
          <w:sz w:val="17"/>
          <w:szCs w:val="17"/>
          <w:color w:val="auto"/>
        </w:rPr>
      </w:pPr>
    </w:p>
    <w:p>
      <w:pPr>
        <w:ind w:firstLine="521"/>
        <w:spacing w:after="0" w:line="288" w:lineRule="auto"/>
        <w:tabs>
          <w:tab w:leader="none" w:pos="180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Fifth Amendment</w:t>
      </w:r>
      <w:r>
        <w:rPr>
          <w:rFonts w:ascii="Times New Roman" w:cs="Times New Roman" w:eastAsia="Times New Roman" w:hAnsi="Times New Roman"/>
          <w:sz w:val="17"/>
          <w:szCs w:val="17"/>
          <w:color w:val="auto"/>
        </w:rPr>
        <w:t>. Each Additional Purchaser acknowledges and consents to the terms of the Fifth Amendment to the Receivables Purchase Agreement and the transactions contemplated thereby.</w:t>
      </w:r>
    </w:p>
    <w:p>
      <w:pPr>
        <w:spacing w:after="0" w:line="112" w:lineRule="exact"/>
        <w:rPr>
          <w:rFonts w:ascii="Times New Roman" w:cs="Times New Roman" w:eastAsia="Times New Roman" w:hAnsi="Times New Roman"/>
          <w:sz w:val="17"/>
          <w:szCs w:val="17"/>
          <w:color w:val="auto"/>
        </w:rPr>
      </w:pPr>
    </w:p>
    <w:p>
      <w:pPr>
        <w:ind w:firstLine="521"/>
        <w:spacing w:after="0" w:line="288" w:lineRule="auto"/>
        <w:tabs>
          <w:tab w:leader="none" w:pos="18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Addresses</w:t>
      </w:r>
      <w:r>
        <w:rPr>
          <w:rFonts w:ascii="Times New Roman" w:cs="Times New Roman" w:eastAsia="Times New Roman" w:hAnsi="Times New Roman"/>
          <w:sz w:val="17"/>
          <w:szCs w:val="17"/>
          <w:color w:val="auto"/>
        </w:rPr>
        <w:t>. Notices to each Additional Purchaser under the Transaction Documents should be sent to the address set forth below, or such other address designated by each Additional Purchaser from time to time in accordance with the Receivables Purchase Agreement: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If to Reliant Trust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7"/>
          <w:szCs w:val="17"/>
          <w:color w:val="auto"/>
        </w:rPr>
        <w:t>Address:</w:t>
        <w:tab/>
        <w:t>Reliant Trust</w:t>
      </w:r>
    </w:p>
    <w:p>
      <w:pPr>
        <w:spacing w:after="0" w:line="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130 Adelaide Street West</w:t>
      </w:r>
    </w:p>
    <w:p>
      <w:pPr>
        <w:ind w:left="1560"/>
        <w:spacing w:after="0" w:line="206" w:lineRule="auto"/>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Toronto, ON, M5H 3P5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If to The Toronto-Dominion Bank</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7"/>
          <w:szCs w:val="17"/>
          <w:color w:val="auto"/>
        </w:rPr>
        <w:t>Address:</w:t>
        <w:tab/>
        <w:t>The Toronto-Dominion Bank</w:t>
      </w:r>
    </w:p>
    <w:p>
      <w:pPr>
        <w:spacing w:after="0" w:line="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130 Adelaide Street West</w:t>
      </w:r>
    </w:p>
    <w:p>
      <w:pPr>
        <w:ind w:left="1560"/>
        <w:spacing w:after="0" w:line="206" w:lineRule="auto"/>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Toronto, ON, M5H 3P5</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Attention: ASG Asset Securitization</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0000FF"/>
        </w:rPr>
        <w:t>asgoperations@tdsecurities.com</w:t>
      </w:r>
    </w:p>
    <w:p>
      <w:pPr>
        <w:spacing w:after="0" w:line="19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With a copy to:</w:t>
      </w:r>
    </w:p>
    <w:p>
      <w:pPr>
        <w:spacing w:after="0" w:line="2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0000FF"/>
        </w:rPr>
        <w:t>kristi.pahapill@tdsecurities.com</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If to Liberty Street Funding LLC</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7"/>
          <w:szCs w:val="17"/>
          <w:color w:val="auto"/>
        </w:rPr>
        <w:t>Address:</w:t>
        <w:tab/>
        <w:t>Liberty Street Funding LLC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c/o Global Securitization Services, LLC</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68 South Service Road, Suite 120</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Melville, New York 11747</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Attention: Jill A. Russo</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Telephone No.: (212) 295-2742</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Facsimile No.: (212) 302-8767</w:t>
      </w:r>
    </w:p>
    <w:p>
      <w:pPr>
        <w:spacing w:after="0" w:line="3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If to The Bank of Nova Scotia</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7"/>
          <w:szCs w:val="17"/>
          <w:color w:val="auto"/>
        </w:rPr>
        <w:t>Address:</w:t>
        <w:tab/>
        <w:t>The Bank of Nova Scotia</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40 King Street W</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Toronto, ON, M5W 2X6</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Attention: Diane Emanuel</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Telephone No.: (416) 350-1166</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0000FF"/>
        </w:rPr>
        <w:t>diane.emanuel@scotiabank.com</w:t>
      </w:r>
    </w:p>
    <w:p>
      <w:pPr>
        <w:spacing w:after="0" w:line="19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With a copy to:</w:t>
      </w:r>
    </w:p>
    <w:p>
      <w:pPr>
        <w:spacing w:after="0" w:line="214"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7"/>
          <w:szCs w:val="17"/>
          <w:color w:val="auto"/>
        </w:rPr>
        <w:t>Address:</w:t>
        <w:tab/>
        <w:t>The Bank of Nova Scotia</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250 Vesey Street, 23rd Floor</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New York, NY 10281</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Attention: Darren Ward</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Telephone No.: (212) 225-5264</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0000FF"/>
        </w:rPr>
        <w:t>darren.ward@scotiabank.com</w:t>
      </w:r>
    </w:p>
    <w:p>
      <w:pPr>
        <w:spacing w:after="0" w:line="200" w:lineRule="exact"/>
        <w:rPr>
          <w:sz w:val="20"/>
          <w:szCs w:val="20"/>
          <w:color w:val="auto"/>
        </w:rPr>
      </w:pPr>
    </w:p>
    <w:p>
      <w:pPr>
        <w:spacing w:after="0" w:line="37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the Receivables Purchase Agreement</w:t>
      </w:r>
      <w:r>
        <w:rPr>
          <w:rFonts w:ascii="Times New Roman" w:cs="Times New Roman" w:eastAsia="Times New Roman" w:hAnsi="Times New Roman"/>
          <w:sz w:val="17"/>
          <w:szCs w:val="17"/>
          <w:color w:val="auto"/>
        </w:rPr>
        <w:t>. The Receivables Purchase Agreement is hereby amended as follows:</w:t>
      </w:r>
    </w:p>
    <w:p>
      <w:pPr>
        <w:spacing w:after="0" w:line="192" w:lineRule="exact"/>
        <w:rPr>
          <w:sz w:val="20"/>
          <w:szCs w:val="20"/>
          <w:color w:val="auto"/>
        </w:rPr>
      </w:pPr>
    </w:p>
    <w:p>
      <w:pPr>
        <w:ind w:firstLine="521"/>
        <w:spacing w:after="0" w:line="301" w:lineRule="auto"/>
        <w:tabs>
          <w:tab w:leader="none" w:pos="86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w:t>
      </w:r>
      <w:r>
        <w:rPr>
          <w:rFonts w:ascii="Times New Roman" w:cs="Times New Roman" w:eastAsia="Times New Roman" w:hAnsi="Times New Roman"/>
          <w:sz w:val="17"/>
          <w:szCs w:val="17"/>
          <w:u w:val="single" w:color="auto"/>
          <w:color w:val="auto"/>
        </w:rPr>
        <w:t>Concentration Percentage</w:t>
      </w:r>
      <w:r>
        <w:rPr>
          <w:rFonts w:ascii="Times New Roman" w:cs="Times New Roman" w:eastAsia="Times New Roman" w:hAnsi="Times New Roman"/>
          <w:sz w:val="17"/>
          <w:szCs w:val="17"/>
          <w:color w:val="auto"/>
        </w:rPr>
        <w:t xml:space="preserve">” set forth in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to the Receivables Purchase Agreement is hereby amended and restated in its entirety as follows:</w:t>
      </w:r>
    </w:p>
    <w:p>
      <w:pPr>
        <w:spacing w:after="0" w:line="102" w:lineRule="exact"/>
        <w:rPr>
          <w:sz w:val="20"/>
          <w:szCs w:val="20"/>
          <w:color w:val="auto"/>
        </w:rPr>
      </w:pPr>
    </w:p>
    <w:p>
      <w:pPr>
        <w:ind w:left="520" w:right="200" w:firstLine="517"/>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Concentration Percentage</w:t>
      </w:r>
      <w:r>
        <w:rPr>
          <w:rFonts w:ascii="Times New Roman" w:cs="Times New Roman" w:eastAsia="Times New Roman" w:hAnsi="Times New Roman"/>
          <w:sz w:val="17"/>
          <w:szCs w:val="17"/>
          <w:color w:val="auto"/>
        </w:rPr>
        <w:t>” means (a) for each of the following Obligors: (i) Landstar Systems, Inc., (ii) United Parcel Service, Inc. and (iii) GoWireless, Inc., 4.00%, and (b) for any other Obligor, 3.00%.</w:t>
      </w:r>
    </w:p>
    <w:p>
      <w:pPr>
        <w:spacing w:after="0" w:line="145" w:lineRule="exact"/>
        <w:rPr>
          <w:sz w:val="20"/>
          <w:szCs w:val="20"/>
          <w:color w:val="auto"/>
        </w:rPr>
      </w:pPr>
    </w:p>
    <w:p>
      <w:pPr>
        <w:ind w:firstLine="521"/>
        <w:spacing w:after="0" w:line="301" w:lineRule="auto"/>
        <w:tabs>
          <w:tab w:leader="none" w:pos="95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w:t>
      </w:r>
      <w:r>
        <w:rPr>
          <w:rFonts w:ascii="Times New Roman" w:cs="Times New Roman" w:eastAsia="Times New Roman" w:hAnsi="Times New Roman"/>
          <w:sz w:val="17"/>
          <w:szCs w:val="17"/>
          <w:u w:val="single" w:color="auto"/>
          <w:color w:val="auto"/>
        </w:rPr>
        <w:t>Concentration Reserve Percentage</w:t>
      </w:r>
      <w:r>
        <w:rPr>
          <w:rFonts w:ascii="Times New Roman" w:cs="Times New Roman" w:eastAsia="Times New Roman" w:hAnsi="Times New Roman"/>
          <w:sz w:val="17"/>
          <w:szCs w:val="17"/>
          <w:color w:val="auto"/>
        </w:rPr>
        <w:t xml:space="preserve">” set forth in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to the Receivables Purchase Agreement is hereby amended by deleting the percentage “10.00%” where it appears therein and substituting “13.00%” therefor.</w:t>
      </w:r>
    </w:p>
    <w:p>
      <w:pPr>
        <w:spacing w:after="0" w:line="102" w:lineRule="exact"/>
        <w:rPr>
          <w:rFonts w:ascii="Times New Roman" w:cs="Times New Roman" w:eastAsia="Times New Roman" w:hAnsi="Times New Roman"/>
          <w:sz w:val="17"/>
          <w:szCs w:val="17"/>
          <w:color w:val="auto"/>
        </w:rPr>
      </w:pPr>
    </w:p>
    <w:p>
      <w:pPr>
        <w:jc w:val="both"/>
        <w:ind w:firstLine="521"/>
        <w:spacing w:after="0" w:line="276" w:lineRule="auto"/>
        <w:tabs>
          <w:tab w:leader="none" w:pos="8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w:t>
      </w:r>
      <w:r>
        <w:rPr>
          <w:rFonts w:ascii="Times New Roman" w:cs="Times New Roman" w:eastAsia="Times New Roman" w:hAnsi="Times New Roman"/>
          <w:sz w:val="17"/>
          <w:szCs w:val="17"/>
          <w:u w:val="single" w:color="auto"/>
          <w:color w:val="auto"/>
        </w:rPr>
        <w:t>Credit Risk Retention Rules</w:t>
      </w:r>
      <w:r>
        <w:rPr>
          <w:rFonts w:ascii="Times New Roman" w:cs="Times New Roman" w:eastAsia="Times New Roman" w:hAnsi="Times New Roman"/>
          <w:sz w:val="17"/>
          <w:szCs w:val="17"/>
          <w:color w:val="auto"/>
        </w:rPr>
        <w:t xml:space="preserve">” set forth in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to the Receivables Purchase Agreement is hereby amended by deleting the phrase “Articles 404-410 of the EU Capital Requirements Regulation (including Article 122a of the Banking Consolidation Directive)” where it appears therein and substituting “Articles 5 and 6 of Regulation (EU) 2017/2402 of the European Parliament and of the Council” therefor.</w:t>
      </w:r>
    </w:p>
    <w:p>
      <w:pPr>
        <w:spacing w:after="0" w:line="123" w:lineRule="exact"/>
        <w:rPr>
          <w:rFonts w:ascii="Times New Roman" w:cs="Times New Roman" w:eastAsia="Times New Roman" w:hAnsi="Times New Roman"/>
          <w:sz w:val="17"/>
          <w:szCs w:val="17"/>
          <w:color w:val="auto"/>
        </w:rPr>
      </w:pPr>
    </w:p>
    <w:p>
      <w:pPr>
        <w:ind w:left="860" w:hanging="339"/>
        <w:spacing w:after="0"/>
        <w:tabs>
          <w:tab w:leader="none" w:pos="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V</w:t>
      </w:r>
      <w:r>
        <w:rPr>
          <w:rFonts w:ascii="Times New Roman" w:cs="Times New Roman" w:eastAsia="Times New Roman" w:hAnsi="Times New Roman"/>
          <w:sz w:val="17"/>
          <w:szCs w:val="17"/>
          <w:color w:val="auto"/>
        </w:rPr>
        <w:t xml:space="preserve"> to the Receivables Purchase Agreement is hereby replaced in its entirety with </w:t>
      </w:r>
      <w:r>
        <w:rPr>
          <w:rFonts w:ascii="Times New Roman" w:cs="Times New Roman" w:eastAsia="Times New Roman" w:hAnsi="Times New Roman"/>
          <w:sz w:val="17"/>
          <w:szCs w:val="17"/>
          <w:u w:val="single" w:color="auto"/>
          <w:color w:val="auto"/>
        </w:rPr>
        <w:t>Schedule V</w:t>
      </w:r>
      <w:r>
        <w:rPr>
          <w:rFonts w:ascii="Times New Roman" w:cs="Times New Roman" w:eastAsia="Times New Roman" w:hAnsi="Times New Roman"/>
          <w:sz w:val="17"/>
          <w:szCs w:val="17"/>
          <w:color w:val="auto"/>
        </w:rPr>
        <w:t xml:space="preserve"> attached hereto.</w:t>
      </w:r>
    </w:p>
    <w:p>
      <w:pPr>
        <w:sectPr>
          <w:pgSz w:w="11900" w:h="16872" w:orient="portrait"/>
          <w:cols w:equalWidth="0" w:num="1">
            <w:col w:w="10940"/>
          </w:cols>
          <w:pgMar w:left="740" w:top="127" w:right="219" w:bottom="0" w:gutter="0" w:footer="0" w:header="0"/>
        </w:sectPr>
      </w:pPr>
    </w:p>
    <w:bookmarkStart w:id="62" w:name="page63"/>
    <w:bookmarkEnd w:id="62"/>
    <w:p>
      <w:pPr>
        <w:ind w:firstLine="517"/>
        <w:spacing w:after="0" w:line="301"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Representations and Warranties of the Seller and Servicer</w:t>
      </w:r>
      <w:r>
        <w:rPr>
          <w:rFonts w:ascii="Times New Roman" w:cs="Times New Roman" w:eastAsia="Times New Roman" w:hAnsi="Times New Roman"/>
          <w:sz w:val="17"/>
          <w:szCs w:val="17"/>
          <w:color w:val="auto"/>
        </w:rPr>
        <w:t>. Each of the Seller and the Servicer hereby represents and warrants, as to itself, to each of the Administrator, each Purchaser and each Purchaser Agent as follows as of the date hereof:</w:t>
      </w:r>
    </w:p>
    <w:p>
      <w:pPr>
        <w:spacing w:after="0" w:line="102" w:lineRule="exact"/>
        <w:rPr>
          <w:sz w:val="20"/>
          <w:szCs w:val="20"/>
          <w:color w:val="auto"/>
        </w:rPr>
      </w:pPr>
    </w:p>
    <w:p>
      <w:pPr>
        <w:ind w:left="520" w:firstLine="521"/>
        <w:spacing w:after="0" w:line="301" w:lineRule="auto"/>
        <w:tabs>
          <w:tab w:leader="none" w:pos="143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it in the Transaction Documents are true and correct as of the date hereof (unless stated to relate solely to an earlier date, in which case such representations or warranties were true and correct as of such earlier date);</w:t>
      </w:r>
    </w:p>
    <w:p>
      <w:pPr>
        <w:spacing w:after="0" w:line="102" w:lineRule="exact"/>
        <w:rPr>
          <w:rFonts w:ascii="Times New Roman" w:cs="Times New Roman" w:eastAsia="Times New Roman" w:hAnsi="Times New Roman"/>
          <w:sz w:val="17"/>
          <w:szCs w:val="17"/>
          <w:color w:val="auto"/>
        </w:rPr>
      </w:pPr>
    </w:p>
    <w:p>
      <w:pPr>
        <w:ind w:left="520" w:firstLine="521"/>
        <w:spacing w:after="0" w:line="301" w:lineRule="auto"/>
        <w:tabs>
          <w:tab w:leader="none" w:pos="142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has occurred and is continuing, or would result from the transactions contemplated hereby, that constitutes a Termination Event or an Unmatured Termination Event, and the Facility Termination Date has not occurred;</w:t>
      </w:r>
    </w:p>
    <w:p>
      <w:pPr>
        <w:spacing w:after="0" w:line="102" w:lineRule="exact"/>
        <w:rPr>
          <w:rFonts w:ascii="Times New Roman" w:cs="Times New Roman" w:eastAsia="Times New Roman" w:hAnsi="Times New Roman"/>
          <w:sz w:val="17"/>
          <w:szCs w:val="17"/>
          <w:color w:val="auto"/>
        </w:rPr>
      </w:pPr>
    </w:p>
    <w:p>
      <w:pPr>
        <w:jc w:val="both"/>
        <w:ind w:left="520" w:firstLine="521"/>
        <w:spacing w:after="0" w:line="276" w:lineRule="auto"/>
        <w:tabs>
          <w:tab w:leader="none" w:pos="142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such Person of this Amendment, and the performance of each of its obligations under this Amendment and the Receivables Purchase Agreement, as amended hereby, are within each of its corporate powers and have been duly authorized by all necessary corporate action on its part; and</w:t>
      </w:r>
    </w:p>
    <w:p>
      <w:pPr>
        <w:spacing w:after="0" w:line="123" w:lineRule="exact"/>
        <w:rPr>
          <w:rFonts w:ascii="Times New Roman" w:cs="Times New Roman" w:eastAsia="Times New Roman" w:hAnsi="Times New Roman"/>
          <w:sz w:val="17"/>
          <w:szCs w:val="17"/>
          <w:color w:val="auto"/>
        </w:rPr>
      </w:pPr>
    </w:p>
    <w:p>
      <w:pPr>
        <w:ind w:left="520" w:firstLine="521"/>
        <w:spacing w:after="0" w:line="301" w:lineRule="auto"/>
        <w:tabs>
          <w:tab w:leader="none" w:pos="152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and the Receivables Purchase Agreement, as amended hereby, are such Person’s valid and legally binding obligations, enforceable in accordance with its terms.</w:t>
      </w:r>
    </w:p>
    <w:p>
      <w:pPr>
        <w:spacing w:after="0" w:line="102"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All provisions of the Receivables Purchase Agreement,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spacing w:after="0" w:line="136"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This Amendment shall be effective as of the date hereof and upon satisfaction of the following conditions precedent: (a) the Administrator’s receipt of (i) counterparts of this Amendment and the Amended Fee Letter duly executed by each of the parties hereto and (ii) such other agreements, documents, opinions, and instruments as the Administrator shall request, (b) the receipt by each Purchaser Agent of the fees owing under the Amended Fee Letter.</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This Amendment shall be binding upon, and inure to the benefit of, the parties hereto and their respective successors and assigns.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electronic transmission shall be effective as delivery of a manually executed counterpart hereof.</w:t>
      </w:r>
    </w:p>
    <w:p>
      <w:pPr>
        <w:spacing w:after="0" w:line="129" w:lineRule="exact"/>
        <w:rPr>
          <w:sz w:val="20"/>
          <w:szCs w:val="20"/>
          <w:color w:val="auto"/>
        </w:rPr>
      </w:pPr>
    </w:p>
    <w:p>
      <w:pPr>
        <w:jc w:val="both"/>
        <w:ind w:firstLine="517"/>
        <w:spacing w:after="0" w:line="216" w:lineRule="exact"/>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SHALL BE DEEMED TO BE A CONTRACT MADE UNDER AND GOVERNED BY THE INTERNAL LAWS OF THE STATE OF NEW YORK (INCLUDING FOR SUCH PURPOSE SECTIONS 5-1401 AND 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1402 OF THE GENERAL OBLIGATIONS LAW OF THE STATE OF NEW YORK).</w:t>
      </w:r>
    </w:p>
    <w:p>
      <w:pPr>
        <w:spacing w:after="0" w:line="15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one or more of the agreements, provisions or terms of this Amendment shall for any reason whatsoever be held invalid or unenforceable, then such agreements, provisions or terms shall be deemed severable from the remaining agreements, provisions and terms of this Amendment and shall in no way affect the validity or enforceability of the provisions of this Amendment or the Receivables Purchase Agreement.</w:t>
      </w:r>
    </w:p>
    <w:p>
      <w:pPr>
        <w:spacing w:after="0" w:line="123" w:lineRule="exact"/>
        <w:rPr>
          <w:sz w:val="20"/>
          <w:szCs w:val="20"/>
          <w:color w:val="auto"/>
        </w:rPr>
      </w:pPr>
    </w:p>
    <w:p>
      <w:pPr>
        <w:jc w:val="both"/>
        <w:ind w:firstLine="517"/>
        <w:spacing w:after="0" w:line="301"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Section Headings</w:t>
      </w:r>
      <w:r>
        <w:rPr>
          <w:rFonts w:ascii="Times New Roman" w:cs="Times New Roman" w:eastAsia="Times New Roman" w:hAnsi="Times New Roman"/>
          <w:sz w:val="17"/>
          <w:szCs w:val="17"/>
          <w:color w:val="auto"/>
        </w:rPr>
        <w:t>. The various headings of this Amendment are included for convenience only and shall not affect the meaning or interpretation of this Amendment, the Receivables Purchase Agreement or any provision hereof or thereof.</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[SIGNATURES BEGIN ON NEXT PAGE]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Amendment by their duly authorized officers as of the date first above written.</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FLEETCOR FUNDING LLC</w:t>
      </w:r>
      <w:r>
        <w:rPr>
          <w:rFonts w:ascii="Times New Roman" w:cs="Times New Roman" w:eastAsia="Times New Roman" w:hAnsi="Times New Roman"/>
          <w:sz w:val="17"/>
          <w:szCs w:val="17"/>
          <w:color w:val="auto"/>
        </w:rPr>
        <w:t>, as Seller</w:t>
      </w: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Steve Pisciotta</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Steve Pisciotta</w:t>
      </w:r>
    </w:p>
    <w:p>
      <w:pPr>
        <w:spacing w:after="0" w:line="9"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17"/>
          <w:szCs w:val="17"/>
          <w:color w:val="auto"/>
        </w:rPr>
        <w:t>Title:</w:t>
        <w:tab/>
        <w:t>Treasurer</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FLEETCOR TECHNOLOGIES OPERATING COMPANY, LLC</w:t>
      </w:r>
      <w:r>
        <w:rPr>
          <w:rFonts w:ascii="Times New Roman" w:cs="Times New Roman" w:eastAsia="Times New Roman" w:hAnsi="Times New Roman"/>
          <w:sz w:val="17"/>
          <w:szCs w:val="17"/>
          <w:color w:val="auto"/>
        </w:rPr>
        <w:t>, as Servicer</w:t>
      </w:r>
    </w:p>
    <w:p>
      <w:pPr>
        <w:spacing w:after="0" w:line="3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Steve Pisciotta</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Steve Pisciotta</w:t>
      </w:r>
    </w:p>
    <w:p>
      <w:pPr>
        <w:spacing w:after="0" w:line="9"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17"/>
          <w:szCs w:val="17"/>
          <w:color w:val="auto"/>
        </w:rPr>
        <w:t>Title:</w:t>
        <w:tab/>
        <w:t>Treasurer</w:t>
      </w:r>
    </w:p>
    <w:p>
      <w:pPr>
        <w:spacing w:after="0" w:line="1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 Committed Purchaser and as Purchaser Agent for its Purchaser Group</w:t>
      </w:r>
    </w:p>
    <w:p>
      <w:pPr>
        <w:spacing w:after="0" w:line="3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Michael Brown</w:t>
      </w:r>
    </w:p>
    <w:p>
      <w:pPr>
        <w:spacing w:after="0" w:line="29" w:lineRule="exact"/>
        <w:rPr>
          <w:sz w:val="20"/>
          <w:szCs w:val="20"/>
          <w:color w:val="auto"/>
        </w:rPr>
      </w:pPr>
    </w:p>
    <w:p>
      <w:pPr>
        <w:ind w:left="2600"/>
        <w:spacing w:after="0"/>
        <w:tabs>
          <w:tab w:leader="none" w:pos="3200" w:val="left"/>
        </w:tabs>
        <w:rPr>
          <w:sz w:val="20"/>
          <w:szCs w:val="20"/>
          <w:color w:val="auto"/>
        </w:rPr>
      </w:pPr>
      <w:r>
        <w:rPr>
          <w:rFonts w:ascii="Times New Roman" w:cs="Times New Roman" w:eastAsia="Times New Roman" w:hAnsi="Times New Roman"/>
          <w:sz w:val="17"/>
          <w:szCs w:val="17"/>
          <w:color w:val="auto"/>
        </w:rPr>
        <w:t>Name:</w:t>
        <w:tab/>
        <w:t>Michael Brown</w:t>
      </w:r>
    </w:p>
    <w:p>
      <w:pPr>
        <w:spacing w:after="0" w:line="9" w:lineRule="exact"/>
        <w:rPr>
          <w:sz w:val="20"/>
          <w:szCs w:val="20"/>
          <w:color w:val="auto"/>
        </w:rPr>
      </w:pPr>
    </w:p>
    <w:p>
      <w:pPr>
        <w:ind w:left="2600"/>
        <w:spacing w:after="0"/>
        <w:tabs>
          <w:tab w:leader="none" w:pos="31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WELLS FARGO BANK,</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NATIONAL ASSOCIATION</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 Committed Purchaser and as Purchaser Agent for its Purchaser Group</w:t>
      </w:r>
    </w:p>
    <w:p>
      <w:pPr>
        <w:spacing w:after="0" w:line="3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Jason Barwig</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Jason Barwig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Assistant Vice President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REGIONS BANK</w:t>
      </w:r>
      <w:r>
        <w:rPr>
          <w:rFonts w:ascii="Times New Roman" w:cs="Times New Roman" w:eastAsia="Times New Roman" w:hAnsi="Times New Roman"/>
          <w:sz w:val="17"/>
          <w:szCs w:val="17"/>
          <w:color w:val="auto"/>
        </w:rPr>
        <w:t>, as a Committed Purchaser and as Purchaser Agent for its Purchaser Group</w:t>
      </w:r>
    </w:p>
    <w:p>
      <w:pPr>
        <w:sectPr>
          <w:pgSz w:w="11900" w:h="16838" w:orient="portrait"/>
          <w:cols w:equalWidth="0" w:num="1">
            <w:col w:w="11460"/>
          </w:cols>
          <w:pgMar w:left="220" w:top="289" w:right="219" w:bottom="24" w:gutter="0" w:footer="0" w:header="0"/>
        </w:sectPr>
      </w:pPr>
    </w:p>
    <w:bookmarkStart w:id="63" w:name="page64"/>
    <w:bookmarkEnd w:id="63"/>
    <w:p>
      <w:pPr>
        <w:ind w:left="1380"/>
        <w:spacing w:after="0"/>
        <w:rPr>
          <w:sz w:val="20"/>
          <w:szCs w:val="20"/>
          <w:color w:val="auto"/>
        </w:rPr>
      </w:pPr>
      <w:r>
        <w:rPr>
          <w:rFonts w:ascii="Times New Roman" w:cs="Times New Roman" w:eastAsia="Times New Roman" w:hAnsi="Times New Roman"/>
          <w:sz w:val="17"/>
          <w:szCs w:val="17"/>
          <w:color w:val="auto"/>
        </w:rPr>
        <w:t xml:space="preserve">By:/s/ </w:t>
      </w:r>
      <w:r>
        <w:rPr>
          <w:rFonts w:ascii="Times New Roman" w:cs="Times New Roman" w:eastAsia="Times New Roman" w:hAnsi="Times New Roman"/>
          <w:sz w:val="17"/>
          <w:szCs w:val="17"/>
          <w:u w:val="single" w:color="auto"/>
          <w:color w:val="auto"/>
        </w:rPr>
        <w:t>Kathy Myers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Kathy Myers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1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a Committed Purchaser</w:t>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Eric Williams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Eric Williams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3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VICTORY RECEIVABLES CORPORATION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as a Conduit Purchaser for MUFG Bank, Ltd.’s Purchaser Group</w:t>
      </w:r>
    </w:p>
    <w:p>
      <w:pPr>
        <w:spacing w:after="0" w:line="200" w:lineRule="exact"/>
        <w:rPr>
          <w:sz w:val="20"/>
          <w:szCs w:val="20"/>
          <w:color w:val="auto"/>
        </w:rPr>
      </w:pPr>
    </w:p>
    <w:p>
      <w:pPr>
        <w:spacing w:after="0" w:line="2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Kevin J Corrigan</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Kevin J Corrigan</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Purchaser Agent for its and Victory Receivables Corporation’s Purchaser Group</w:t>
      </w:r>
    </w:p>
    <w:p>
      <w:pPr>
        <w:spacing w:after="0" w:line="200" w:lineRule="exact"/>
        <w:rPr>
          <w:sz w:val="20"/>
          <w:szCs w:val="20"/>
          <w:color w:val="auto"/>
        </w:rPr>
      </w:pP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Eric Williams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Eric Williams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a Committed Purchaser and as Purchaser Agent for its Purchaser Group</w:t>
      </w:r>
    </w:p>
    <w:p>
      <w:pPr>
        <w:spacing w:after="0" w:line="3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Richard A. Burke</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Richard A. Burke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1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THE TORONTO-DOMINION BANK</w:t>
      </w:r>
      <w:r>
        <w:rPr>
          <w:rFonts w:ascii="Times New Roman" w:cs="Times New Roman" w:eastAsia="Times New Roman" w:hAnsi="Times New Roman"/>
          <w:sz w:val="17"/>
          <w:szCs w:val="17"/>
          <w:color w:val="auto"/>
        </w:rPr>
        <w:t>, as a Committed Purchaser</w:t>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Bradley Purkis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Bradley Purkis</w:t>
      </w:r>
    </w:p>
    <w:p>
      <w:pPr>
        <w:spacing w:after="0" w:line="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00" w:lineRule="exact"/>
        <w:rPr>
          <w:sz w:val="20"/>
          <w:szCs w:val="20"/>
          <w:color w:val="auto"/>
        </w:rPr>
      </w:pPr>
    </w:p>
    <w:p>
      <w:pPr>
        <w:spacing w:after="0" w:line="207" w:lineRule="exact"/>
        <w:rPr>
          <w:sz w:val="20"/>
          <w:szCs w:val="20"/>
          <w:color w:val="auto"/>
        </w:rPr>
      </w:pPr>
    </w:p>
    <w:p>
      <w:pPr>
        <w:ind w:left="1380"/>
        <w:spacing w:after="0" w:line="271" w:lineRule="auto"/>
        <w:rPr>
          <w:sz w:val="20"/>
          <w:szCs w:val="20"/>
          <w:color w:val="auto"/>
        </w:rPr>
      </w:pPr>
      <w:r>
        <w:rPr>
          <w:rFonts w:ascii="Times New Roman" w:cs="Times New Roman" w:eastAsia="Times New Roman" w:hAnsi="Times New Roman"/>
          <w:sz w:val="17"/>
          <w:szCs w:val="17"/>
          <w:b w:val="1"/>
          <w:bCs w:val="1"/>
          <w:color w:val="auto"/>
        </w:rPr>
        <w:t>COMPUTERSHARE TRUST COMPANY OF CANADA</w:t>
      </w:r>
      <w:r>
        <w:rPr>
          <w:rFonts w:ascii="Times New Roman" w:cs="Times New Roman" w:eastAsia="Times New Roman" w:hAnsi="Times New Roman"/>
          <w:sz w:val="17"/>
          <w:szCs w:val="17"/>
          <w:color w:val="auto"/>
        </w:rPr>
        <w:t>, in its capacity as trustee of</w:t>
      </w:r>
      <w:r>
        <w:rPr>
          <w:rFonts w:ascii="Times New Roman" w:cs="Times New Roman" w:eastAsia="Times New Roman" w:hAnsi="Times New Roman"/>
          <w:sz w:val="17"/>
          <w:szCs w:val="17"/>
          <w:b w:val="1"/>
          <w:bCs w:val="1"/>
          <w:color w:val="auto"/>
        </w:rPr>
        <w:t xml:space="preserve"> RELIANT TRUST</w:t>
      </w:r>
      <w:r>
        <w:rPr>
          <w:rFonts w:ascii="Times New Roman" w:cs="Times New Roman" w:eastAsia="Times New Roman" w:hAnsi="Times New Roman"/>
          <w:sz w:val="17"/>
          <w:szCs w:val="17"/>
          <w:color w:val="auto"/>
        </w:rPr>
        <w:t>, by its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Financial Services Agent, </w:t>
      </w:r>
      <w:r>
        <w:rPr>
          <w:rFonts w:ascii="Times New Roman" w:cs="Times New Roman" w:eastAsia="Times New Roman" w:hAnsi="Times New Roman"/>
          <w:sz w:val="17"/>
          <w:szCs w:val="17"/>
          <w:b w:val="1"/>
          <w:bCs w:val="1"/>
          <w:color w:val="auto"/>
        </w:rPr>
        <w:t>THE TORONTO-DOMINION BANK</w:t>
      </w:r>
      <w:r>
        <w:rPr>
          <w:rFonts w:ascii="Times New Roman" w:cs="Times New Roman" w:eastAsia="Times New Roman" w:hAnsi="Times New Roman"/>
          <w:sz w:val="17"/>
          <w:szCs w:val="17"/>
          <w:color w:val="auto"/>
        </w:rPr>
        <w:t>, as a Conduit Purchaser for The Toronto-Domino Bank’s Purchaser Group</w:t>
      </w:r>
    </w:p>
    <w:p>
      <w:pPr>
        <w:spacing w:after="0" w:line="3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Bradley Purkis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Bradley Purkis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TORONTO-DOMINION BANK</w:t>
      </w:r>
      <w:r>
        <w:rPr>
          <w:rFonts w:ascii="Times New Roman" w:cs="Times New Roman" w:eastAsia="Times New Roman" w:hAnsi="Times New Roman"/>
          <w:sz w:val="17"/>
          <w:szCs w:val="17"/>
          <w:color w:val="auto"/>
        </w:rPr>
        <w:t>, as Purchaser Agent for its and Reliant Trust’s Purchaser Group</w:t>
      </w:r>
    </w:p>
    <w:p>
      <w:pPr>
        <w:spacing w:after="0" w:line="200" w:lineRule="exact"/>
        <w:rPr>
          <w:sz w:val="20"/>
          <w:szCs w:val="20"/>
          <w:color w:val="auto"/>
        </w:rPr>
      </w:pP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Bradley Purkis</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Bradley Purkis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1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THE BANK OF NOVA SCOTIA</w:t>
      </w:r>
      <w:r>
        <w:rPr>
          <w:rFonts w:ascii="Times New Roman" w:cs="Times New Roman" w:eastAsia="Times New Roman" w:hAnsi="Times New Roman"/>
          <w:sz w:val="17"/>
          <w:szCs w:val="17"/>
          <w:color w:val="auto"/>
        </w:rPr>
        <w:t>, as a Committed Purchaser</w:t>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Diane Emanuel</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Diane Emanuel</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Managing Director &amp; Co-Head U.S. Execution</w:t>
      </w:r>
    </w:p>
    <w:p>
      <w:pPr>
        <w:spacing w:after="0" w:line="3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LIBERTY STREET FUNDING LLC</w:t>
      </w:r>
      <w:r>
        <w:rPr>
          <w:rFonts w:ascii="Times New Roman" w:cs="Times New Roman" w:eastAsia="Times New Roman" w:hAnsi="Times New Roman"/>
          <w:sz w:val="17"/>
          <w:szCs w:val="17"/>
          <w:color w:val="auto"/>
        </w:rPr>
        <w:t>, as a Conduit Purchaser for The Bank of Nova Scotia’s Purchaser Group</w:t>
      </w:r>
    </w:p>
    <w:p>
      <w:pPr>
        <w:spacing w:after="0" w:line="200" w:lineRule="exact"/>
        <w:rPr>
          <w:sz w:val="20"/>
          <w:szCs w:val="20"/>
          <w:color w:val="auto"/>
        </w:rPr>
      </w:pP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Jill A. Russo</w:t>
      </w:r>
    </w:p>
    <w:p>
      <w:pPr>
        <w:spacing w:after="0" w:line="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Name: Jill A. Russo</w:t>
      </w:r>
    </w:p>
    <w:p>
      <w:pPr>
        <w:spacing w:after="0" w:line="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THE BANK OF NOVA SCOTIA</w:t>
      </w:r>
      <w:r>
        <w:rPr>
          <w:rFonts w:ascii="Times New Roman" w:cs="Times New Roman" w:eastAsia="Times New Roman" w:hAnsi="Times New Roman"/>
          <w:sz w:val="17"/>
          <w:szCs w:val="17"/>
          <w:color w:val="auto"/>
        </w:rPr>
        <w:t>, as Purchaser Agent for its and Liberty Street Funding LLC’s Purchaser Group</w:t>
      </w:r>
    </w:p>
    <w:p>
      <w:pPr>
        <w:sectPr>
          <w:pgSz w:w="11900" w:h="16838" w:orient="portrait"/>
          <w:cols w:equalWidth="0" w:num="1">
            <w:col w:w="9960"/>
          </w:cols>
          <w:pgMar w:left="1440" w:top="128" w:right="499" w:bottom="0" w:gutter="0" w:footer="0" w:header="0"/>
        </w:sectPr>
      </w:pPr>
    </w:p>
    <w:p>
      <w:pPr>
        <w:spacing w:after="0" w:line="200" w:lineRule="exact"/>
        <w:rPr>
          <w:sz w:val="20"/>
          <w:szCs w:val="20"/>
          <w:color w:val="auto"/>
        </w:rPr>
      </w:pPr>
    </w:p>
    <w:p>
      <w:pPr>
        <w:spacing w:after="0" w:line="2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By:/s/ Diane Emanuel</w:t>
      </w:r>
    </w:p>
    <w:p>
      <w:pPr>
        <w:sectPr>
          <w:pgSz w:w="11900" w:h="16838" w:orient="portrait"/>
          <w:cols w:equalWidth="0" w:num="1">
            <w:col w:w="9960"/>
          </w:cols>
          <w:pgMar w:left="1440" w:top="128" w:right="499" w:bottom="0" w:gutter="0" w:footer="0" w:header="0"/>
          <w:type w:val="continuous"/>
        </w:sectPr>
      </w:pPr>
    </w:p>
    <w:bookmarkStart w:id="64" w:name="page65"/>
    <w:bookmarkEnd w:id="64"/>
    <w:p>
      <w:pPr>
        <w:ind w:left="2600"/>
        <w:spacing w:after="0"/>
        <w:rPr>
          <w:sz w:val="20"/>
          <w:szCs w:val="20"/>
          <w:color w:val="auto"/>
        </w:rPr>
      </w:pPr>
      <w:r>
        <w:rPr>
          <w:rFonts w:ascii="Times New Roman" w:cs="Times New Roman" w:eastAsia="Times New Roman" w:hAnsi="Times New Roman"/>
          <w:sz w:val="17"/>
          <w:szCs w:val="17"/>
          <w:color w:val="auto"/>
        </w:rPr>
        <w:t>Name: Diane Emanuel</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Managing Director &amp; Co-Head U.S. Execution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 Administrator</w:t>
      </w:r>
    </w:p>
    <w:p>
      <w:pPr>
        <w:spacing w:after="0" w:line="3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By:/s/ Michael Brown</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Michael Brown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Pr>
          <w:p>
            <w:pPr>
              <w:jc w:val="center"/>
              <w:ind w:right="1654"/>
              <w:spacing w:after="0"/>
              <w:rPr>
                <w:sz w:val="20"/>
                <w:szCs w:val="20"/>
                <w:color w:val="auto"/>
              </w:rPr>
            </w:pPr>
            <w:r>
              <w:rPr>
                <w:rFonts w:ascii="Times New Roman" w:cs="Times New Roman" w:eastAsia="Times New Roman" w:hAnsi="Times New Roman"/>
                <w:sz w:val="17"/>
                <w:szCs w:val="17"/>
                <w:b w:val="1"/>
                <w:bCs w:val="1"/>
                <w:color w:val="auto"/>
              </w:rPr>
              <w:t>SCHEDULE V</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80" w:type="dxa"/>
            <w:vAlign w:val="bottom"/>
            <w:gridSpan w:val="4"/>
          </w:tcPr>
          <w:p>
            <w:pPr>
              <w:jc w:val="center"/>
              <w:ind w:right="514"/>
              <w:spacing w:after="0"/>
              <w:rPr>
                <w:sz w:val="20"/>
                <w:szCs w:val="20"/>
                <w:color w:val="auto"/>
              </w:rPr>
            </w:pPr>
            <w:r>
              <w:rPr>
                <w:rFonts w:ascii="Times New Roman" w:cs="Times New Roman" w:eastAsia="Times New Roman" w:hAnsi="Times New Roman"/>
                <w:sz w:val="17"/>
                <w:szCs w:val="17"/>
                <w:b w:val="1"/>
                <w:bCs w:val="1"/>
                <w:color w:val="auto"/>
              </w:rPr>
              <w:t>PURCHASER GROUPS AND COMMITMENTS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76"/>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8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Purchaser Group of PNC Bank, National Association</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tcBorders>
              <w:right w:val="single" w:sz="8" w:color="auto"/>
            </w:tcBorders>
            <w:gridSpan w:val="4"/>
          </w:tcPr>
          <w:p>
            <w:pPr>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PNC Bank, National Association</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$370,000,000</w:t>
            </w:r>
          </w:p>
        </w:tc>
        <w:tc>
          <w:tcPr>
            <w:tcW w:w="40" w:type="dxa"/>
            <w:vAlign w:val="bottom"/>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PNC Bank, National Association</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r>
      <w:tr>
        <w:trPr>
          <w:trHeight w:val="309"/>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8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Purchaser Group of Wells Fargo Bank, National Association</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tcBorders>
              <w:right w:val="single" w:sz="8" w:color="auto"/>
            </w:tcBorders>
            <w:gridSpan w:val="4"/>
          </w:tcPr>
          <w:p>
            <w:pPr>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Wells Fargo Bank, National Association</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$190,000,000</w:t>
            </w:r>
          </w:p>
        </w:tc>
        <w:tc>
          <w:tcPr>
            <w:tcW w:w="40" w:type="dxa"/>
            <w:vAlign w:val="bottom"/>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Wells Fargo Bank, National Association</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r>
      <w:tr>
        <w:trPr>
          <w:trHeight w:val="309"/>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Purchaser Group of Regions Bank</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gridSpan w:val="4"/>
          </w:tcPr>
          <w:p>
            <w:pPr>
              <w:ind w:left="20"/>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Borders>
              <w:right w:val="single" w:sz="8" w:color="auto"/>
            </w:tcBorders>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Regions Bank</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3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$125,000,000</w:t>
            </w:r>
          </w:p>
        </w:tc>
        <w:tc>
          <w:tcPr>
            <w:tcW w:w="40" w:type="dxa"/>
            <w:vAlign w:val="bottom"/>
            <w:tcBorders>
              <w:bottom w:val="single" w:sz="8" w:color="auto"/>
              <w:right w:val="single" w:sz="8" w:color="auto"/>
            </w:tcBorders>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Regions Bank</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Borders>
              <w:bottom w:val="single" w:sz="8" w:color="auto"/>
              <w:right w:val="single" w:sz="8" w:color="auto"/>
            </w:tcBorders>
          </w:tcPr>
          <w:p>
            <w:pPr>
              <w:spacing w:after="0"/>
              <w:rPr>
                <w:sz w:val="19"/>
                <w:szCs w:val="19"/>
                <w:color w:val="auto"/>
              </w:rPr>
            </w:pPr>
          </w:p>
        </w:tc>
      </w:tr>
      <w:tr>
        <w:trPr>
          <w:trHeight w:val="309"/>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Purchaser Group of MUFG Bank, Ltd.</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tcBorders>
              <w:right w:val="single" w:sz="8" w:color="auto"/>
            </w:tcBorders>
            <w:gridSpan w:val="4"/>
          </w:tcPr>
          <w:p>
            <w:pPr>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Victory Receivables Corporation</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Conduit Purchaser</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MUFG Bank, Ltd.</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$190,000,000</w:t>
            </w:r>
          </w:p>
        </w:tc>
        <w:tc>
          <w:tcPr>
            <w:tcW w:w="40" w:type="dxa"/>
            <w:vAlign w:val="bottom"/>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MUFG Bank, Ltd.</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r>
      <w:tr>
        <w:trPr>
          <w:trHeight w:val="309"/>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Purchaser Group of Mizuho Bank, Ltd.</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gridSpan w:val="4"/>
          </w:tcPr>
          <w:p>
            <w:pPr>
              <w:ind w:left="20"/>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Borders>
              <w:right w:val="single" w:sz="8" w:color="auto"/>
            </w:tcBorders>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Mizuho Bank, Ltd.</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3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$125,000,000</w:t>
            </w:r>
          </w:p>
        </w:tc>
        <w:tc>
          <w:tcPr>
            <w:tcW w:w="40" w:type="dxa"/>
            <w:vAlign w:val="bottom"/>
            <w:tcBorders>
              <w:bottom w:val="single" w:sz="8" w:color="auto"/>
              <w:right w:val="single" w:sz="8" w:color="auto"/>
            </w:tcBorders>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Mizuho Bank, Ltd.</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Borders>
              <w:bottom w:val="single" w:sz="8" w:color="auto"/>
              <w:right w:val="single" w:sz="8" w:color="auto"/>
            </w:tcBorders>
          </w:tcPr>
          <w:p>
            <w:pPr>
              <w:spacing w:after="0"/>
              <w:rPr>
                <w:sz w:val="19"/>
                <w:szCs w:val="19"/>
                <w:color w:val="auto"/>
              </w:rPr>
            </w:pPr>
          </w:p>
        </w:tc>
      </w:tr>
      <w:tr>
        <w:trPr>
          <w:trHeight w:val="309"/>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Purchaser Group of The Toronto-Dominion Bank</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tcBorders>
              <w:right w:val="single" w:sz="8" w:color="auto"/>
            </w:tcBorders>
            <w:gridSpan w:val="4"/>
          </w:tcPr>
          <w:p>
            <w:pPr>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Reliant Trust</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Conduit Purchaser</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Toronto-Dominion Bank</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$125,000,000</w:t>
            </w:r>
          </w:p>
        </w:tc>
        <w:tc>
          <w:tcPr>
            <w:tcW w:w="40" w:type="dxa"/>
            <w:vAlign w:val="bottom"/>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Toronto-Dominion Bank</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r>
      <w:tr>
        <w:trPr>
          <w:trHeight w:val="309"/>
        </w:trPr>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Purchaser Group of The Bank of Nova Scotia</w:t>
            </w: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Times New Roman" w:cs="Times New Roman" w:eastAsia="Times New Roman" w:hAnsi="Times New Roman"/>
                <w:sz w:val="17"/>
                <w:szCs w:val="17"/>
                <w:color w:val="auto"/>
              </w:rPr>
              <w:t>Party</w:t>
            </w:r>
          </w:p>
        </w:tc>
        <w:tc>
          <w:tcPr>
            <w:tcW w:w="48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color w:val="auto"/>
              </w:rPr>
              <w:t>Capacity</w:t>
            </w:r>
          </w:p>
        </w:tc>
        <w:tc>
          <w:tcPr>
            <w:tcW w:w="3160" w:type="dxa"/>
            <w:vAlign w:val="bottom"/>
            <w:gridSpan w:val="4"/>
          </w:tcPr>
          <w:p>
            <w:pPr>
              <w:ind w:left="20"/>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 w:type="dxa"/>
            <w:vAlign w:val="bottom"/>
            <w:tcBorders>
              <w:right w:val="single" w:sz="8" w:color="auto"/>
            </w:tcBorders>
          </w:tcPr>
          <w:p>
            <w:pPr>
              <w:spacing w:after="0"/>
              <w:rPr>
                <w:sz w:val="15"/>
                <w:szCs w:val="15"/>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Liberty Street Funding LLC</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Conduit Purchaser</w:t>
            </w:r>
          </w:p>
        </w:tc>
        <w:tc>
          <w:tcPr>
            <w:tcW w:w="3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Borders>
              <w:bottom w:val="single" w:sz="8" w:color="auto"/>
              <w:right w:val="single" w:sz="8" w:color="auto"/>
            </w:tcBorders>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Bank of Nova Scotia</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Committed Purchaser</w:t>
            </w: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$75,000,000</w:t>
            </w:r>
          </w:p>
        </w:tc>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The Bank of Nova Scotia</w:t>
            </w:r>
          </w:p>
        </w:tc>
        <w:tc>
          <w:tcPr>
            <w:tcW w:w="48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Purchaser Agent</w:t>
            </w:r>
          </w:p>
        </w:tc>
        <w:tc>
          <w:tcPr>
            <w:tcW w:w="3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FLOW OF FUNDS MEMORANDUM</w:t>
      </w:r>
    </w:p>
    <w:p>
      <w:pPr>
        <w:sectPr>
          <w:pgSz w:w="11900" w:h="16838" w:orient="portrait"/>
          <w:cols w:equalWidth="0" w:num="1">
            <w:col w:w="11480"/>
          </w:cols>
          <w:pgMar w:left="220" w:top="127" w:right="199" w:bottom="260" w:gutter="0" w:footer="0" w:header="0"/>
        </w:sect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Attached]</w:t>
      </w:r>
    </w:p>
    <w:p>
      <w:pPr>
        <w:sectPr>
          <w:pgSz w:w="11900" w:h="16838" w:orient="portrait"/>
          <w:cols w:equalWidth="0" w:num="1">
            <w:col w:w="11480"/>
          </w:cols>
          <w:pgMar w:left="220" w:top="127" w:right="199" w:bottom="26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1"/>
          <w:szCs w:val="11"/>
          <w:color w:val="auto"/>
        </w:rPr>
        <w:t>731105780 04351262</w:t>
      </w:r>
    </w:p>
    <w:p>
      <w:pPr>
        <w:sectPr>
          <w:pgSz w:w="11900" w:h="16838" w:orient="portrait"/>
          <w:cols w:equalWidth="0" w:num="1">
            <w:col w:w="10239"/>
          </w:cols>
          <w:pgMar w:left="220" w:top="866"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Ronald F. Clarke, certify that:</w:t>
      </w:r>
    </w:p>
    <w:p>
      <w:pPr>
        <w:spacing w:after="0" w:line="98" w:lineRule="exact"/>
        <w:rPr>
          <w:sz w:val="20"/>
          <w:szCs w:val="20"/>
          <w:color w:val="auto"/>
        </w:rPr>
      </w:pPr>
    </w:p>
    <w:p>
      <w:pPr>
        <w:ind w:left="140" w:hanging="134"/>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FleetCor Technologies, Inc.;</w:t>
      </w:r>
    </w:p>
    <w:p>
      <w:pPr>
        <w:spacing w:after="0" w:line="183" w:lineRule="exact"/>
        <w:rPr>
          <w:rFonts w:ascii="Times New Roman" w:cs="Times New Roman" w:eastAsia="Times New Roman" w:hAnsi="Times New Roman"/>
          <w:sz w:val="14"/>
          <w:szCs w:val="14"/>
          <w:color w:val="auto"/>
        </w:rPr>
      </w:pPr>
    </w:p>
    <w:p>
      <w:pPr>
        <w:ind w:right="260" w:firstLine="6"/>
        <w:spacing w:after="0" w:line="294" w:lineRule="auto"/>
        <w:tabs>
          <w:tab w:leader="none" w:pos="14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right="40" w:firstLine="6"/>
        <w:spacing w:after="0" w:line="294" w:lineRule="auto"/>
        <w:tabs>
          <w:tab w:leader="none" w:pos="14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right="160" w:firstLine="6"/>
        <w:spacing w:after="0" w:line="294" w:lineRule="auto"/>
        <w:tabs>
          <w:tab w:leader="none" w:pos="14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ind w:right="440" w:firstLine="6"/>
        <w:spacing w:after="0" w:line="294" w:lineRule="auto"/>
        <w:tabs>
          <w:tab w:leader="none" w:pos="14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right="60" w:firstLine="6"/>
        <w:spacing w:after="0" w:line="294" w:lineRule="auto"/>
        <w:tabs>
          <w:tab w:leader="none" w:pos="1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4"/>
          <w:szCs w:val="14"/>
          <w:color w:val="auto"/>
        </w:rPr>
      </w:pPr>
    </w:p>
    <w:p>
      <w:pPr>
        <w:ind w:right="40" w:firstLine="6"/>
        <w:spacing w:after="0" w:line="294" w:lineRule="auto"/>
        <w:tabs>
          <w:tab w:leader="none" w:pos="14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right="100" w:firstLine="6"/>
        <w:spacing w:after="0" w:line="294" w:lineRule="auto"/>
        <w:tabs>
          <w:tab w:leader="none" w:pos="1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ind w:right="120" w:firstLine="6"/>
        <w:spacing w:after="0" w:line="294" w:lineRule="auto"/>
        <w:tabs>
          <w:tab w:leader="none" w:pos="14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right="180" w:firstLine="6"/>
        <w:spacing w:after="0" w:line="294" w:lineRule="auto"/>
        <w:tabs>
          <w:tab w:leader="none" w:pos="14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46736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673600"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Ronald F. Clarke</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10, 2019</w:t>
      </w:r>
    </w:p>
    <w:p>
      <w:pPr>
        <w:sectPr>
          <w:pgSz w:w="11900" w:h="16838" w:orient="portrait"/>
          <w:cols w:equalWidth="0" w:num="1">
            <w:col w:w="11460"/>
          </w:cols>
          <w:pgMar w:left="220" w:top="491" w:right="2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R. Dey, certify that:</w:t>
      </w:r>
    </w:p>
    <w:p>
      <w:pPr>
        <w:spacing w:after="0" w:line="98" w:lineRule="exact"/>
        <w:rPr>
          <w:sz w:val="20"/>
          <w:szCs w:val="20"/>
          <w:color w:val="auto"/>
        </w:rPr>
      </w:pPr>
    </w:p>
    <w:p>
      <w:pPr>
        <w:ind w:left="140" w:hanging="134"/>
        <w:spacing w:after="0"/>
        <w:tabs>
          <w:tab w:leader="none" w:pos="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FleetCor Technologies, Inc.;</w:t>
      </w:r>
    </w:p>
    <w:p>
      <w:pPr>
        <w:spacing w:after="0" w:line="183" w:lineRule="exact"/>
        <w:rPr>
          <w:rFonts w:ascii="Times New Roman" w:cs="Times New Roman" w:eastAsia="Times New Roman" w:hAnsi="Times New Roman"/>
          <w:sz w:val="14"/>
          <w:szCs w:val="14"/>
          <w:color w:val="auto"/>
        </w:rPr>
      </w:pPr>
    </w:p>
    <w:p>
      <w:pPr>
        <w:ind w:right="260" w:firstLine="6"/>
        <w:spacing w:after="0" w:line="294" w:lineRule="auto"/>
        <w:tabs>
          <w:tab w:leader="none" w:pos="14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right="40" w:firstLine="6"/>
        <w:spacing w:after="0" w:line="294" w:lineRule="auto"/>
        <w:tabs>
          <w:tab w:leader="none" w:pos="14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right="160" w:firstLine="6"/>
        <w:spacing w:after="0" w:line="294" w:lineRule="auto"/>
        <w:tabs>
          <w:tab w:leader="none" w:pos="14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ind w:right="440" w:firstLine="6"/>
        <w:spacing w:after="0" w:line="294" w:lineRule="auto"/>
        <w:tabs>
          <w:tab w:leader="none" w:pos="14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right="60" w:firstLine="6"/>
        <w:spacing w:after="0" w:line="294" w:lineRule="auto"/>
        <w:tabs>
          <w:tab w:leader="none" w:pos="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4"/>
          <w:szCs w:val="14"/>
          <w:color w:val="auto"/>
        </w:rPr>
      </w:pPr>
    </w:p>
    <w:p>
      <w:pPr>
        <w:ind w:right="40" w:firstLine="6"/>
        <w:spacing w:after="0" w:line="294" w:lineRule="auto"/>
        <w:tabs>
          <w:tab w:leader="none" w:pos="14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right="100" w:firstLine="6"/>
        <w:spacing w:after="0" w:line="294" w:lineRule="auto"/>
        <w:tabs>
          <w:tab w:leader="none" w:pos="1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ind w:right="120" w:firstLine="6"/>
        <w:spacing w:after="0" w:line="294" w:lineRule="auto"/>
        <w:tabs>
          <w:tab w:leader="none" w:pos="14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right="180" w:firstLine="6"/>
        <w:spacing w:after="0" w:line="294" w:lineRule="auto"/>
        <w:tabs>
          <w:tab w:leader="none" w:pos="14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160" w:hanging="154"/>
        <w:spacing w:after="0"/>
        <w:tabs>
          <w:tab w:leader="none" w:pos="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46736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673600"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Eric R. Dey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10, 2019</w:t>
      </w:r>
    </w:p>
    <w:p>
      <w:pPr>
        <w:sectPr>
          <w:pgSz w:w="11900" w:h="16838" w:orient="portrait"/>
          <w:cols w:equalWidth="0" w:num="1">
            <w:col w:w="11460"/>
          </w:cols>
          <w:pgMar w:left="220" w:top="664" w:right="2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In connection with the Quarterly Report of FleetCor Technologies, Inc., a Delaware corporation (the “Company”), on Form 10-Q for the period ended March 31, 2019, as filed with the Securities and Exchange Commission (the “Report”), Ronald F. Clarke, Chief Executive Officer of the Company, does hereby certify, pursuant to § 906 of the Sarbanes-Oxley Act of 2002 (18 U.S.C. § 1350), that to his knowledge:</w:t>
      </w:r>
    </w:p>
    <w:p>
      <w:pPr>
        <w:spacing w:after="0" w:line="50" w:lineRule="exact"/>
        <w:rPr>
          <w:sz w:val="20"/>
          <w:szCs w:val="20"/>
          <w:color w:val="auto"/>
        </w:rPr>
      </w:pPr>
    </w:p>
    <w:p>
      <w:pPr>
        <w:ind w:left="200" w:hanging="194"/>
        <w:spacing w:after="0"/>
        <w:tabs>
          <w:tab w:leader="none" w:pos="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3"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46736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73600"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Ronald F. Clarke</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10, 2019</w:t>
      </w:r>
    </w:p>
    <w:p>
      <w:pPr>
        <w:spacing w:after="0" w:line="184"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60"/>
          </w:cols>
          <w:pgMar w:left="220" w:top="491" w:right="2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70"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In connection with the Quarterly Report of FleetCor Technologies, Inc., a Delaware corporation (the “Company”), on Form 10-Q for the period ended March 31, 2019, as filed with the Securities and Exchange Commission (the “Report”), Eric R. Dey, Chief Financial Officer of the Company, does hereby certify, pursuant to § 906 of the Sarbanes-Oxley Act of 2002 (18 U.S.C. § 1350), that to his knowledge:</w:t>
      </w:r>
    </w:p>
    <w:p>
      <w:pPr>
        <w:spacing w:after="0" w:line="50" w:lineRule="exact"/>
        <w:rPr>
          <w:sz w:val="20"/>
          <w:szCs w:val="20"/>
          <w:color w:val="auto"/>
        </w:rPr>
      </w:pPr>
    </w:p>
    <w:p>
      <w:pPr>
        <w:ind w:left="200" w:hanging="194"/>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3"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46736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73600"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Eric R. Dey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10, 2019</w:t>
      </w:r>
    </w:p>
    <w:p>
      <w:pPr>
        <w:spacing w:after="0" w:line="184"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60"/>
      </w:cols>
      <w:pgMar w:left="220" w:top="49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bullet"/>
      <w:start w:val="1"/>
    </w:lvl>
  </w:abstractNum>
  <w:abstractNum w:abstractNumId="3">
    <w:nsid w:val="6763845E"/>
    <w:multiLevelType w:val="hybridMultilevel"/>
    <w:lvl w:ilvl="0">
      <w:lvlJc w:val="left"/>
      <w:lvlText w:val="1"/>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2"/>
      <w:numFmt w:val="bullet"/>
      <w:start w:val="1"/>
    </w:lvl>
  </w:abstractNum>
  <w:abstractNum w:abstractNumId="6">
    <w:nsid w:val="79838CB2"/>
    <w:multiLevelType w:val="hybridMultilevel"/>
    <w:lvl w:ilvl="0">
      <w:lvlJc w:val="left"/>
      <w:lvlText w:val="1"/>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7"/>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bullet"/>
      <w:start w:val="1"/>
    </w:lvl>
  </w:abstractNum>
  <w:abstractNum w:abstractNumId="12">
    <w:nsid w:val="2CA88611"/>
    <w:multiLevelType w:val="hybridMultilevel"/>
    <w:lvl w:ilvl="0">
      <w:lvlJc w:val="left"/>
      <w:lvlText w:val="2"/>
      <w:numFmt w:val="bullet"/>
      <w:start w:val="1"/>
    </w:lvl>
  </w:abstractNum>
  <w:abstractNum w:abstractNumId="13">
    <w:nsid w:val="836C40E"/>
    <w:multiLevelType w:val="hybridMultilevel"/>
    <w:lvl w:ilvl="0">
      <w:lvlJc w:val="left"/>
      <w:lvlText w:val="4"/>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2"/>
      <w:numFmt w:val="bullet"/>
      <w:start w:val="1"/>
    </w:lvl>
  </w:abstractNum>
  <w:abstractNum w:abstractNumId="21">
    <w:nsid w:val="22221A70"/>
    <w:multiLevelType w:val="hybridMultilevel"/>
    <w:lvl w:ilvl="0">
      <w:lvlJc w:val="left"/>
      <w:lvlText w:val="1"/>
      <w:numFmt w:val="bullet"/>
      <w:start w:val="1"/>
    </w:lvl>
  </w:abstractNum>
  <w:abstractNum w:abstractNumId="22">
    <w:nsid w:val="4516DDE9"/>
    <w:multiLevelType w:val="hybridMultilevel"/>
    <w:lvl w:ilvl="0">
      <w:lvlJc w:val="left"/>
      <w:lvlText w:val="%1"/>
      <w:numFmt w:val="decimal"/>
      <w:start w:val="101"/>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upp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upperLetter"/>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5"/>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24" Type="http://schemas.openxmlformats.org/officeDocument/2006/relationships/hyperlink" Target="http://www.sec.gov/Archives/edgar/data/1175454/000119312516510408/d167782dex21.htm" TargetMode="External"/><Relationship Id="rId25" Type="http://schemas.openxmlformats.org/officeDocument/2006/relationships/hyperlink" Target="http://www.sec.gov/Archives/edgar/data/1175454/000119312511078175/dex31.htm" TargetMode="External"/><Relationship Id="rId26" Type="http://schemas.openxmlformats.org/officeDocument/2006/relationships/hyperlink" Target="http://www.sec.gov/Archives/edgar/data/1175454/000129993318000489/exhibit1.htm" TargetMode="External"/><Relationship Id="rId27" Type="http://schemas.openxmlformats.org/officeDocument/2006/relationships/hyperlink" Target="http://www.sec.gov/Archives/edgar/data/1175454/000129993318000095/exhibit1.htm" TargetMode="External"/><Relationship Id="rId28" Type="http://schemas.openxmlformats.org/officeDocument/2006/relationships/hyperlink" Target="http://www.sec.gov/Archives/edgar/data/1175454/00011931251014994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2019-12-28T12:03:36Z</dcterms:created>
  <dcterms:modified xsi:type="dcterms:W3CDTF">2019-12-28T12:03:36Z</dcterms:modified>
</cp:coreProperties>
</file>