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Corpay,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_______________________________________________________</w:t>
      </w:r>
    </w:p>
    <w:tbl>
      <w:tblPr>
        <w:tblW w:w="6772" w:type="dxa"/>
        <w:jc w:val="center"/>
        <w:tblInd w:w="0" w:type="dxa"/>
        <w:tblLayout w:type="fixed"/>
        <w:tblCellMar>
          <w:top w:w="28" w:type="dxa"/>
          <w:left w:w="28" w:type="dxa"/>
          <w:bottom w:w="28" w:type="dxa"/>
          <w:right w:w="28" w:type="dxa"/>
        </w:tblCellMar>
      </w:tblPr>
      <w:tblGrid>
        <w:gridCol w:w="1220"/>
        <w:gridCol w:w="1073"/>
        <w:gridCol w:w="1082"/>
        <w:gridCol w:w="109"/>
        <w:gridCol w:w="109"/>
        <w:gridCol w:w="109"/>
        <w:gridCol w:w="353"/>
        <w:gridCol w:w="353"/>
        <w:gridCol w:w="358"/>
        <w:gridCol w:w="109"/>
        <w:gridCol w:w="109"/>
        <w:gridCol w:w="109"/>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72-1074903</w:t>
            </w:r>
          </w:p>
        </w:tc>
      </w:tr>
      <w:tr>
        <w:trPr/>
        <w:tc>
          <w:tcPr>
            <w:tcW w:w="3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3280 Peachtree Road, Suite 2400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449-0479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283" w:type="dxa"/>
        <w:jc w:val="left"/>
        <w:tblInd w:w="0" w:type="dxa"/>
        <w:tblLayout w:type="fixed"/>
        <w:tblCellMar>
          <w:top w:w="28" w:type="dxa"/>
          <w:left w:w="28" w:type="dxa"/>
          <w:bottom w:w="28" w:type="dxa"/>
          <w:right w:w="28" w:type="dxa"/>
        </w:tblCellMar>
      </w:tblPr>
      <w:tblGrid>
        <w:gridCol w:w="570"/>
        <w:gridCol w:w="499"/>
        <w:gridCol w:w="505"/>
        <w:gridCol w:w="334"/>
        <w:gridCol w:w="334"/>
        <w:gridCol w:w="336"/>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0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w:t>
              <w:br/>
              <w:t>Symbols(s)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CPAY</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Corpay, Inc. (the "Company") issued a press release announcing its financial results for the three and six months ended June 30, 2026. A copy of the press release is attached as Exhibit 99.1, which is incorporated by reference in its entirety.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item, including Exhibit 99.1, is being furnished, not filed. Accordingly, the information in this item will not be incorporated by reference into any registration statement filed by Corpay, Inc. under the Securities Act of 1933, as amended, unless specifically identified as being incorporated into it by reference.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Earnings Release Supplement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made available on its website in the investor relations section an earnings release supplement.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891" w:type="dxa"/>
        <w:jc w:val="left"/>
        <w:tblInd w:w="0" w:type="dxa"/>
        <w:tblLayout w:type="fixed"/>
        <w:tblCellMar>
          <w:top w:w="28" w:type="dxa"/>
          <w:left w:w="28" w:type="dxa"/>
          <w:bottom w:w="28" w:type="dxa"/>
          <w:right w:w="28" w:type="dxa"/>
        </w:tblCellMar>
      </w:tblPr>
      <w:tblGrid>
        <w:gridCol w:w="174"/>
        <w:gridCol w:w="153"/>
        <w:gridCol w:w="154"/>
        <w:gridCol w:w="2165"/>
        <w:gridCol w:w="2165"/>
        <w:gridCol w:w="308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q2_2026.htm">
              <w:r>
                <w:rPr>
                  <w:rStyle w:val="InternetLink"/>
                  <w:rFonts w:ascii="Times New Roman;serif" w:hAnsi="Times New Roman;serif"/>
                  <w:b w:val="false"/>
                  <w:color w:val="0000FF"/>
                  <w:sz w:val="20"/>
                  <w:u w:val="single"/>
                </w:rPr>
                <w:t>99.1</w:t>
              </w:r>
            </w:hyperlink>
          </w:p>
        </w:tc>
        <w:tc>
          <w:tcPr>
            <w:tcW w:w="741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Corpay, Inc. press release dated August 5, 2026, regarding second quarter financial results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41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5598"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109"/>
        <w:gridCol w:w="109"/>
        <w:gridCol w:w="109"/>
        <w:gridCol w:w="109"/>
        <w:gridCol w:w="109"/>
        <w:gridCol w:w="109"/>
        <w:gridCol w:w="197"/>
        <w:gridCol w:w="197"/>
        <w:gridCol w:w="197"/>
        <w:gridCol w:w="197"/>
        <w:gridCol w:w="197"/>
        <w:gridCol w:w="197"/>
        <w:gridCol w:w="605"/>
        <w:gridCol w:w="605"/>
        <w:gridCol w:w="86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Corpay,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   /s/ Peter Walker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Peter Walker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0" w:after="0"/>
        <w:jc w:val="center"/>
        <w:rPr/>
      </w:pPr>
      <w:r>
        <w:rPr>
          <w:rFonts w:ascii="Times New Roman;serif" w:hAnsi="Times New Roman;serif"/>
          <w:b/>
          <w:color w:val="000000"/>
          <w:sz w:val="22"/>
        </w:rPr>
        <w:t>Corpay</w:t>
      </w:r>
      <w:r>
        <w:rPr>
          <w:color w:val="000000"/>
        </w:rPr>
        <w:t xml:space="preserve"> </w:t>
      </w:r>
      <w:r>
        <w:rPr>
          <w:rFonts w:ascii="Times New Roman;serif" w:hAnsi="Times New Roman;serif"/>
          <w:b/>
          <w:color w:val="000000"/>
          <w:sz w:val="22"/>
        </w:rPr>
        <w:t>Reports Second Quarter Financial Results</w:t>
      </w:r>
    </w:p>
    <w:p>
      <w:pPr>
        <w:pStyle w:val="TextBody"/>
        <w:bidi w:val="0"/>
        <w:spacing w:lineRule="auto" w:line="268" w:before="0" w:after="0"/>
        <w:jc w:val="center"/>
        <w:rPr/>
      </w:pPr>
      <w:r>
        <w:rPr>
          <w:rFonts w:ascii="Times New Roman;serif" w:hAnsi="Times New Roman;serif"/>
          <w:b w:val="false"/>
          <w:i/>
          <w:color w:val="000000"/>
          <w:sz w:val="22"/>
        </w:rPr>
        <w:t>21% revenue growth, 10% organic revenue growth, and 36% adjusted EPS growth</w:t>
      </w:r>
      <w:r>
        <w:rPr>
          <w:rFonts w:ascii="Times New Roman;serif" w:hAnsi="Times New Roman;serif"/>
          <w:b w:val="false"/>
          <w:i/>
          <w:color w:val="000000"/>
          <w:sz w:val="14"/>
        </w:rPr>
        <w:t>1</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Atlanta, Ga., August 5, 2026 — Corpay, Inc. (NYSE: CPAY), the corporate payments and expense management company, today reported financial results for its second quarter ending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second quarter results were excellent and exceeded our expectations, with revenue growth of 21% and adjusted net income per share growth of 36%," said Ron Clarke, chairman and chief executive officer, Corpay, Inc. "Organic revenue grew double digits for the fifth consecutive quarter, driven by our further rotation into a corporate payments and spend management company," concluded Clarke.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2"/>
          <w:u w:val="single"/>
        </w:rPr>
        <w:t>Financial Results for Second Quarter of 2026</w:t>
      </w:r>
      <w:r>
        <w:rPr>
          <w:rFonts w:ascii="Times New Roman;serif" w:hAnsi="Times New Roman;serif"/>
          <w:b/>
          <w:color w:val="000000"/>
          <w:sz w:val="22"/>
        </w:rPr>
        <w:t xml:space="preserve">: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GAAP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 xml:space="preserve">Revenues increased 21% to $1,338.8 million in the second quarter of 2026, compared with $1,102.0 million in the second quarter of </w:t>
      </w:r>
      <w:r>
        <w:rPr>
          <w:rFonts w:ascii="Times New Roman;serif" w:hAnsi="Times New Roman;serif"/>
          <w:b w:val="false"/>
          <w:color w:val="000000"/>
          <w:sz w:val="22"/>
          <w:shd w:fill="FFFFFF" w:val="clear"/>
        </w:rPr>
        <w:t xml:space="preserve">2025.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Net income</w:t>
      </w:r>
      <w:r>
        <w:rPr>
          <w:rFonts w:ascii="Times New Roman;serif" w:hAnsi="Times New Roman;serif"/>
          <w:b w:val="false"/>
          <w:color w:val="000000"/>
          <w:sz w:val="14"/>
        </w:rPr>
        <w:t xml:space="preserve">2 </w:t>
      </w:r>
      <w:r>
        <w:rPr>
          <w:rFonts w:ascii="Times New Roman;serif" w:hAnsi="Times New Roman;serif"/>
          <w:b w:val="false"/>
          <w:color w:val="000000"/>
          <w:sz w:val="22"/>
        </w:rPr>
        <w:t>decreased</w:t>
      </w:r>
      <w:r>
        <w:rPr>
          <w:color w:val="000000"/>
        </w:rPr>
        <w:t xml:space="preserve"> </w:t>
      </w:r>
      <w:r>
        <w:rPr>
          <w:rFonts w:ascii="Times New Roman;serif" w:hAnsi="Times New Roman;serif"/>
          <w:b w:val="false"/>
          <w:color w:val="000000"/>
          <w:sz w:val="22"/>
        </w:rPr>
        <w:t xml:space="preserve">13% to $248.3 million in the second quarter of 2026, compared with $284.2 million in the second quarter of 2025.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Net income per diluted share</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 xml:space="preserve">decreased 7% to $3.70 in the second quarter of 2026, compared with $3.98 per diluted share in the second quarter of 2025.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 xml:space="preserve">In the second quarter of 2026, the Company recorded a $100 million charge for a preliminary settlement with the FTC's Bureau of Consumer Protection for a previously disclosed matter, that is subject to their customary approval process. We expect this process to conclude later this year. </w:t>
      </w:r>
    </w:p>
    <w:p>
      <w:pPr>
        <w:pStyle w:val="TextBody"/>
        <w:bidi w:val="0"/>
        <w:spacing w:before="0" w:after="0"/>
        <w:jc w:val="both"/>
        <w:rPr/>
      </w:pPr>
      <w:r>
        <w:rPr/>
      </w:r>
    </w:p>
    <w:p>
      <w:pPr>
        <w:pStyle w:val="TextBody"/>
        <w:bidi w:val="0"/>
        <w:spacing w:lineRule="auto" w:line="288" w:before="0" w:after="60"/>
        <w:jc w:val="both"/>
        <w:rPr/>
      </w:pPr>
      <w:r>
        <w:rPr>
          <w:rFonts w:ascii="Times New Roman;serif" w:hAnsi="Times New Roman;serif"/>
          <w:b w:val="false"/>
          <w:color w:val="000000"/>
          <w:sz w:val="22"/>
        </w:rPr>
        <w:t>Non-GAAP Results</w:t>
      </w:r>
      <w:r>
        <w:rPr>
          <w:rFonts w:ascii="Times New Roman;serif" w:hAnsi="Times New Roman;serif"/>
          <w:b w:val="false"/>
          <w:color w:val="000000"/>
          <w:sz w:val="14"/>
        </w:rPr>
        <w:t>1</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Organic revenue growth</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10% in the second quarter of 2026.</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2"/>
          <w:shd w:fill="FFFFFF" w:val="clear"/>
        </w:rPr>
        <w:t>Adjusted EBITDA</w:t>
      </w:r>
      <w:r>
        <w:rPr>
          <w:rFonts w:ascii="Times New Roman;serif" w:hAnsi="Times New Roman;serif"/>
          <w:b w:val="false"/>
          <w:color w:val="000000"/>
          <w:sz w:val="14"/>
          <w:shd w:fill="FFFFFF" w:val="clear"/>
        </w:rPr>
        <w:t>1</w:t>
      </w:r>
      <w:r>
        <w:rPr>
          <w:color w:val="000000"/>
          <w:shd w:fill="FFFFFF" w:val="clear"/>
        </w:rPr>
        <w:t xml:space="preserve"> </w:t>
      </w:r>
      <w:r>
        <w:rPr>
          <w:rFonts w:ascii="Times New Roman;serif" w:hAnsi="Times New Roman;serif"/>
          <w:b w:val="false"/>
          <w:color w:val="000000"/>
          <w:sz w:val="22"/>
          <w:shd w:fill="FFFFFF" w:val="clear"/>
        </w:rPr>
        <w:t xml:space="preserve">increased 24% to $767.2 million in the second quarter of 2026, compared to </w:t>
      </w:r>
      <w:r>
        <w:rPr>
          <w:rFonts w:ascii="Times New Roman;serif" w:hAnsi="Times New Roman;serif"/>
          <w:b w:val="false"/>
          <w:color w:val="000000"/>
          <w:sz w:val="22"/>
        </w:rPr>
        <w:t>$620.6 million</w:t>
      </w:r>
      <w:r>
        <w:rPr>
          <w:color w:val="000000"/>
          <w:shd w:fill="FFFFFF" w:val="clear"/>
        </w:rPr>
        <w:t xml:space="preserve"> </w:t>
      </w:r>
      <w:r>
        <w:rPr>
          <w:rFonts w:ascii="Times New Roman;serif" w:hAnsi="Times New Roman;serif"/>
          <w:b w:val="false"/>
          <w:color w:val="000000"/>
          <w:sz w:val="22"/>
          <w:shd w:fill="FFFFFF" w:val="clear"/>
        </w:rPr>
        <w:t xml:space="preserve">in the </w:t>
      </w:r>
      <w:r>
        <w:rPr>
          <w:rFonts w:ascii="Times New Roman;serif" w:hAnsi="Times New Roman;serif"/>
          <w:b w:val="false"/>
          <w:color w:val="000000"/>
          <w:sz w:val="22"/>
        </w:rPr>
        <w:t>second</w:t>
      </w:r>
      <w:r>
        <w:rPr>
          <w:color w:val="000000"/>
          <w:shd w:fill="FFFFFF" w:val="clear"/>
        </w:rPr>
        <w:t xml:space="preserve"> </w:t>
      </w:r>
      <w:r>
        <w:rPr>
          <w:rFonts w:ascii="Times New Roman;serif" w:hAnsi="Times New Roman;serif"/>
          <w:b w:val="false"/>
          <w:color w:val="000000"/>
          <w:sz w:val="22"/>
          <w:shd w:fill="FFFFFF" w:val="clear"/>
        </w:rPr>
        <w:t xml:space="preserve">quarter of 2025. </w:t>
      </w:r>
    </w:p>
    <w:p>
      <w:pPr>
        <w:pStyle w:val="TextBody"/>
        <w:bidi w:val="0"/>
        <w:spacing w:lineRule="auto" w:line="288" w:before="0" w:after="60"/>
        <w:ind w:left="0" w:right="0" w:hanging="360"/>
        <w:jc w:val="both"/>
        <w:rPr/>
      </w:pPr>
      <w:r>
        <w:rPr>
          <w:color w:val="000000"/>
          <w:shd w:fill="FFFFFF" w:val="clear"/>
        </w:rPr>
        <w:t>•</w:t>
      </w:r>
      <w:r>
        <w:rPr>
          <w:rFonts w:ascii="Times New Roman;serif" w:hAnsi="Times New Roman;serif"/>
          <w:b w:val="false"/>
          <w:color w:val="000000"/>
          <w:sz w:val="22"/>
        </w:rPr>
        <w:t>Adjusted net income</w:t>
      </w:r>
      <w:r>
        <w:rPr>
          <w:rFonts w:ascii="Times New Roman;serif" w:hAnsi="Times New Roman;serif"/>
          <w:b w:val="false"/>
          <w:color w:val="000000"/>
          <w:sz w:val="14"/>
        </w:rPr>
        <w:t>1,2</w:t>
      </w:r>
      <w:r>
        <w:rPr>
          <w:color w:val="000000"/>
        </w:rPr>
        <w:t xml:space="preserve"> </w:t>
      </w:r>
      <w:r>
        <w:rPr>
          <w:rFonts w:ascii="Times New Roman;serif" w:hAnsi="Times New Roman;serif"/>
          <w:b w:val="false"/>
          <w:color w:val="000000"/>
          <w:sz w:val="22"/>
        </w:rPr>
        <w:t xml:space="preserve">increased 27% to </w:t>
      </w:r>
      <w:r>
        <w:rPr>
          <w:rFonts w:ascii="Times New Roman;serif" w:hAnsi="Times New Roman;serif"/>
          <w:b w:val="false"/>
          <w:color w:val="000000"/>
          <w:sz w:val="22"/>
          <w:shd w:fill="FFFFFF" w:val="clear"/>
        </w:rPr>
        <w:t>$464.4 million</w:t>
      </w:r>
      <w:r>
        <w:rPr>
          <w:color w:val="000000"/>
        </w:rPr>
        <w:t xml:space="preserve"> </w:t>
      </w:r>
      <w:r>
        <w:rPr>
          <w:rFonts w:ascii="Times New Roman;serif" w:hAnsi="Times New Roman;serif"/>
          <w:b w:val="false"/>
          <w:color w:val="000000"/>
          <w:sz w:val="22"/>
        </w:rPr>
        <w:t>in the second quarter of 2026, compared with $366.4 million in the second quarter of 2025.</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2"/>
        </w:rPr>
        <w:t>Adjusted net income per diluted share</w:t>
      </w:r>
      <w:r>
        <w:rPr>
          <w:rFonts w:ascii="Times New Roman;serif" w:hAnsi="Times New Roman;serif"/>
          <w:b w:val="false"/>
          <w:color w:val="000000"/>
          <w:sz w:val="14"/>
        </w:rPr>
        <w:t>1,2</w:t>
      </w:r>
      <w:r>
        <w:rPr>
          <w:color w:val="000000"/>
        </w:rPr>
        <w:t xml:space="preserve"> </w:t>
      </w:r>
      <w:r>
        <w:rPr>
          <w:rFonts w:ascii="Times New Roman;serif" w:hAnsi="Times New Roman;serif"/>
          <w:b w:val="false"/>
          <w:color w:val="000000"/>
          <w:sz w:val="22"/>
        </w:rPr>
        <w:t>increased 36% to $7.00 per diluted share in the second quarter of 2026, compared with $5.13 per diluted share</w:t>
      </w:r>
      <w:r>
        <w:rPr>
          <w:color w:val="000000"/>
        </w:rPr>
        <w:t xml:space="preserve"> </w:t>
      </w:r>
      <w:r>
        <w:rPr>
          <w:rFonts w:ascii="Times New Roman;serif" w:hAnsi="Times New Roman;serif"/>
          <w:b w:val="false"/>
          <w:color w:val="000000"/>
          <w:sz w:val="22"/>
        </w:rPr>
        <w:t xml:space="preserve">in the second quarter of </w:t>
      </w:r>
      <w:r>
        <w:rPr>
          <w:rFonts w:ascii="Times New Roman;serif" w:hAnsi="Times New Roman;serif"/>
          <w:b w:val="false"/>
          <w:color w:val="000000"/>
          <w:sz w:val="22"/>
          <w:shd w:fill="FFFFFF" w:val="clear"/>
        </w:rPr>
        <w:t>2025.</w:t>
      </w:r>
    </w:p>
    <w:p>
      <w:pPr>
        <w:pStyle w:val="TextBody"/>
        <w:bidi w:val="0"/>
        <w:spacing w:lineRule="auto" w:line="26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delivered another quarter of 16% organic revenue growth in our Corporate Payments segment and lodging continued sequential organic revenue improvement," said Peter Walker, chief financial officer, Corpay, Inc. "We strengthened our balance sheet by refinancing our debt facilities, including increasing our revolving credit facility to $3.7 billion, and exited the quarter with 2.55x leverage. We also repurchased 1 million shares for $321 million in the quarter," concluded Walker.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2"/>
          <w:u w:val="single"/>
        </w:rPr>
        <w:t>Fiscal Year 2026 Outlook</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We are raising our full-year outlook to reflect our strong second quarter performance, favorable macro conditions and continued confidence in the underlying strength of our business," said Peter Walker.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For fiscal year 2026, Corpay, Inc.'s financial guidance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is revised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Total revenues between $5.290 billion and $5.330 billion, growing 17% at the midpoint year over year;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 xml:space="preserve">Net income between $1.285 billion and $1.325 billion;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2"/>
        </w:rPr>
        <w:t xml:space="preserve">Net income per diluted share between $19.50 and $19.90;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Adjusted net income between $1.790 billion and $1.830 billion; and </w:t>
      </w:r>
    </w:p>
    <w:p>
      <w:pPr>
        <w:pStyle w:val="TextBody"/>
        <w:bidi w:val="0"/>
        <w:spacing w:lineRule="auto" w:line="276"/>
        <w:ind w:left="0" w:right="0" w:hanging="360"/>
        <w:jc w:val="left"/>
        <w:rPr/>
      </w:pPr>
      <w:r>
        <w:rPr>
          <w:color w:val="000000"/>
        </w:rPr>
        <w:t>•</w:t>
      </w:r>
      <w:r>
        <w:rPr>
          <w:rFonts w:ascii="Times New Roman;serif" w:hAnsi="Times New Roman;serif"/>
          <w:b w:val="false"/>
          <w:color w:val="000000"/>
          <w:sz w:val="22"/>
        </w:rPr>
        <w:t xml:space="preserve">Adjusted net income per diluted share between $27.15 and $27.55, growing 28% at the midpoint year over year.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93340"/>
                <wp:effectExtent l="0" t="0" r="0" b="0"/>
                <wp:wrapNone/>
                <wp:docPr id="3" name="Frame3"/>
                <a:graphic xmlns:a="http://schemas.openxmlformats.org/drawingml/2006/main">
                  <a:graphicData uri="http://schemas.microsoft.com/office/word/2010/wordprocessingShape">
                    <wps:wsp>
                      <wps:cNvSpPr txBox="1"/>
                      <wps:spPr>
                        <a:xfrm>
                          <a:off x="0" y="0"/>
                          <a:ext cx="6480175" cy="2593340"/>
                        </a:xfrm>
                        <a:prstGeom prst="rect"/>
                        <a:solidFill>
                          <a:srgbClr val="FFFFFF"/>
                        </a:solidFill>
                      </wps:spPr>
                      <wps:txbx>
                        <w:txbxContent>
                          <w:p>
                            <w:pPr>
                              <w:pStyle w:val="TextBody"/>
                              <w:bidi w:val="0"/>
                              <w:spacing w:before="0" w:after="200"/>
                              <w:jc w:val="left"/>
                              <w:rPr/>
                            </w:pPr>
                            <w:r>
                              <w:rPr/>
                            </w:r>
                            <w:r>
                              <w:br w:type="page"/>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4.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Corpay’s guidance assumptions are as follows: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Weighted average U.S. fuel prices equal to $4.02 per gallon for the rest of the year, based on the June 2026 EIA short-term energy outlook;</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Fuel price spreads for the rest of the year approximately flat with the 2025 average;</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Foreign exchange rates for the rest of the year, based on Bloomberg consensus forecast as of July 27, 2026;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Interest expense between $435 million and $465 million for the full year, based on the SOFR forward curve as of July 30, 2026;</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Free cashflow is used to pay down debt;</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Proceeds from the sale of the maintenance business is used to repurchase shares;</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Approximately 66 million fully diluted shares outstanding;</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 xml:space="preserve">An adjusted effective tax rate of approximately 25% to 27%; and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No impact related to material acquisitions or divestitures not disclosed.</w:t>
      </w: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Third Quarter of 2026 Outlook:</w:t>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Revenue for the third quarter of 2026 is expected to be approximately $1.355 billion at the midpoint, growing 16% year over year, and adjusted net income per diluted share is expected to be $7.15 at the midpoint, growing 26% year over year,” said Peter Walker.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 always, guidance may change in the future based on new information and therefore may not reflect actual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Conference Call:</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The Company will host a conference call to discuss second quarter </w:t>
      </w:r>
      <w:r>
        <w:rPr>
          <w:rFonts w:ascii="Times New Roman;serif" w:hAnsi="Times New Roman;serif"/>
          <w:b w:val="false"/>
          <w:color w:val="000000"/>
          <w:sz w:val="24"/>
        </w:rPr>
        <w:t>2026</w:t>
      </w:r>
      <w:r>
        <w:rPr>
          <w:color w:val="000000"/>
        </w:rPr>
        <w:t xml:space="preserve"> </w:t>
      </w:r>
      <w:r>
        <w:rPr>
          <w:rFonts w:ascii="Times New Roman;serif" w:hAnsi="Times New Roman;serif"/>
          <w:b w:val="false"/>
          <w:color w:val="000000"/>
          <w:sz w:val="22"/>
        </w:rPr>
        <w:t>financial results today at 5:30 pm ET. Hosting the call will be Ron Clarke, chief executive officer, Peter Walker, chief financial officer and Jim Eglseder, investor relations. The conference call will be webcast live from the Company's investor relations website at http://investor.corpay.com. The conference call can also be accessed live over the phone by dialing 1-(800)-347-6865 or 1-(203)-518-9757; the Conference ID is CORPAY. A replay will be available one hour after the call and can be accessed by dialing (844)-512-2921 or (412)-317-6671 for international callers; the replay conference ID is 11162155. The replay will be available through Wednesday, August 19, 2026. Prior to the conference call, the Company will post supplemental financial information that will be discussed during the call and live webcast.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federal securities laws. Statements that are not historical facts, including statements about Corpay’s beliefs, assumptions, expectations and future performance, are forward-looking statements. Forward-looking statements can be identified by the use of words such as “anticipate,” “intend,” “believe,” “estimate,” “plan,” “seek,” “project,” “expect,” “may,” “will,” “would,” “could” or “should,” the negative of these terms or other comparable terminology and similar expressions.</w:t>
      </w:r>
    </w:p>
    <w:p>
      <w:pPr>
        <w:pStyle w:val="TextBody"/>
        <w:bidi w:val="0"/>
        <w:spacing w:before="0" w:after="0"/>
        <w:jc w:val="both"/>
        <w:rPr/>
      </w:pPr>
      <w:r>
        <w:rPr/>
      </w:r>
    </w:p>
    <w:p>
      <w:pPr>
        <w:pStyle w:val="TextBody"/>
        <w:bidi w:val="0"/>
        <w:spacing w:lineRule="auto" w:line="276"/>
        <w:jc w:val="both"/>
        <w:rPr>
          <w:rFonts w:ascii="Times New Roman;serif" w:hAnsi="Times New Roman;serif"/>
          <w:b w:val="false"/>
          <w:color w:val="000000"/>
          <w:sz w:val="22"/>
        </w:rPr>
      </w:pPr>
      <w:r>
        <w:rPr>
          <w:rFonts w:ascii="Times New Roman;serif" w:hAnsi="Times New Roman;serif"/>
          <w:b w:val="false"/>
          <w:color w:val="000000"/>
          <w:sz w:val="22"/>
        </w:rPr>
        <w:t xml:space="preserve">These forward-looking statements are not a guarantee of performance, and you should not place undue reliance on such statements. We have based these forward-looking statements on preliminary information, internal estimates and management’s assumptions, expectations and plans about future conditions, events and results. Forward-looking statements are subject to many uncertainties and other variable circumstances, such as risks related to our ability to successfully execute our strategic plan, manage our growth and achieve our performance targets; the impact of macroeconomic conditions, including any recession or economic downturn that has occurred or may occur in the future, and whether expected trends, including oil prices, retail fuel prices, fuel price spreads, fuel transaction patterns, electric vehicle adoption, retail lodging prices, foreign exchange rates and interest rates trends develop as anticipated, and whether we are able to develop and implement successful strategies in light of these trends; our ability to attract new and retain existing partners, fuel merchants, and lodging providers, their promotion and support of our products, and their financial performance; our ability to successfully manage the derivative financial instruments that we use in our Cross-Border solutions to limit our exposure to various market risks, including changes in foreign exchange rates; the failure of management assumptions and estimates, as well as differences in, and changes to, economic, market, interest rate, interchange fees, foreign exchange rates, and credit conditions, including changes in borrowers’ credit risks and payment behaviors; the risks of mergers, acquisitions and divestitures, such as our recent acquisition of a partnership interest in AvidXchange and the acquisition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Alpha, including, without limitation, the time and costs of implementing such transactions, integrating operations as part of these transactions and possible failures to achieve expected gains, revenue growth and/or expense savings from such transactions; the risk of higher borrowing costs and adverse financial market conditions impacting our funding and liquidity, and any reduction in our credit ratings; our ability to successfully manage our credit risks and the sufficiency of our allowance for expected credit losses; our ability to securitize our trade receivables; the occurrence of fraudulent activity, data breaches or failures of information security controls, or other technology or cybersecurity-related incidents that may compromise our systems or customers’ information; any disruptions in the operations of our computer systems and data centers; the operational and political risks and compliance and regulatory risks and costs associated with international operations; the impact of international conflicts, including between Russia and Ukraine, as well as within the Middle East, on the global economy or our business and operations; the impact of changes in global tariff and trade policies and potential retaliatory actions by affected countries; our ability to develop and implement new technology, products, and services; any alleged infringement of intellectual property rights of others and our ability to protect our intellectual property; the regulation, supervision, and examination of our business by foreign and domestic governmental authorities, as well as litigation and regulatory actions, including the lawsuit filed by the Federal Trade Commission (FTC); the impact of regulations and related requirements relating to privacy, information security and data protection; derivative and hedging activities and the related regulations and regulatory environment; use of third-party vendors and other third-party business relationships; and failure to comply with anti-money laundering (AML) and anti-terrorism financing laws; changes in our senior management team and our ability to attract, motivate and retain qualified personnel consistent with our strategic plan; tax legislation initiatives or challenges to our tax positions and/or interpretations, and state sales tax rules and regulations, as well as the other risks and uncertainties identified under the caption "Risk Factors" in the 2025 Form 10-K filed with the Securities and Exchange Commission (“SEC”) on February 27, 2026 and subsequent filings with the SEC made by us. These factors could cause our actual results and experience to differ materially from any forward-looking statement made herein. The forward-looking statements included in this press release are made only as of the date hereof and we do not undertake, and specifically disclaim, any obligation to update any such statements as a result of new information, future events or developments, except as required by law. You may access Corpay’s SEC filings for free by visiting the SEC web site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jc w:val="both"/>
        <w:rPr>
          <w:rFonts w:ascii="Times New Roman;serif" w:hAnsi="Times New Roman;serif"/>
          <w:b/>
          <w:color w:val="000000"/>
          <w:sz w:val="22"/>
        </w:rPr>
      </w:pPr>
      <w:r>
        <w:rPr>
          <w:rFonts w:ascii="Times New Roman;serif" w:hAnsi="Times New Roman;serif"/>
          <w:b/>
          <w:color w:val="000000"/>
          <w:sz w:val="22"/>
        </w:rPr>
        <w:t>About Non-GAAP Financial Measures:</w:t>
      </w:r>
    </w:p>
    <w:p>
      <w:pPr>
        <w:pStyle w:val="TextBody"/>
        <w:bidi w:val="0"/>
        <w:spacing w:lineRule="auto" w:line="276" w:before="180" w:after="283"/>
        <w:jc w:val="both"/>
        <w:rPr>
          <w:rFonts w:ascii="Times New Roman;serif" w:hAnsi="Times New Roman;serif"/>
          <w:b w:val="false"/>
          <w:color w:val="000000"/>
          <w:sz w:val="22"/>
        </w:rPr>
      </w:pPr>
      <w:r>
        <w:rPr>
          <w:rFonts w:ascii="Times New Roman;serif" w:hAnsi="Times New Roman;serif"/>
          <w:b w:val="false"/>
          <w:color w:val="000000"/>
          <w:sz w:val="22"/>
        </w:rPr>
        <w:t>This press release includes non-GAAP financial measures, which are used by the Company as supplemental measures to evaluate its overall operating performance. The Company’s definitions of the non-GAAP financial measures used herein may differ from similarly titled measures used by others, including within our industry. By providing these non-GAAP financial measures, together with reconciliations to the most directly comparable GAAP financial measures, we believe we are enhancing investors’ understanding of our business and our results of operations, as well as assisting investors in evaluating how well we are executing strategic initiatives. See the appendix for additional information regarding these non-GAAP financial measures and a reconciliation to the most directly comparable GAAP measure.</w:t>
      </w:r>
    </w:p>
    <w:p>
      <w:pPr>
        <w:pStyle w:val="TextBody"/>
        <w:bidi w:val="0"/>
        <w:spacing w:lineRule="auto" w:line="26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refers to free cash flow, cash net income and adjusted net income attributable to Corpay interchangeably, a non-GAAP financial measure. Adjusted net income attributable to Corpay is calculated as net income attributable to Corpay, adjusted to eliminate (a) non-cash stock-based compensation expense related to stock-based compensation awards, (b) amortization of deferred financing costs, discounts, intangible assets, amortization of the premium recognized on the purchase of receivables and amortization attributable to the Company's noncontrolling interest, (c) integration and deal related costs, and (d) other non-recurring items, including unusual credit losses, certain discrete tax items, the impact of business dispositions, impairment losses, asset write-offs, restructuring costs, loss on extinguishment of debt, taxes associated with stock-based compensation programs, losses and gains on foreign currency transactions, redemption value adjustment for a non-controlling interest and legal settlements and related legal fees. We adjust net income for the tax effect of adjustments using our effective income tax rate, exclusive of certain discrete tax items. We calculate adjusted net income attributable to Corpay and adjusted net income per diluted share attributable to Corpay to eliminate the effect of items that we do not consider indicative of our core operating performance. </w:t>
      </w:r>
    </w:p>
    <w:p>
      <w:pPr>
        <w:pStyle w:val="TextBody"/>
        <w:bidi w:val="0"/>
        <w:spacing w:lineRule="auto" w:line="26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U.S. generally accepted accounting principles, or U.S. GAAP. We believe it is useful to exclude non-cash stock-based compensation expense from adjusted net income because non-cash equity grants made at a certain price and point in time do not necessarily reflect how our business is performing at any particular time and stock-based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6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discrete tax items, gains on business disposition, recoveries (e.g. legal settlements, write-off of customer receivable, etc.), gains and losses on investments, taxes related to stock-based compensation programs and impairment losses do not necessarily reflect how our investments and business are performing. We adjust net income for the tax effect of each of these adjustments using the effective tax rate during the period, exclusive of discrete tax items. </w:t>
      </w:r>
    </w:p>
    <w:p>
      <w:pPr>
        <w:pStyle w:val="TextBody"/>
        <w:bidi w:val="0"/>
        <w:spacing w:lineRule="auto" w:line="276" w:before="180" w:after="283"/>
        <w:jc w:val="left"/>
        <w:rPr>
          <w:rFonts w:ascii="Times New Roman;serif" w:hAnsi="Times New Roman;serif"/>
          <w:b w:val="false"/>
          <w:color w:val="000000"/>
          <w:sz w:val="22"/>
        </w:rPr>
      </w:pPr>
      <w:r>
        <w:rPr>
          <w:rFonts w:ascii="Times New Roman;serif" w:hAnsi="Times New Roman;serif"/>
          <w:b w:val="false"/>
          <w:color w:val="000000"/>
          <w:sz w:val="22"/>
        </w:rPr>
        <w:t>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inclusive of changes in operational and capital structure, and non-recurring items that have occurred subsequent to that period. We believe that organic revenue growth on a macro-neutral, one-time item, and consistent acquisition/divestiture/non-recurring item basis is useful to investors for understanding the performance of Corpay.</w:t>
      </w:r>
    </w:p>
    <w:p>
      <w:pPr>
        <w:pStyle w:val="TextBody"/>
        <w:bidi w:val="0"/>
        <w:spacing w:lineRule="auto" w:line="278" w:before="180" w:after="283"/>
        <w:jc w:val="left"/>
        <w:rPr>
          <w:rFonts w:ascii="Times New Roman;serif" w:hAnsi="Times New Roman;serif"/>
          <w:b w:val="false"/>
          <w:color w:val="000000"/>
          <w:sz w:val="22"/>
        </w:rPr>
      </w:pPr>
      <w:r>
        <w:rPr>
          <w:rFonts w:ascii="Times New Roman;serif" w:hAnsi="Times New Roman;serif"/>
          <w:b w:val="false"/>
          <w:color w:val="000000"/>
          <w:sz w:val="22"/>
        </w:rPr>
        <w:t>EBITDA is defined as earnings before interest, income taxes, interest expense, net, other expense (income), depreciation and amortization, loss on extinguishment of debt, goodwill impairment, investment loss/gain and other operating, net. Adjusted EBITDA is defined as EBITDA further adjusted for stock-based compensation expense and other one-time items including certain legal expenses, restructuring costs and integration and deal related costs and other items as listed above for adjusted net income. EBITDA and adjusted EBITDA margin are defined as EBITDA and adjusted EBITDA as a percentage of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uses adjusted net income attributable to Corpay, adjusted net income per diluted share attributable to Corpay, organic revenue growth, EBITDA and adjusted EBITDA: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as measurements of operating performance because they assist us in comparing our operating performance on a consistent basis;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for planning purposes, including the preparation of our internal annual operating budget;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to allocate resources to enhance the financial performance of our business; and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2"/>
        </w:rPr>
        <w:t xml:space="preserve">to evaluate the performance and effectiveness of our operational strategies.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About Corpay</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Corpay (NYSE: CPAY), the Corporate Payments and Expense Management Company, is an S&amp;P 500 company with three primary B2B solution sets. Spend Management, provides corporate and virtual card programs and automates procure-to-pay. Cross-Border, converts foreign currencies and establishes foreign bank accounts. Vehicle Solutions, controls fuel, tolls, parking and related vehicle spend. With Corpay, the more a business controls, the less it spends. To learn more, visit corpay.com.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Investor Relations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Jim Eglseder, 770-417-4697</w:t>
      </w:r>
    </w:p>
    <w:p>
      <w:pPr>
        <w:pStyle w:val="TextBody"/>
        <w:bidi w:val="0"/>
        <w:spacing w:lineRule="auto" w:line="268" w:before="0" w:after="0"/>
        <w:jc w:val="left"/>
        <w:rPr/>
      </w:pPr>
      <w:r>
        <w:rPr>
          <w:rFonts w:ascii="Times New Roman;serif" w:hAnsi="Times New Roman;serif"/>
          <w:b w:val="false"/>
          <w:color w:val="0000FF"/>
          <w:sz w:val="22"/>
        </w:rPr>
        <w:t>Jim.Eglseder@corpay.com</w:t>
      </w:r>
      <w:r>
        <w:rPr>
          <w:color w:val="000000"/>
        </w:rPr>
        <w:t xml:space="preserve"> </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__________________________________________________________________________________</w:t>
      </w:r>
    </w:p>
    <w:p>
      <w:pPr>
        <w:pStyle w:val="TextBody"/>
        <w:bidi w:val="0"/>
        <w:spacing w:lineRule="auto" w:line="276"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Reconciliations of GAAP results to non-GAAP results are provided in Exhibit 1, 5 and 6 attached. Additional supplemental data is provided in Exhibits 2-4. A reconciliation of GAAP guidance to non-GAAP guidance is provided in Exhibit 7.</w:t>
      </w:r>
    </w:p>
    <w:p>
      <w:pPr>
        <w:pStyle w:val="TextBody"/>
        <w:bidi w:val="0"/>
        <w:spacing w:lineRule="auto" w:line="276" w:before="0" w:after="0"/>
        <w:jc w:val="left"/>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 xml:space="preserve">Net income, net income per diluted share, adjusted net income and adjusted net income per diluted share is amount attributable to Corpay.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Corpay,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Income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amounts and percentages)</w:t>
      </w:r>
    </w:p>
    <w:p>
      <w:pPr>
        <w:pStyle w:val="TextBody"/>
        <w:bidi w:val="0"/>
        <w:spacing w:lineRule="auto" w:line="288" w:before="0" w:after="0"/>
        <w:jc w:val="center"/>
        <w:rPr>
          <w:color w:val="000000"/>
        </w:rPr>
      </w:pPr>
      <w:r>
        <w:rPr>
          <w:color w:val="000000"/>
        </w:rPr>
        <w:t> </w:t>
      </w:r>
    </w:p>
    <w:tbl>
      <w:tblPr>
        <w:tblW w:w="11750" w:type="dxa"/>
        <w:jc w:val="center"/>
        <w:tblInd w:w="0" w:type="dxa"/>
        <w:tblLayout w:type="fixed"/>
        <w:tblCellMar>
          <w:top w:w="28" w:type="dxa"/>
          <w:left w:w="28" w:type="dxa"/>
          <w:bottom w:w="28" w:type="dxa"/>
          <w:right w:w="28" w:type="dxa"/>
        </w:tblCellMar>
      </w:tblPr>
      <w:tblGrid>
        <w:gridCol w:w="666"/>
        <w:gridCol w:w="446"/>
        <w:gridCol w:w="449"/>
        <w:gridCol w:w="109"/>
        <w:gridCol w:w="109"/>
        <w:gridCol w:w="109"/>
        <w:gridCol w:w="226"/>
        <w:gridCol w:w="1126"/>
        <w:gridCol w:w="109"/>
        <w:gridCol w:w="109"/>
        <w:gridCol w:w="109"/>
        <w:gridCol w:w="109"/>
        <w:gridCol w:w="226"/>
        <w:gridCol w:w="1126"/>
        <w:gridCol w:w="109"/>
        <w:gridCol w:w="109"/>
        <w:gridCol w:w="109"/>
        <w:gridCol w:w="109"/>
        <w:gridCol w:w="246"/>
        <w:gridCol w:w="246"/>
        <w:gridCol w:w="649"/>
        <w:gridCol w:w="109"/>
        <w:gridCol w:w="109"/>
        <w:gridCol w:w="109"/>
        <w:gridCol w:w="226"/>
        <w:gridCol w:w="1126"/>
        <w:gridCol w:w="109"/>
        <w:gridCol w:w="109"/>
        <w:gridCol w:w="109"/>
        <w:gridCol w:w="109"/>
        <w:gridCol w:w="226"/>
        <w:gridCol w:w="1126"/>
        <w:gridCol w:w="109"/>
        <w:gridCol w:w="109"/>
        <w:gridCol w:w="109"/>
        <w:gridCol w:w="109"/>
        <w:gridCol w:w="263"/>
        <w:gridCol w:w="263"/>
        <w:gridCol w:w="716"/>
      </w:tblGrid>
      <w:tr>
        <w:trPr/>
        <w:tc>
          <w:tcPr>
            <w:tcW w:w="6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Change</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2,599,796 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2,107,697 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disposition,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1,108,439 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311 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Total other expenses,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86,300 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344,720 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393,090 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849,737 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720,601 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605,502 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527,953 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284,168 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527,401 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0"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2026, Basic and Diluted earnings per share amounts are determined under the two-class method</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NM - 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Corpay,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221"/>
        <w:gridCol w:w="1882"/>
        <w:gridCol w:w="1890"/>
        <w:gridCol w:w="109"/>
        <w:gridCol w:w="109"/>
        <w:gridCol w:w="109"/>
        <w:gridCol w:w="226"/>
        <w:gridCol w:w="1246"/>
        <w:gridCol w:w="109"/>
        <w:gridCol w:w="109"/>
        <w:gridCol w:w="109"/>
        <w:gridCol w:w="109"/>
        <w:gridCol w:w="274"/>
        <w:gridCol w:w="1515"/>
        <w:gridCol w:w="188"/>
      </w:tblGrid>
      <w:tr>
        <w:trPr/>
        <w:tc>
          <w:tcPr>
            <w:tcW w:w="222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December 31, 2025</w:t>
            </w:r>
          </w:p>
        </w:tc>
      </w:tr>
      <w:tr>
        <w:trPr/>
        <w:tc>
          <w:tcPr>
            <w:tcW w:w="5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3,163,539 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2,408,097 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7,004,803 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6,583,843 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and other receivables (less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2,656,036 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2,145,679 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Securitized accounts receivable — restricted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1,823,000 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1,002,621 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16,483,992 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13,963,240 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472,310 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Goodwill and 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10,069,667 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10,802,551 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1,198,184 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1,170,034 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28,224,167 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26,408,135 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Liabilities, Redeemable Noncontrolling Interest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8,915,786 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8,118,566 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3,517,924 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2,832,581 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Securitization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1,823,000 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notes payable and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1,522,530 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16,959,099 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14,296,677 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Notes payable and other obligations,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6,098,142 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6,656,157 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614,345 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612,279 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7,363,116 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7,882,781 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4,116,011 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3,970,077 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10,857,309 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10,264,751 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(1,356,551)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(1,392,154)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(10,075,018)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(8,958,942)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Corpay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3,541,884 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3,883,864 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42,813 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3,587,952 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3,926,677 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liabilities, redeemable noncontrolling interest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28,224,167 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26,408,135 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Corpay, Inc. and Subsidiaries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379"/>
        <w:gridCol w:w="2036"/>
        <w:gridCol w:w="2048"/>
        <w:gridCol w:w="109"/>
        <w:gridCol w:w="109"/>
        <w:gridCol w:w="109"/>
        <w:gridCol w:w="226"/>
        <w:gridCol w:w="1246"/>
        <w:gridCol w:w="109"/>
        <w:gridCol w:w="109"/>
        <w:gridCol w:w="109"/>
        <w:gridCol w:w="109"/>
        <w:gridCol w:w="226"/>
        <w:gridCol w:w="1126"/>
        <w:gridCol w:w="155"/>
      </w:tblGrid>
      <w:tr>
        <w:trPr/>
        <w:tc>
          <w:tcPr>
            <w:tcW w:w="237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6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(Unaudited)</w:t>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527,953 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Adjustments to reconcile net income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credit losses on 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legal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deferred financing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 of intangible assets and premium on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Loss on extinguishment of debt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Deferred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disposition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non-cash operating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operating assets and liabilities (net of acquisitions/disposition)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272,970 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1,413,479 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1,066,096 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(154,648)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(97,407)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disposition, net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sale of cost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321,454 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(222,640)</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(90,877)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on securitization facility,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(10,827)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5,350,400 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payments on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(5,989,311)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(98,570)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Borrowings from revolver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4,490,000 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Payments on revolver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(5,357,000)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Borrowings on subsidiary swingline,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(419,666)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78,355 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foreign currency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153,202 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1,201,127 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1,075,013 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decrease in cash classified within current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8,991,940 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4,456,345 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10,168,342 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5,531,358 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for interest,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238,796 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paid for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350,478 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1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261,987 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NON-GAAP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 share amounts; shares in millions)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reconciles net income attributable to Corpay to adjusted net income attributable to Corpay and adjusted net income per diluted share attributable to Corpay.*</w:t>
      </w:r>
    </w:p>
    <w:tbl>
      <w:tblPr>
        <w:tblW w:w="10205" w:type="dxa"/>
        <w:jc w:val="center"/>
        <w:tblInd w:w="0" w:type="dxa"/>
        <w:tblLayout w:type="fixed"/>
        <w:tblCellMar>
          <w:top w:w="28" w:type="dxa"/>
          <w:left w:w="28" w:type="dxa"/>
          <w:bottom w:w="28" w:type="dxa"/>
          <w:right w:w="28" w:type="dxa"/>
        </w:tblCellMar>
      </w:tblPr>
      <w:tblGrid>
        <w:gridCol w:w="1463"/>
        <w:gridCol w:w="1096"/>
        <w:gridCol w:w="1100"/>
        <w:gridCol w:w="109"/>
        <w:gridCol w:w="109"/>
        <w:gridCol w:w="109"/>
        <w:gridCol w:w="231"/>
        <w:gridCol w:w="968"/>
        <w:gridCol w:w="111"/>
        <w:gridCol w:w="111"/>
        <w:gridCol w:w="111"/>
        <w:gridCol w:w="111"/>
        <w:gridCol w:w="231"/>
        <w:gridCol w:w="968"/>
        <w:gridCol w:w="111"/>
        <w:gridCol w:w="109"/>
        <w:gridCol w:w="109"/>
        <w:gridCol w:w="109"/>
        <w:gridCol w:w="226"/>
        <w:gridCol w:w="946"/>
        <w:gridCol w:w="109"/>
        <w:gridCol w:w="109"/>
        <w:gridCol w:w="109"/>
        <w:gridCol w:w="109"/>
        <w:gridCol w:w="226"/>
        <w:gridCol w:w="946"/>
        <w:gridCol w:w="159"/>
      </w:tblGrid>
      <w:tr>
        <w:trPr/>
        <w:tc>
          <w:tcPr>
            <w:tcW w:w="146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248,307 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284,168 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598,373 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527,401 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32,014 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28,868 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Amortization</w:t>
            </w: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85,105 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64,137 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Legal settlements and litigation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100,944 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Integration and deal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38,127 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 at equity method investment,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Other</w:t>
            </w:r>
            <w:r>
              <w:rPr>
                <w:rFonts w:ascii="Times New Roman;serif" w:hAnsi="Times New Roman;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281,449 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104,162 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324,004 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211,471 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Income tax impact of pre-tax adjustments at the effective tax rate</w:t>
            </w:r>
            <w:r>
              <w:rPr>
                <w:rFonts w:ascii="Times New Roman;serif" w:hAnsi="Times New Roman;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(55,456)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Discrete tax items</w:t>
            </w:r>
            <w:r>
              <w:rPr>
                <w:rFonts w:ascii="Times New Roman;serif" w:hAnsi="Times New Roman;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464,384 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366,421 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689,347 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Adjusted net income per diluted share attributable to Corpay</w:t>
            </w:r>
            <w:r>
              <w:rPr>
                <w:rFonts w:ascii="Times New Roman;serif" w:hAnsi="Times New Roman;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7.00 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5.13 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9.64 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728"/>
        <w:gridCol w:w="2884"/>
        <w:gridCol w:w="2892"/>
        <w:gridCol w:w="109"/>
        <w:gridCol w:w="109"/>
        <w:gridCol w:w="109"/>
        <w:gridCol w:w="109"/>
        <w:gridCol w:w="109"/>
        <w:gridCol w:w="156"/>
      </w:tblGrid>
      <w:tr>
        <w:trPr/>
        <w:tc>
          <w:tcPr>
            <w:tcW w:w="372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consolidated amortization related to intangible assets, premium on receivables, deferred financing costs and debt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Includes losses and gains on foreign currency transactions, amortization expense attributable to the Company's noncontrolling interests, taxes associated with stock-based compensation programs and a loss on an economic hedge of a foreign-denominated purchase price of an acquisition and other non-recurring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Represents provision for income taxes of pre-tax adjustments. Adjustments related to our equity method investment are tax effected at the effective tax rate of the investment as stated.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2026, represents discrete taxes on net gain realized upon disposition of our PaybyPhone business within Vehicle Payments of $40.0 million and taxes related to our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 xml:space="preserve">Excludes the impact on earnings per share of the adjustment of a non-controlling interest to its maximum redemption value of $2.8 million and $5.8 million for the three and six months ended June 30, 2026, respectively.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Columns may not calculate due to rounding.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Key Performance Indicators, by Segment and Revenue Per Performance Metric on a GAAP Basis and Pro Forma and Macro Adjusted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millions except revenues, net per key performance metric and percentages)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10668" w:type="dxa"/>
        <w:jc w:val="center"/>
        <w:tblInd w:w="0" w:type="dxa"/>
        <w:tblLayout w:type="fixed"/>
        <w:tblCellMar>
          <w:top w:w="28" w:type="dxa"/>
          <w:left w:w="28" w:type="dxa"/>
          <w:bottom w:w="28" w:type="dxa"/>
          <w:right w:w="28" w:type="dxa"/>
        </w:tblCellMar>
      </w:tblPr>
      <w:tblGrid>
        <w:gridCol w:w="961"/>
        <w:gridCol w:w="502"/>
        <w:gridCol w:w="503"/>
        <w:gridCol w:w="247"/>
        <w:gridCol w:w="247"/>
        <w:gridCol w:w="242"/>
        <w:gridCol w:w="109"/>
        <w:gridCol w:w="109"/>
        <w:gridCol w:w="109"/>
        <w:gridCol w:w="247"/>
        <w:gridCol w:w="247"/>
        <w:gridCol w:w="242"/>
        <w:gridCol w:w="109"/>
        <w:gridCol w:w="109"/>
        <w:gridCol w:w="109"/>
        <w:gridCol w:w="285"/>
        <w:gridCol w:w="285"/>
        <w:gridCol w:w="286"/>
        <w:gridCol w:w="109"/>
        <w:gridCol w:w="109"/>
        <w:gridCol w:w="109"/>
        <w:gridCol w:w="285"/>
        <w:gridCol w:w="285"/>
        <w:gridCol w:w="286"/>
        <w:gridCol w:w="109"/>
        <w:gridCol w:w="109"/>
        <w:gridCol w:w="109"/>
        <w:gridCol w:w="247"/>
        <w:gridCol w:w="247"/>
        <w:gridCol w:w="242"/>
        <w:gridCol w:w="109"/>
        <w:gridCol w:w="109"/>
        <w:gridCol w:w="109"/>
        <w:gridCol w:w="247"/>
        <w:gridCol w:w="247"/>
        <w:gridCol w:w="242"/>
        <w:gridCol w:w="109"/>
        <w:gridCol w:w="109"/>
        <w:gridCol w:w="109"/>
        <w:gridCol w:w="285"/>
        <w:gridCol w:w="285"/>
        <w:gridCol w:w="286"/>
        <w:gridCol w:w="109"/>
        <w:gridCol w:w="109"/>
        <w:gridCol w:w="109"/>
        <w:gridCol w:w="264"/>
        <w:gridCol w:w="264"/>
        <w:gridCol w:w="373"/>
      </w:tblGrid>
      <w:tr>
        <w:trPr/>
        <w:tc>
          <w:tcPr>
            <w:tcW w:w="96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0668" w:type="dxa"/>
            <w:gridSpan w:val="48"/>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revenues, net and revenues, net per key performance metric by segment.*</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Pro Forma and Macro Adjusted</w:t>
            </w:r>
            <w:r>
              <w:rPr>
                <w:rFonts w:ascii="Times New Roman;serif" w:hAnsi="Times New Roman;serif"/>
                <w:b/>
                <w:color w:val="000000"/>
                <w:sz w:val="14"/>
              </w:rPr>
              <w:t>1</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w:t>
              <w:br/>
              <w:t>Change</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u w:val="single"/>
              </w:rPr>
              <w:t>CORPORATE PAYMENTS</w:t>
            </w:r>
            <w:r>
              <w:rPr>
                <w:rFonts w:ascii="Times New Roman;serif" w:hAnsi="Times New Roman;serif"/>
                <w:b/>
                <w:color w:val="000000"/>
                <w:sz w:val="14"/>
                <w:u w:val="single"/>
              </w:rPr>
              <w:t>2</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Spend volume</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 per spend $</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VEHICLE PAYMENTS</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 per transaction</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Tag transactions</w:t>
            </w:r>
            <w:r>
              <w:rPr>
                <w:rFonts w:ascii="Times New Roman;serif" w:hAnsi="Times New Roman;serif"/>
                <w:b w:val="false"/>
                <w:color w:val="000000"/>
                <w:sz w:val="14"/>
              </w:rPr>
              <w:t>3</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Parking transactions</w:t>
            </w:r>
            <w:r>
              <w:rPr>
                <w:rFonts w:ascii="Times New Roman;serif" w:hAnsi="Times New Roman;serif"/>
                <w:b w:val="false"/>
                <w:color w:val="000000"/>
                <w:sz w:val="14"/>
              </w:rPr>
              <w:t>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Fleet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Other transactions</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LODGING PAYMENTS</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Room nights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 per room night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u w:val="single"/>
              </w:rPr>
              <w:t>OTHER</w:t>
            </w:r>
            <w:r>
              <w:rPr>
                <w:rFonts w:ascii="Times New Roman;serif" w:hAnsi="Times New Roman;serif"/>
                <w:b/>
                <w:color w:val="000000"/>
                <w:sz w:val="14"/>
              </w:rPr>
              <w:t>5</w:t>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Transactions</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 per transaction</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CORPAY</w:t>
              <w:br/>
              <w:t>CONSOLIDATED REVENUES</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FFFFFF"/>
                <w:sz w:val="22"/>
              </w:rPr>
              <w:t>'</w:t>
            </w:r>
            <w:r>
              <w:rPr>
                <w:rFonts w:ascii="Times New Roman;serif" w:hAnsi="Times New Roman;serif"/>
                <w:b w:val="false"/>
                <w:color w:val="000000"/>
                <w:sz w:val="22"/>
              </w:rPr>
              <w:t>- Revenues, net</w:t>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$1,338.8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$236.8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$1,270.7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bl>
    <w:tbl>
      <w:tblPr>
        <w:tblW w:w="10205" w:type="dxa"/>
        <w:jc w:val="center"/>
        <w:tblInd w:w="0" w:type="dxa"/>
        <w:tblLayout w:type="fixed"/>
        <w:tblCellMar>
          <w:top w:w="28" w:type="dxa"/>
          <w:left w:w="28" w:type="dxa"/>
          <w:bottom w:w="28" w:type="dxa"/>
          <w:right w:w="28" w:type="dxa"/>
        </w:tblCellMar>
      </w:tblPr>
      <w:tblGrid>
        <w:gridCol w:w="3266"/>
        <w:gridCol w:w="2867"/>
        <w:gridCol w:w="4072"/>
      </w:tblGrid>
      <w:tr>
        <w:trPr/>
        <w:tc>
          <w:tcPr>
            <w:tcW w:w="3266"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See Exhibit 5 for a reconciliation of Pro forma and Macro Adjusted revenue by segment and metrics, non-GAAP measures, to the GAAP equivalent. </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Corporate payments revenue per spend dollar decreased over the prior year due to new payables and cross-border enterprise clients.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Represents total tag subscription transactions in the quarter. Average monthly tag subscriptions for the second quarter of 2026 is 8.0 million.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Parking transactions relates to PayByPhone, a mobile parking payments business within our Vehicle Payments segment, which we sold to a third party in March 2026.</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 xml:space="preserve">5 </w:t>
            </w:r>
            <w:r>
              <w:rPr>
                <w:rFonts w:ascii="Times New Roman;serif" w:hAnsi="Times New Roman;serif"/>
                <w:b w:val="false"/>
                <w:color w:val="000000"/>
                <w:sz w:val="20"/>
              </w:rPr>
              <w:t xml:space="preserve">Other includes Gift, Outsourced Card Processing and Payroll Card.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Columns may not calculate due to rounding. 2025 recast to conform with current period segment presentation.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3</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Revenues by Geography and Segment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millions, except percentages)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097" w:type="dxa"/>
        <w:jc w:val="center"/>
        <w:tblInd w:w="0" w:type="dxa"/>
        <w:tblLayout w:type="fixed"/>
        <w:tblCellMar>
          <w:top w:w="28" w:type="dxa"/>
          <w:left w:w="28" w:type="dxa"/>
          <w:bottom w:w="28" w:type="dxa"/>
          <w:right w:w="28" w:type="dxa"/>
        </w:tblCellMar>
      </w:tblPr>
      <w:tblGrid>
        <w:gridCol w:w="566"/>
        <w:gridCol w:w="392"/>
        <w:gridCol w:w="393"/>
        <w:gridCol w:w="226"/>
        <w:gridCol w:w="706"/>
        <w:gridCol w:w="109"/>
        <w:gridCol w:w="109"/>
        <w:gridCol w:w="109"/>
        <w:gridCol w:w="109"/>
        <w:gridCol w:w="263"/>
        <w:gridCol w:w="263"/>
        <w:gridCol w:w="286"/>
        <w:gridCol w:w="109"/>
        <w:gridCol w:w="109"/>
        <w:gridCol w:w="109"/>
        <w:gridCol w:w="226"/>
        <w:gridCol w:w="706"/>
        <w:gridCol w:w="109"/>
        <w:gridCol w:w="109"/>
        <w:gridCol w:w="109"/>
        <w:gridCol w:w="109"/>
        <w:gridCol w:w="263"/>
        <w:gridCol w:w="263"/>
        <w:gridCol w:w="286"/>
        <w:gridCol w:w="109"/>
        <w:gridCol w:w="109"/>
        <w:gridCol w:w="109"/>
        <w:gridCol w:w="226"/>
        <w:gridCol w:w="706"/>
        <w:gridCol w:w="109"/>
        <w:gridCol w:w="109"/>
        <w:gridCol w:w="109"/>
        <w:gridCol w:w="109"/>
        <w:gridCol w:w="263"/>
        <w:gridCol w:w="263"/>
        <w:gridCol w:w="286"/>
        <w:gridCol w:w="109"/>
        <w:gridCol w:w="109"/>
        <w:gridCol w:w="109"/>
        <w:gridCol w:w="226"/>
        <w:gridCol w:w="706"/>
        <w:gridCol w:w="109"/>
        <w:gridCol w:w="109"/>
        <w:gridCol w:w="109"/>
        <w:gridCol w:w="109"/>
        <w:gridCol w:w="263"/>
        <w:gridCol w:w="263"/>
        <w:gridCol w:w="331"/>
      </w:tblGrid>
      <w:tr>
        <w:trPr/>
        <w:tc>
          <w:tcPr>
            <w:tcW w:w="5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Revenues, net by Geography*</w:t>
            </w:r>
          </w:p>
        </w:tc>
        <w:tc>
          <w:tcPr>
            <w:tcW w:w="46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Revenues, net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*Columns may not calculate due to rounding.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097" w:type="dxa"/>
        <w:jc w:val="center"/>
        <w:tblInd w:w="0" w:type="dxa"/>
        <w:tblLayout w:type="fixed"/>
        <w:tblCellMar>
          <w:top w:w="28" w:type="dxa"/>
          <w:left w:w="28" w:type="dxa"/>
          <w:bottom w:w="28" w:type="dxa"/>
          <w:right w:w="28" w:type="dxa"/>
        </w:tblCellMar>
      </w:tblPr>
      <w:tblGrid>
        <w:gridCol w:w="642"/>
        <w:gridCol w:w="354"/>
        <w:gridCol w:w="355"/>
        <w:gridCol w:w="226"/>
        <w:gridCol w:w="706"/>
        <w:gridCol w:w="109"/>
        <w:gridCol w:w="109"/>
        <w:gridCol w:w="109"/>
        <w:gridCol w:w="109"/>
        <w:gridCol w:w="263"/>
        <w:gridCol w:w="263"/>
        <w:gridCol w:w="286"/>
        <w:gridCol w:w="109"/>
        <w:gridCol w:w="109"/>
        <w:gridCol w:w="109"/>
        <w:gridCol w:w="226"/>
        <w:gridCol w:w="706"/>
        <w:gridCol w:w="109"/>
        <w:gridCol w:w="109"/>
        <w:gridCol w:w="109"/>
        <w:gridCol w:w="109"/>
        <w:gridCol w:w="263"/>
        <w:gridCol w:w="263"/>
        <w:gridCol w:w="286"/>
        <w:gridCol w:w="109"/>
        <w:gridCol w:w="109"/>
        <w:gridCol w:w="109"/>
        <w:gridCol w:w="226"/>
        <w:gridCol w:w="706"/>
        <w:gridCol w:w="109"/>
        <w:gridCol w:w="109"/>
        <w:gridCol w:w="109"/>
        <w:gridCol w:w="109"/>
        <w:gridCol w:w="263"/>
        <w:gridCol w:w="263"/>
        <w:gridCol w:w="286"/>
        <w:gridCol w:w="109"/>
        <w:gridCol w:w="109"/>
        <w:gridCol w:w="109"/>
        <w:gridCol w:w="226"/>
        <w:gridCol w:w="706"/>
        <w:gridCol w:w="109"/>
        <w:gridCol w:w="109"/>
        <w:gridCol w:w="109"/>
        <w:gridCol w:w="109"/>
        <w:gridCol w:w="263"/>
        <w:gridCol w:w="263"/>
        <w:gridCol w:w="331"/>
      </w:tblGrid>
      <w:tr>
        <w:trPr/>
        <w:tc>
          <w:tcPr>
            <w:tcW w:w="64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Revenues, net by Segment*</w:t>
            </w:r>
          </w:p>
        </w:tc>
        <w:tc>
          <w:tcPr>
            <w:tcW w:w="46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Six Months Ended June 30,</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 Payments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Vehicle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Lodging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Consolidated Revenues, net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2"/>
        </w:rPr>
        <w:t xml:space="preserve">*Columns may not calculate due to rounding. </w:t>
      </w:r>
      <w:r>
        <w:rPr>
          <w:rFonts w:ascii="Times New Roman;serif" w:hAnsi="Times New Roman;serif"/>
          <w:b w:val="false"/>
          <w:color w:val="000000"/>
          <w:sz w:val="20"/>
        </w:rPr>
        <w:t>2025 recast to conform with current period segment presentation.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2" w:type="dxa"/>
            <w:gridSpan w:val="18"/>
            <w:tcBorders/>
            <w:tcMar>
              <w:top w:w="0" w:type="dxa"/>
              <w:left w:w="0" w:type="dxa"/>
              <w:bottom w:w="0" w:type="dxa"/>
              <w:right w:w="0" w:type="dxa"/>
            </w:tcMar>
            <w:vAlign w:val="center"/>
          </w:tcPr>
          <w:p>
            <w:pPr>
              <w:pStyle w:val="TableContents"/>
              <w:bidi w:val="0"/>
              <w:spacing w:before="4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Segment Results*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 except percentages)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344" w:type="dxa"/>
        <w:jc w:val="center"/>
        <w:tblInd w:w="0" w:type="dxa"/>
        <w:tblLayout w:type="fixed"/>
        <w:tblCellMar>
          <w:top w:w="28" w:type="dxa"/>
          <w:left w:w="28" w:type="dxa"/>
          <w:bottom w:w="28" w:type="dxa"/>
          <w:right w:w="28" w:type="dxa"/>
        </w:tblCellMar>
      </w:tblPr>
      <w:tblGrid>
        <w:gridCol w:w="558"/>
        <w:gridCol w:w="306"/>
        <w:gridCol w:w="307"/>
        <w:gridCol w:w="109"/>
        <w:gridCol w:w="109"/>
        <w:gridCol w:w="109"/>
        <w:gridCol w:w="211"/>
        <w:gridCol w:w="976"/>
        <w:gridCol w:w="109"/>
        <w:gridCol w:w="109"/>
        <w:gridCol w:w="109"/>
        <w:gridCol w:w="109"/>
        <w:gridCol w:w="211"/>
        <w:gridCol w:w="976"/>
        <w:gridCol w:w="109"/>
        <w:gridCol w:w="109"/>
        <w:gridCol w:w="109"/>
        <w:gridCol w:w="109"/>
        <w:gridCol w:w="220"/>
        <w:gridCol w:w="220"/>
        <w:gridCol w:w="551"/>
        <w:gridCol w:w="109"/>
        <w:gridCol w:w="109"/>
        <w:gridCol w:w="109"/>
        <w:gridCol w:w="211"/>
        <w:gridCol w:w="976"/>
        <w:gridCol w:w="109"/>
        <w:gridCol w:w="109"/>
        <w:gridCol w:w="109"/>
        <w:gridCol w:w="109"/>
        <w:gridCol w:w="211"/>
        <w:gridCol w:w="976"/>
        <w:gridCol w:w="109"/>
        <w:gridCol w:w="109"/>
        <w:gridCol w:w="109"/>
        <w:gridCol w:w="109"/>
        <w:gridCol w:w="211"/>
        <w:gridCol w:w="211"/>
        <w:gridCol w:w="614"/>
      </w:tblGrid>
      <w:tr>
        <w:trPr/>
        <w:tc>
          <w:tcPr>
            <w:tcW w:w="5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2026</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2025</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2026</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2025</w:t>
            </w:r>
            <w:r>
              <w:rPr>
                <w:rFonts w:ascii="Times New Roman;serif" w:hAnsi="Times New Roman;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97"/>
        <w:gridCol w:w="2858"/>
        <w:gridCol w:w="4050"/>
      </w:tblGrid>
      <w:tr>
        <w:trPr/>
        <w:tc>
          <w:tcPr>
            <w:tcW w:w="3297"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Results from Gringo acquired in the first quarter of 2025 are reported in the Vehicle Payments segment from the date of acquisition. Results from Alpha acquired in the fourth quarter of 2025 are reported in the Corporate Payments segment from the date of acquisition. </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Segment results for 2025 have been recast to conform to current period segment presentation.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Other includes Gift, Outsourced Card Processing and Payroll Card.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*Columns may not calculate due to rounding.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5</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Non-GAAP Revenue and Key Performance Metric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by Segment to GAAP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(In millions)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60"/>
        <w:gridCol w:w="835"/>
        <w:gridCol w:w="839"/>
        <w:gridCol w:w="130"/>
        <w:gridCol w:w="130"/>
        <w:gridCol w:w="130"/>
        <w:gridCol w:w="257"/>
        <w:gridCol w:w="936"/>
        <w:gridCol w:w="132"/>
        <w:gridCol w:w="132"/>
        <w:gridCol w:w="132"/>
        <w:gridCol w:w="132"/>
        <w:gridCol w:w="257"/>
        <w:gridCol w:w="936"/>
        <w:gridCol w:w="132"/>
        <w:gridCol w:w="130"/>
        <w:gridCol w:w="130"/>
        <w:gridCol w:w="130"/>
        <w:gridCol w:w="130"/>
        <w:gridCol w:w="130"/>
        <w:gridCol w:w="130"/>
        <w:gridCol w:w="261"/>
        <w:gridCol w:w="892"/>
        <w:gridCol w:w="134"/>
        <w:gridCol w:w="134"/>
        <w:gridCol w:w="134"/>
        <w:gridCol w:w="134"/>
        <w:gridCol w:w="261"/>
        <w:gridCol w:w="892"/>
        <w:gridCol w:w="213"/>
      </w:tblGrid>
      <w:tr>
        <w:trPr/>
        <w:tc>
          <w:tcPr>
            <w:tcW w:w="1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net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Key Performance Metric</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CORPORATE PAYMENTS - SPEND</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acquisitions/dispositions</w:t>
            </w:r>
            <w:r>
              <w:rPr>
                <w:rFonts w:ascii="Times New Roman;serif" w:hAnsi="Times New Roman;serif"/>
                <w:b w:val="false"/>
                <w:color w:val="000000"/>
                <w:sz w:val="13"/>
              </w:rPr>
              <w:t>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94,635 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55,673 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VEHICLE PAYMENTS - TRANSACTIONS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LODGING PAYMENTS - ROOM NIGHTS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OTHER</w:t>
            </w:r>
            <w:r>
              <w:rPr>
                <w:rFonts w:ascii="Times New Roman;serif" w:hAnsi="Times New Roman;serif"/>
                <w:b/>
                <w:color w:val="000000"/>
                <w:sz w:val="13"/>
              </w:rPr>
              <w:t>1</w:t>
            </w:r>
            <w:r>
              <w:rPr>
                <w:rFonts w:ascii="Times New Roman;serif" w:hAnsi="Times New Roman;serif"/>
                <w:b/>
                <w:color w:val="000000"/>
                <w:sz w:val="20"/>
                <w:u w:val="single"/>
              </w:rPr>
              <w:t>- TRANSACTIONS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fuel prices/spread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exchange rates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CORPAY CONSOLIDATED REVENUES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and macro adjusted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vMerge w:val="restart"/>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Intentionally Left Blank</w:t>
            </w:r>
          </w:p>
        </w:tc>
      </w:tr>
      <w:tr>
        <w:trPr/>
        <w:tc>
          <w:tcPr>
            <w:tcW w:w="2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acquisitions/dispositions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3055" w:type="dxa"/>
            <w:gridSpan w:val="9"/>
            <w:vMerge w:val="continue"/>
            <w:tcBorders>
              <w:top w:val="single" w:sz="8" w:space="0" w:color="000000"/>
              <w:left w:val="single" w:sz="8" w:space="0" w:color="000000"/>
              <w:right w:val="single" w:sz="8" w:space="0" w:color="000000"/>
            </w:tcBorders>
            <w:shd w:fill="FFFFFF" w:val="clear"/>
            <w:tcMar>
              <w:top w:w="52" w:type="dxa"/>
              <w:bottom w:w="0" w:type="dxa"/>
            </w:tcMar>
            <w:vAlign w:val="center"/>
          </w:tcPr>
          <w:p>
            <w:pPr>
              <w:pStyle w:val="Normal"/>
              <w:bidi w:val="0"/>
              <w:jc w:val="left"/>
              <w:rPr/>
            </w:pPr>
            <w:r>
              <w:rPr/>
            </w:r>
          </w:p>
        </w:tc>
      </w:tr>
      <w:tr>
        <w:trPr/>
        <w:tc>
          <w:tcPr>
            <w:tcW w:w="2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fuel prices/spread</w:t>
            </w:r>
            <w:r>
              <w:rPr>
                <w:rFonts w:ascii="Times New Roman;serif" w:hAnsi="Times New Roman;serif"/>
                <w:b w:val="false"/>
                <w:color w:val="000000"/>
                <w:sz w:val="13"/>
              </w:rPr>
              <w:t>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3055" w:type="dxa"/>
            <w:gridSpan w:val="9"/>
            <w:vMerge w:val="continue"/>
            <w:tcBorders>
              <w:top w:val="single" w:sz="8" w:space="0" w:color="000000"/>
              <w:left w:val="single" w:sz="8" w:space="0" w:color="000000"/>
              <w:right w:val="single" w:sz="8" w:space="0" w:color="000000"/>
            </w:tcBorders>
            <w:shd w:fill="FFFFFF" w:val="clear"/>
            <w:tcMar>
              <w:top w:w="52" w:type="dxa"/>
              <w:bottom w:w="0" w:type="dxa"/>
            </w:tcMar>
            <w:vAlign w:val="center"/>
          </w:tcPr>
          <w:p>
            <w:pPr>
              <w:pStyle w:val="Normal"/>
              <w:bidi w:val="0"/>
              <w:jc w:val="left"/>
              <w:rPr/>
            </w:pPr>
            <w:r>
              <w:rPr/>
            </w:r>
          </w:p>
        </w:tc>
      </w:tr>
      <w:tr>
        <w:trPr/>
        <w:tc>
          <w:tcPr>
            <w:tcW w:w="2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foreign exchange rates</w:t>
            </w:r>
            <w:r>
              <w:rPr>
                <w:rFonts w:ascii="Times New Roman;serif" w:hAnsi="Times New Roman;serif"/>
                <w:b w:val="false"/>
                <w:color w:val="000000"/>
                <w:sz w:val="13"/>
              </w:rPr>
              <w:t>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3055" w:type="dxa"/>
            <w:gridSpan w:val="9"/>
            <w:vMerge w:val="continue"/>
            <w:tcBorders>
              <w:top w:val="single" w:sz="8" w:space="0" w:color="000000"/>
              <w:left w:val="single" w:sz="8" w:space="0" w:color="000000"/>
              <w:right w:val="single" w:sz="8" w:space="0" w:color="000000"/>
            </w:tcBorders>
            <w:shd w:fill="FFFFFF" w:val="clear"/>
            <w:tcMar>
              <w:top w:w="52" w:type="dxa"/>
              <w:bottom w:w="0" w:type="dxa"/>
            </w:tcMar>
            <w:vAlign w:val="center"/>
          </w:tcPr>
          <w:p>
            <w:pPr>
              <w:pStyle w:val="Normal"/>
              <w:bidi w:val="0"/>
              <w:jc w:val="left"/>
              <w:rPr/>
            </w:pPr>
            <w:r>
              <w:rPr/>
            </w:r>
          </w:p>
        </w:tc>
      </w:tr>
      <w:tr>
        <w:trPr/>
        <w:tc>
          <w:tcPr>
            <w:tcW w:w="2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3055" w:type="dxa"/>
            <w:gridSpan w:val="9"/>
            <w:vMerge w:val="continue"/>
            <w:tcBorders>
              <w:top w:val="single" w:sz="8" w:space="0" w:color="000000"/>
              <w:left w:val="single" w:sz="8" w:space="0" w:color="000000"/>
              <w:right w:val="single" w:sz="8" w:space="0" w:color="000000"/>
            </w:tcBorders>
            <w:shd w:fill="FFFFFF" w:val="clear"/>
            <w:tcMar>
              <w:top w:w="52" w:type="dxa"/>
              <w:bottom w:w="0" w:type="dxa"/>
            </w:tcMar>
            <w:vAlign w:val="center"/>
          </w:tcPr>
          <w:p>
            <w:pPr>
              <w:pStyle w:val="Normal"/>
              <w:bidi w:val="0"/>
              <w:jc w:val="left"/>
              <w:rPr/>
            </w:pPr>
            <w:r>
              <w:rPr/>
            </w:r>
          </w:p>
        </w:tc>
      </w:tr>
      <w:tr>
        <w:trPr/>
        <w:tc>
          <w:tcPr>
            <w:tcW w:w="2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7" w:type="dxa"/>
            <w:gridSpan w:val="24"/>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Other includes Gift, Outsourced Card Processing and Payroll Card. </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Revenues reflect 2025 proforma impact of acquisition of Alpha Group.</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Revenues reflect the positive impact of movements in foreign exchange rates of approximately $37 million, positive impact from fuel prices of approximately $20 million and the positive impact of fuel price spreads of approximately $10 million.</w:t>
            </w:r>
          </w:p>
        </w:tc>
      </w:tr>
      <w:tr>
        <w:trPr/>
        <w:tc>
          <w:tcPr>
            <w:tcW w:w="8437"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Columns may not calculate due to rounding. 2025 recast to conform with current period segment presentation.</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6</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RECONCILIATION OF NON-GAAP EBITDA AND ADJUSTED EBITDA MEASURES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 millions, except percentages)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EBITDA, Adjusted EBITDA and Adjusted EBITDA margin to net income from operations.* </w:t>
      </w:r>
    </w:p>
    <w:p>
      <w:pPr>
        <w:pStyle w:val="TextBody"/>
        <w:bidi w:val="0"/>
        <w:spacing w:before="0" w:after="0"/>
        <w:jc w:val="left"/>
        <w:rPr/>
      </w:pPr>
      <w:r>
        <w:rPr/>
      </w:r>
    </w:p>
    <w:tbl>
      <w:tblPr>
        <w:tblW w:w="9357" w:type="dxa"/>
        <w:jc w:val="center"/>
        <w:tblInd w:w="0" w:type="dxa"/>
        <w:tblLayout w:type="fixed"/>
        <w:tblCellMar>
          <w:top w:w="28" w:type="dxa"/>
          <w:left w:w="28" w:type="dxa"/>
          <w:bottom w:w="28" w:type="dxa"/>
          <w:right w:w="28" w:type="dxa"/>
        </w:tblCellMar>
      </w:tblPr>
      <w:tblGrid>
        <w:gridCol w:w="971"/>
        <w:gridCol w:w="856"/>
        <w:gridCol w:w="858"/>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addbacks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8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Includes certain legal expenses, restructuring costs and integration and deal related costs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7"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Columns may not calculate due to rounding.</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7</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NON-GAAP GUIDANCE MEASURES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millions, except per share amounts)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reconciles full year 2026 and third quarter 2026 financial guidance for net income to adjusted net income and adjusted net income per diluted share, at both ends of the range.</w:t>
      </w:r>
    </w:p>
    <w:tbl>
      <w:tblPr>
        <w:tblW w:w="6456" w:type="dxa"/>
        <w:jc w:val="left"/>
        <w:tblInd w:w="0" w:type="dxa"/>
        <w:tblLayout w:type="fixed"/>
        <w:tblCellMar>
          <w:top w:w="28" w:type="dxa"/>
          <w:left w:w="28" w:type="dxa"/>
          <w:bottom w:w="28" w:type="dxa"/>
          <w:right w:w="28" w:type="dxa"/>
        </w:tblCellMar>
      </w:tblPr>
      <w:tblGrid>
        <w:gridCol w:w="1331"/>
        <w:gridCol w:w="1170"/>
        <w:gridCol w:w="1174"/>
        <w:gridCol w:w="109"/>
        <w:gridCol w:w="109"/>
        <w:gridCol w:w="109"/>
        <w:gridCol w:w="226"/>
        <w:gridCol w:w="706"/>
        <w:gridCol w:w="109"/>
        <w:gridCol w:w="109"/>
        <w:gridCol w:w="109"/>
        <w:gridCol w:w="109"/>
        <w:gridCol w:w="226"/>
        <w:gridCol w:w="70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2026 GUIDANCE</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High*</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Gain on disposition,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27.55 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Q3 2026 GUIDANCE</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High*</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Corpay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7.25 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Columns may not calculate due to rounding.</w:t>
            </w:r>
          </w:p>
        </w:tc>
      </w:tr>
      <w:tr>
        <w:trPr/>
        <w:tc>
          <w:tcPr>
            <w:tcW w:w="645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5886</Words>
  <Characters>33048</Characters>
  <CharactersWithSpaces>38106</CharactersWithSpaces>
  <Paragraphs>1588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