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343535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257810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43"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64"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001-35004</w:t>
      </w:r>
    </w:p>
    <w:p>
      <w:pPr>
        <w:spacing w:after="0" w:line="3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FleetCor Technologies, Inc.</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47"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248"/>
        </w:trPr>
        <w:tc>
          <w:tcPr>
            <w:tcW w:w="50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0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92"/>
        </w:trPr>
        <w:tc>
          <w:tcPr>
            <w:tcW w:w="50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5445 Triangle Parkway, Norcross, Georgia</w:t>
            </w:r>
          </w:p>
        </w:tc>
        <w:tc>
          <w:tcPr>
            <w:tcW w:w="3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30092</w:t>
            </w:r>
          </w:p>
        </w:tc>
      </w:tr>
      <w:tr>
        <w:trPr>
          <w:trHeight w:val="270"/>
        </w:trPr>
        <w:tc>
          <w:tcPr>
            <w:tcW w:w="50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449-0479</w:t>
      </w:r>
    </w:p>
    <w:p>
      <w:pPr>
        <w:spacing w:after="0" w:line="3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9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20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6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Outstanding at April 24, 2017</w:t>
            </w:r>
          </w:p>
        </w:tc>
      </w:tr>
      <w:tr>
        <w:trPr>
          <w:trHeight w:val="20"/>
        </w:trPr>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91"/>
        </w:trPr>
        <w:tc>
          <w:tcPr>
            <w:tcW w:w="5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4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92,257,881</w:t>
            </w:r>
          </w:p>
        </w:tc>
        <w:tc>
          <w:tcPr>
            <w:tcW w:w="1600" w:type="dxa"/>
            <w:vAlign w:val="bottom"/>
          </w:tcPr>
          <w:p>
            <w:pPr>
              <w:spacing w:after="0"/>
              <w:rPr>
                <w:sz w:val="24"/>
                <w:szCs w:val="24"/>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FLEETCOR TECHNOLOGIES,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2017</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5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50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at March 31, 2017 (unaudited) and December 31, 2016</w:t>
              </w:r>
            </w:hyperlink>
          </w:p>
        </w:tc>
        <w:tc>
          <w:tcPr>
            <w:tcW w:w="700" w:type="dxa"/>
            <w:vAlign w:val="bottom"/>
            <w:gridSpan w:val="3"/>
          </w:tcPr>
          <w:p>
            <w:pPr>
              <w:jc w:val="center"/>
              <w:ind w:left="511"/>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Income for the Three Months Ended March 31, 2017 and 2016</w:t>
              </w:r>
            </w:hyperlink>
          </w:p>
        </w:tc>
        <w:tc>
          <w:tcPr>
            <w:tcW w:w="2160" w:type="dxa"/>
            <w:vAlign w:val="bottom"/>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Comprehensive Income (Loss) for the Three Months Ended March 31, 2017 and 2016</w:t>
              </w:r>
            </w:hyperlink>
          </w:p>
        </w:tc>
        <w:tc>
          <w:tcPr>
            <w:tcW w:w="4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50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Statements of Cash Flows for the Three Months Ended March 31, 2017 and 2016</w:t>
              </w:r>
            </w:hyperlink>
          </w:p>
        </w:tc>
        <w:tc>
          <w:tcPr>
            <w:tcW w:w="700" w:type="dxa"/>
            <w:vAlign w:val="bottom"/>
            <w:gridSpan w:val="3"/>
          </w:tcPr>
          <w:p>
            <w:pPr>
              <w:jc w:val="center"/>
              <w:ind w:left="511"/>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Consolidated Financial Statements</w:t>
              </w:r>
            </w:hyperlink>
          </w:p>
        </w:tc>
        <w:tc>
          <w:tcPr>
            <w:tcW w:w="2700" w:type="dxa"/>
            <w:vAlign w:val="bottom"/>
            <w:tcBorders>
              <w:top w:val="single" w:sz="8" w:color="0000EE"/>
            </w:tcBorders>
            <w:gridSpan w:val="3"/>
          </w:tcPr>
          <w:p>
            <w:pPr>
              <w:spacing w:after="0"/>
              <w:rPr>
                <w:sz w:val="24"/>
                <w:szCs w:val="24"/>
                <w:color w:val="auto"/>
              </w:rPr>
            </w:pPr>
          </w:p>
        </w:tc>
        <w:tc>
          <w:tcPr>
            <w:tcW w:w="2860" w:type="dxa"/>
            <w:vAlign w:val="bottom"/>
            <w:gridSpan w:val="4"/>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7"/>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140" w:type="dxa"/>
            <w:vAlign w:val="bottom"/>
            <w:gridSpan w:val="12"/>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QUANTITATIVE AND QUALITATIVE DISCLOSURES ABOUT MARKET RISK</w:t>
              </w:r>
            </w:hyperlink>
          </w:p>
        </w:tc>
        <w:tc>
          <w:tcPr>
            <w:tcW w:w="2760" w:type="dxa"/>
            <w:vAlign w:val="bottom"/>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35</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gridSpan w:val="8"/>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CONTROLS AND PROCEDURES</w:t>
              </w:r>
            </w:hyperlink>
          </w:p>
        </w:tc>
        <w:tc>
          <w:tcPr>
            <w:tcW w:w="3540" w:type="dxa"/>
            <w:vAlign w:val="bottom"/>
            <w:gridSpan w:val="4"/>
          </w:tcPr>
          <w:p>
            <w:pPr>
              <w:spacing w:after="0"/>
              <w:rPr>
                <w:sz w:val="24"/>
                <w:szCs w:val="24"/>
                <w:color w:val="auto"/>
              </w:rPr>
            </w:pPr>
          </w:p>
        </w:tc>
        <w:tc>
          <w:tcPr>
            <w:tcW w:w="3360" w:type="dxa"/>
            <w:vAlign w:val="bottom"/>
            <w:gridSpan w:val="5"/>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35</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860" w:type="dxa"/>
            <w:vAlign w:val="bottom"/>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RISK FACTORS</w:t>
              </w:r>
            </w:hyperlink>
          </w:p>
        </w:tc>
        <w:tc>
          <w:tcPr>
            <w:tcW w:w="7640" w:type="dxa"/>
            <w:vAlign w:val="bottom"/>
            <w:gridSpan w:val="13"/>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UNREGISTERED SALES OF EQUITY SECURITIES AND USE OF PROCEEDS</w:t>
              </w:r>
            </w:hyperlink>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3180" w:type="dxa"/>
            <w:vAlign w:val="bottom"/>
            <w:gridSpan w:val="9"/>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DEFAULTS UPON SENIOR SECURITIES</w:t>
              </w:r>
            </w:hyperlink>
          </w:p>
        </w:tc>
        <w:tc>
          <w:tcPr>
            <w:tcW w:w="2880" w:type="dxa"/>
            <w:vAlign w:val="bottom"/>
            <w:gridSpan w:val="2"/>
          </w:tcPr>
          <w:p>
            <w:pPr>
              <w:spacing w:after="0"/>
              <w:rPr>
                <w:sz w:val="24"/>
                <w:szCs w:val="24"/>
                <w:color w:val="auto"/>
              </w:rPr>
            </w:pPr>
          </w:p>
        </w:tc>
        <w:tc>
          <w:tcPr>
            <w:tcW w:w="3440" w:type="dxa"/>
            <w:vAlign w:val="bottom"/>
            <w:gridSpan w:val="6"/>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440" w:type="dxa"/>
            <w:vAlign w:val="bottom"/>
            <w:gridSpan w:val="7"/>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MINE SAFETY DISCLOSURES</w:t>
              </w:r>
            </w:hyperlink>
          </w:p>
        </w:tc>
        <w:tc>
          <w:tcPr>
            <w:tcW w:w="740" w:type="dxa"/>
            <w:vAlign w:val="bottom"/>
            <w:gridSpan w:val="2"/>
          </w:tcPr>
          <w:p>
            <w:pPr>
              <w:spacing w:after="0"/>
              <w:rPr>
                <w:sz w:val="24"/>
                <w:szCs w:val="24"/>
                <w:color w:val="auto"/>
              </w:rPr>
            </w:pPr>
          </w:p>
        </w:tc>
        <w:tc>
          <w:tcPr>
            <w:tcW w:w="6320" w:type="dxa"/>
            <w:vAlign w:val="bottom"/>
            <w:gridSpan w:val="8"/>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60" w:type="dxa"/>
            <w:vAlign w:val="bottom"/>
            <w:gridSpan w:val="10"/>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880" w:type="dxa"/>
            <w:vAlign w:val="bottom"/>
            <w:gridSpan w:val="5"/>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OTHER INFORMATION</w:t>
              </w:r>
            </w:hyperlink>
          </w:p>
        </w:tc>
        <w:tc>
          <w:tcPr>
            <w:tcW w:w="560" w:type="dxa"/>
            <w:vAlign w:val="bottom"/>
            <w:gridSpan w:val="2"/>
          </w:tcPr>
          <w:p>
            <w:pPr>
              <w:spacing w:after="0"/>
              <w:rPr>
                <w:sz w:val="24"/>
                <w:szCs w:val="24"/>
                <w:color w:val="auto"/>
              </w:rPr>
            </w:pPr>
          </w:p>
        </w:tc>
        <w:tc>
          <w:tcPr>
            <w:tcW w:w="7060" w:type="dxa"/>
            <w:vAlign w:val="bottom"/>
            <w:gridSpan w:val="10"/>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620" w:type="dxa"/>
            <w:vAlign w:val="bottom"/>
            <w:gridSpan w:val="12"/>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gridSpan w:val="2"/>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EXHIBITS</w:t>
              </w:r>
            </w:hyperlink>
          </w:p>
        </w:tc>
        <w:tc>
          <w:tcPr>
            <w:tcW w:w="1060" w:type="dxa"/>
            <w:vAlign w:val="bottom"/>
            <w:gridSpan w:val="3"/>
          </w:tcPr>
          <w:p>
            <w:pPr>
              <w:spacing w:after="0"/>
              <w:rPr>
                <w:sz w:val="24"/>
                <w:szCs w:val="24"/>
                <w:color w:val="auto"/>
              </w:rPr>
            </w:pPr>
          </w:p>
        </w:tc>
        <w:tc>
          <w:tcPr>
            <w:tcW w:w="7620" w:type="dxa"/>
            <w:vAlign w:val="bottom"/>
            <w:gridSpan w:val="12"/>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80" w:type="dxa"/>
            <w:vAlign w:val="bottom"/>
            <w:gridSpan w:val="15"/>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1160" w:type="dxa"/>
            <w:vAlign w:val="bottom"/>
            <w:gridSpan w:val="2"/>
          </w:tcPr>
          <w:p>
            <w:pPr>
              <w:spacing w:after="0"/>
              <w:rPr>
                <w:rFonts w:ascii="Times New Roman" w:cs="Times New Roman" w:eastAsia="Times New Roman" w:hAnsi="Times New Roman"/>
                <w:sz w:val="18"/>
                <w:szCs w:val="18"/>
                <w:b w:val="1"/>
                <w:bCs w:val="1"/>
                <w:color w:val="0000EE"/>
                <w:w w:val="97"/>
              </w:rPr>
            </w:pPr>
            <w:hyperlink w:anchor="page42">
              <w:r>
                <w:rPr>
                  <w:rFonts w:ascii="Times New Roman" w:cs="Times New Roman" w:eastAsia="Times New Roman" w:hAnsi="Times New Roman"/>
                  <w:sz w:val="18"/>
                  <w:szCs w:val="18"/>
                  <w:b w:val="1"/>
                  <w:bCs w:val="1"/>
                  <w:color w:val="0000EE"/>
                  <w:w w:val="97"/>
                </w:rPr>
                <w:t>SIGNATURES</w:t>
              </w:r>
            </w:hyperlink>
          </w:p>
        </w:tc>
        <w:tc>
          <w:tcPr>
            <w:tcW w:w="9260" w:type="dxa"/>
            <w:vAlign w:val="bottom"/>
            <w:gridSpan w:val="16"/>
          </w:tcPr>
          <w:p>
            <w:pPr>
              <w:spacing w:after="0"/>
              <w:rPr>
                <w:sz w:val="24"/>
                <w:szCs w:val="24"/>
                <w:color w:val="auto"/>
              </w:rPr>
            </w:pPr>
          </w:p>
        </w:tc>
        <w:tc>
          <w:tcPr>
            <w:tcW w:w="700" w:type="dxa"/>
            <w:vAlign w:val="bottom"/>
            <w:gridSpan w:val="3"/>
          </w:tcPr>
          <w:p>
            <w:pPr>
              <w:jc w:val="center"/>
              <w:ind w:left="431"/>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38</w:t>
              </w:r>
            </w:hyperlink>
          </w:p>
        </w:tc>
        <w:tc>
          <w:tcPr>
            <w:tcW w:w="10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60"/>
          </w:cols>
          <w:pgMar w:left="240" w:top="121" w:right="3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FleetCor Technologies, Inc. and Subsidiaries</w:t>
      </w:r>
    </w:p>
    <w:p>
      <w:pPr>
        <w:spacing w:after="0" w:line="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475,018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$40,985 and $32,506 at March 31,</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2017 and December 31,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1,360,833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1,202,009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Securitized accounts receivable—restricted for securitization investors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90,914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2,882,091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2,527,693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253,361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142,504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4,227,472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4,195,150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2,633,651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2,653,233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71,952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10,009,954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9,626,732</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1,246,182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1,151,432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238,812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589,387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530,787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Securitization facility</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notes payable and other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745,506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38,781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3,500,665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3,296,318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payable and other obligations, less current portion</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2,460,629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2,521,727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666,572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668,580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56,069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3,167,477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3,246,376</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475,000,000 shares authorized; 121,680,903 shares issued and</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92,257,881 shares outstanding at March 31, 2017; and 121,259,960 shares issued and 91,836,938</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outstanding at December 31, 2016</w:t>
            </w: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2,114,560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2,074,094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2,342,414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2,218,721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(666,403)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treasury stock 29,423,022 shares at March 31, 2017 and December 31, 2016, respectively</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3,341,812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3,084,038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10,009,954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9,626,732</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FleetCor Technologies, Inc. and Subsidiaries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7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2016¹</w:t>
            </w:r>
          </w:p>
        </w:tc>
        <w:tc>
          <w:tcPr>
            <w:tcW w:w="0" w:type="dxa"/>
            <w:vAlign w:val="bottom"/>
          </w:tcPr>
          <w:p>
            <w:pPr>
              <w:spacing w:after="0"/>
              <w:rPr>
                <w:sz w:val="1"/>
                <w:szCs w:val="1"/>
                <w:color w:val="auto"/>
              </w:rPr>
            </w:pPr>
          </w:p>
        </w:tc>
      </w:tr>
      <w:tr>
        <w:trPr>
          <w:trHeight w:val="24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414,262</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Merchant commissions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28,233</w:t>
            </w:r>
          </w:p>
        </w:tc>
        <w:tc>
          <w:tcPr>
            <w:tcW w:w="0" w:type="dxa"/>
            <w:vAlign w:val="bottom"/>
          </w:tcPr>
          <w:p>
            <w:pPr>
              <w:spacing w:after="0"/>
              <w:rPr>
                <w:sz w:val="1"/>
                <w:szCs w:val="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Processing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79,814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26,553</w:t>
            </w:r>
          </w:p>
        </w:tc>
        <w:tc>
          <w:tcPr>
            <w:tcW w:w="0" w:type="dxa"/>
            <w:vAlign w:val="bottom"/>
          </w:tcPr>
          <w:p>
            <w:pPr>
              <w:spacing w:after="0"/>
              <w:rPr>
                <w:sz w:val="1"/>
                <w:szCs w:val="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67,594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36,328</w:t>
            </w:r>
          </w:p>
        </w:tc>
        <w:tc>
          <w:tcPr>
            <w:tcW w:w="0" w:type="dxa"/>
            <w:vAlign w:val="bottom"/>
          </w:tcPr>
          <w:p>
            <w:pPr>
              <w:spacing w:after="0"/>
              <w:rPr>
                <w:sz w:val="1"/>
                <w:szCs w:val="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175,955</w:t>
            </w: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16,191</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19,043</w:t>
            </w: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156,912</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45,822</w:t>
            </w: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111,090</w:t>
            </w:r>
          </w:p>
        </w:tc>
        <w:tc>
          <w:tcPr>
            <w:tcW w:w="0" w:type="dxa"/>
            <w:vAlign w:val="bottom"/>
          </w:tcPr>
          <w:p>
            <w:pPr>
              <w:spacing w:after="0"/>
              <w:rPr>
                <w:sz w:val="1"/>
                <w:szCs w:val="1"/>
                <w:color w:val="auto"/>
              </w:rPr>
            </w:pPr>
          </w:p>
        </w:tc>
      </w:tr>
      <w:tr>
        <w:trPr>
          <w:trHeight w:val="67"/>
        </w:trPr>
        <w:tc>
          <w:tcPr>
            <w:tcW w:w="5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67"/>
        </w:trPr>
        <w:tc>
          <w:tcPr>
            <w:tcW w:w="5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92,516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95,030</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1300" w:right="259" w:firstLine="5"/>
        <w:spacing w:after="0" w:line="228" w:lineRule="auto"/>
        <w:tabs>
          <w:tab w:leader="none" w:pos="1408"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Reflects the impact of the Company's adoption of Accounting Standards Update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to simplify several aspects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for share-based compensation, including the income tax consequences.</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121" w:right="1440"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FleetCor Technologies, Inc. and Subsidiaries</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1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33020</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15"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6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24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gains,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6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00" w:type="dxa"/>
            <w:vAlign w:val="bottom"/>
          </w:tcPr>
          <w:p>
            <w:pPr>
              <w:spacing w:after="0"/>
              <w:rPr>
                <w:sz w:val="20"/>
                <w:szCs w:val="20"/>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FleetCor Technologies, Inc. and Subsidiaries</w:t>
      </w:r>
    </w:p>
    <w:p>
      <w:pPr>
        <w:spacing w:after="0" w:line="6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5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123,693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111,090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15,186</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52,654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27,362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premium on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non-cash operating income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23,743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(182,761)</w:t>
            </w: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 accrued expenses and customer deposits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103,711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124,311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122,623</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(payments) on securitization facility,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revolver – A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revolver – A Facility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swing line of credit,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(158,507)</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8,795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475,018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447,152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546,560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399,318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15,310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88,503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FleetCor Technologies, Inc. and Subsidiaries</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203" w:lineRule="exact"/>
        <w:rPr>
          <w:sz w:val="20"/>
          <w:szCs w:val="20"/>
          <w:color w:val="auto"/>
        </w:rPr>
      </w:pPr>
    </w:p>
    <w:p>
      <w:pPr>
        <w:ind w:right="786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primarily of normal recurring accruals and estimates that impact the carrying value of assets and liabilities. Actual results may differ from these estimates. Operating results for the three month period ended March 31, 2017 are not necessarily indicative of the results that may be expected for the year ending December 31, 2017.</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losses of $1.5 million and $0.7 million for the three months ended March 31, 2017 and 2016, respectively, which are recorded within other expense, net in the Unaudited Consolidated Statements of Income. The Company recognized net gains on intra-entity foreign currency transactions that are of a long-term-investment nature of approximately $36 million and $19 million in the three months ended March 31, 2017 and 2016, respectively, in the statements of comprehensive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May 2014, the FASB issued Accounting Standards Codification ("ASC") 606, “Revenue from Contracts with Customers”, which amends the guidance in former ASC 605, Revenue Recognition. This amended guidance requires revenue to be recognized in an amount that reflects the consideration to which the company expects to be entitled for those goods and services when the performance obligation has been satisfied. This amended guidance also requires enhanced disclosures regarding the nature, amount, timing and uncertainty of revenue and related cash flows arising from contracts with customers. In August 2015, the FASB issued ASU 2015-14, “Revenue from Contracts with Customers: Deferral of the Effective Date”, which defers the effective date of the new revenue recognition standard by one year. In March 2016, the FASB issued ASU 2016-08, “Revenue from Contracts with Customers: Principal versus Agent Considerations (Reporting Revenue Gross versus Net)”, which clarifies how an entity should identify the unit of accounting for the principal versus agent evaluation and how it should apply the control principle to certain types of arrangements. In April 2016, the FASB issued ASU 2016-10, "Identifying Performance Obligations and Licensing", which clarifies the accounting for intellectual property licenses and identifying performance obligations. In May 2016, the FASB issued ASU 2016-11, "Rescission of SEC Guidance Because of Accounting Standards Updates 2014-09 and 2014-16 Pursuant to Staff Announcements at the March 3, 2016 EITF Meeting", which rescinds certain SEC guidance in response to announcements made by the SEC staff at the EITF's March 3, 2016 meeting and ASU 2016-12, "Revenue from Contracts with Customers (Topic 606): Narrow-Scope Improvements and Practical Expedients", which clarifies the guidance on collectibility, non-cash consideration, the presentation of sales and other similar taxes collected from customers and contract modifications and completed contracts at transition. Additionally, ASU 2016-12 clarifies that entities electing the full retrospective transition method would no longer be required to disclose the effect of the change in accounting principle on the period of adoption; however, entities would still be required to disclose the effects on preadoption periods that were retrospectively adjusted. These ASUs are effective for the Company for reporting periods beginning after December 15, 2017, but permit companies the option to adopt as of the original effective date. In the first quarter of 2017, the Company continued its assessment of the new standard with a focus on identifying the performance obligations included within its revenue arrangements with customers and evaluating its methods of estimating the amount of and timing of variable consideration. The guidance permits the use of either a retrospective or cumulative effect transition method. The Company anticipates selecting the modified retrospective method, which would result in an adjustment to retained earnings for the cumulative effect, if any, of applying the standard to contracts in process as of the adoption date. Under this method, the Company would not restate the prior financial statements presented; therefore the new standard requires the Company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provide additional disclosures of the amount by which each financial statement line item is affected in the current reporting period during 2018, as compared to the guidance that was in effect before the change, and an explanation of the reasons for significant changes, if any. The Company continues its assessment to evaluate the impact of the provisions of ASC 606 on the results of operations, financial condition, and cash flows. Based upon our assessment to date, which is ongoing, we have not identified significant changes to our current processes, systems and revenue recognition practices.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Leases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The new standard must be adopted using a modified retrospective transition and requires application of the new guidance for leases that exist or are entered into after the beginning of the earliest comparative period presented. The Company is currently evaluating the impact of this ASU on the results of operations, financial condition, or cash flows.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Employee Stock-Based Payment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2016-09, "Compensation-Stock Compensation: Improvements to Employee Share-Based Payment Accounting", which requires excess tax benefits recognized on stock-based compensation expense be reflected in the consolidated statements of operations as a component of the provision for income taxes on a prospective basis. ASU 2016-09 also requires excess tax benefits recognized on stock-based compensation expense be classified as an operating activity in the consolidated statements of cash flows rather than a financing activity. Companies can elect to apply this provision retrospectively or prospectively. ASU 2016-09 also requires entities to elect whether to account for forfeitures as they occur or estimate expected forfeitures over the course of a vesting period. This ASU is effective for the Company for annual periods beginning after December 15, 2016. Early adoption is permitted.</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third quarter of 2016, the Company elected to early adopt ASU 2016-09. The adoption of this ASU resulted in excess tax benefits being recorded as a reduction of income tax expense prospectively for all periods during 2016, rather than additional paid in capital, and an increase in the number of dilutive shares outstanding at the end of each period, which resulted in an increase to diluted earnings per share during the respective period. As required by ASU 2016-09, excess tax benefits recognized on stock-based compensation expense are classified as an operating activity in our consolidated statements of cash flows on a prospective basis within changes in accounts payable, accrued expenses and customer deposits. In accordance with ASU 2016-09, prior periods related to the classification of excess tax benefits have not been adjusted. The Company also elected to account for forfeitures as they occur, rather than estimate expected forfeitures over the course of a vesting period. As a result of the adoption of ASU 2016-09, the net cumulative effect of this change was not material.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impact of retrospectively applying ASU 2016-09 to the previously issued consolidated statements of operations for the three month period ended March 31 (in thousands, except per share amounts):</w:t>
      </w:r>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156,912</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95,030</w:t>
            </w:r>
          </w:p>
        </w:tc>
        <w:tc>
          <w:tcPr>
            <w:tcW w:w="0" w:type="dxa"/>
            <w:vAlign w:val="bottom"/>
          </w:tcPr>
          <w:p>
            <w:pPr>
              <w:spacing w:after="0"/>
              <w:rPr>
                <w:sz w:val="1"/>
                <w:szCs w:val="1"/>
                <w:color w:val="auto"/>
              </w:rPr>
            </w:pPr>
          </w:p>
        </w:tc>
      </w:tr>
      <w:tr>
        <w:trPr>
          <w:trHeight w:val="27"/>
        </w:trPr>
        <w:tc>
          <w:tcPr>
            <w:tcW w:w="5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impact of retrospectively applying this guidance to the Consolidated Statement of Cash flows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(in thousands):</w:t>
      </w: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9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(158,507)</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Breakage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Early adoption is permitted. The ASU must be adopted using either a modified retrospective approach with a cumulative effect adjustment to retained earnings as of the beginning of the period of adoption or a full retrospective approach. The Company’s adoption of this ASU is not expected to have a material impact on the results of operations, financial condition, or cash flows.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Classification</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Early adoption is permitted. Entities must apply the guidance retrospectively to all periods presented but may apply it prospectively from the earliest date practicable if retrospective application would be impracticable. The Company’s adoption of this ASU is not expected to have a material impact on the results of operations, financial condition, or cash flows.</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Early adoption is permitted. If an entity early adopts the amendments in an interim period, any adjustments should be reflected as of the beginning of the fiscal year that includes that interim period. The amendments in this ASU should be applied using a retrospective transition method to each period presented. The Company’s adoption of this ASU is not expected to have a material impact on the results of operations, financial condition, or cash flows.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 Goodwill and Other Impairment</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ASU 2017-04, "Simplifying the Test for Goodwill Impairment, which eliminates the requirement to calculate the implied fair value of goodwill (i.e., Step 2 of the goodwill impairment test) to measure a goodwill impairment charge. Instead, entities will record an impairment charge based on the excess of a reporting unit’s carrying amount</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The Company’s adoption of this ASU is not expected to have a material impact on the results of operations, financial condition,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 Business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business.The guidance also requires a business to include at least one substantive process and narrows the definition of outputs.The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maintains a $950 million revolving trade accounts receivable Securitization Facility. Accounts receivable collateralized within our Securitization Facility relate to trade receivables resulting from charge card activity. Pursuant to the terms of the Securitization Facility, the Company transfers certain of its domestic receivables, on a revolving basis, to FleetCor Funding LLC (Funding) a wholly-owned bankruptcy remote subsidiary. In turn, Funding sells, without recourse, on a revolving basis, up to $950 million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utilizes proceeds from the sale of its accounts receivable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8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receivable and securitized accounts receivable include the following at March 31, 2017 and December 31, 2016 (in thousands):</w:t>
      </w:r>
    </w:p>
    <w:p>
      <w:pPr>
        <w:spacing w:after="0" w:line="187"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50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domestic accounts receivable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529,885</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domestic securitized accounts receivable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591,000</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foreign receivables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772,189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704,630</w:t>
            </w:r>
          </w:p>
        </w:tc>
      </w:tr>
      <w:tr>
        <w:trPr>
          <w:trHeight w:val="23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2,077,818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1,825,515</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(32,506)</w:t>
            </w:r>
          </w:p>
        </w:tc>
      </w:tr>
      <w:tr>
        <w:trPr>
          <w:trHeight w:val="23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and securitized accounts receivable</w:t>
            </w: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2,036,833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1,793,009</w:t>
            </w:r>
          </w:p>
        </w:tc>
      </w:tr>
      <w:tr>
        <w:trPr>
          <w:trHeight w:val="27"/>
        </w:trPr>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Company’s allowance for doubtful accounts related to accounts receivable for three months ended March 31 is as follows (in thousands):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of period</w:t>
            </w:r>
          </w:p>
        </w:tc>
        <w:tc>
          <w:tcPr>
            <w:tcW w:w="214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21,903</w:t>
            </w:r>
          </w:p>
        </w:tc>
        <w:tc>
          <w:tcPr>
            <w:tcW w:w="0" w:type="dxa"/>
            <w:vAlign w:val="bottom"/>
          </w:tcPr>
          <w:p>
            <w:pPr>
              <w:spacing w:after="0"/>
              <w:rPr>
                <w:sz w:val="1"/>
                <w:szCs w:val="1"/>
                <w:color w:val="auto"/>
              </w:rPr>
            </w:pPr>
          </w:p>
        </w:tc>
      </w:tr>
      <w:tr>
        <w:trPr>
          <w:trHeight w:val="243"/>
        </w:trPr>
        <w:tc>
          <w:tcPr>
            <w:tcW w:w="3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Provision for bad debts</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Write-offs</w:t>
            </w:r>
          </w:p>
        </w:tc>
        <w:tc>
          <w:tcPr>
            <w:tcW w:w="1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 of period</w:t>
            </w:r>
          </w:p>
        </w:tc>
        <w:tc>
          <w:tcPr>
            <w:tcW w:w="11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24,033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20" w:type="dxa"/>
            <w:vAlign w:val="bottom"/>
            <w:vMerge w:val="restart"/>
          </w:tcPr>
          <w:p>
            <w:pPr>
              <w:jc w:val="right"/>
              <w:ind w:right="893"/>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receivables are not included in the Company’s accounts receivable securitization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640" w:right="340" w:hanging="321"/>
        <w:spacing w:after="0" w:line="250"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640" w:right="140" w:hanging="321"/>
        <w:spacing w:after="0" w:line="25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3" w:lineRule="exact"/>
        <w:rPr>
          <w:sz w:val="20"/>
          <w:szCs w:val="20"/>
          <w:color w:val="auto"/>
        </w:rPr>
      </w:pPr>
    </w:p>
    <w:p>
      <w:pPr>
        <w:ind w:right="220"/>
        <w:spacing w:after="0" w:line="344"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which are measured at fair values on a recurring basis as of March 31, 2017 and December 31, 2016, (in thousands).</w:t>
      </w:r>
    </w:p>
    <w:p>
      <w:pPr>
        <w:spacing w:after="0" w:line="84"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3"/>
        </w:trPr>
        <w:tc>
          <w:tcPr>
            <w:tcW w:w="3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340,724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3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282,358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highly liquid investments classified as cash equivalents, with original maturities of 90 days or less, included in our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 term nature of these instruments, the carrying value approximates fair value.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2017 and 2016.</w:t>
      </w:r>
    </w:p>
    <w:p>
      <w:pPr>
        <w:spacing w:after="0" w:line="16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that are measured at fair value on a nonrecurring basis and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projections of cash flows upon disposition and discount rates. Accordingly, these fair value measurements are in Level 3 of the fair value hierarchy.</w:t>
      </w:r>
    </w:p>
    <w:p>
      <w:pPr>
        <w:spacing w:after="0" w:line="22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quarterly basis. These are each Level 2 fair value measurements, except for cash, which is a Level 1 fair value measurement.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4, 2016, the Company's Board of Directors approved a stock repurchase program (the "Program") under which the Company may begin purchasing up to an aggregate of $500 million of its common stock over the following 18 month period. 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available cash flow from the business and working capital. Since the beginning of the Program, 1,670,311 shares, for an aggregate purchase price of $240.1 million have been repurchased. There were no shares repurchased under the Program during the three months ended March 31, 2017. In May 2017, the Company repurchased 411,166 common shares totaling $52.4 million under the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48" w:lineRule="exact"/>
        <w:rPr>
          <w:sz w:val="20"/>
          <w:szCs w:val="20"/>
          <w:color w:val="auto"/>
        </w:rPr>
      </w:pPr>
    </w:p>
    <w:p>
      <w:pPr>
        <w:ind w:right="100"/>
        <w:spacing w:after="0" w:line="321" w:lineRule="auto"/>
        <w:rPr>
          <w:sz w:val="20"/>
          <w:szCs w:val="20"/>
          <w:color w:val="auto"/>
        </w:rPr>
      </w:pPr>
      <w:r>
        <w:rPr>
          <w:rFonts w:ascii="Times New Roman" w:cs="Times New Roman" w:eastAsia="Times New Roman" w:hAnsi="Times New Roman"/>
          <w:sz w:val="18"/>
          <w:szCs w:val="18"/>
          <w:color w:val="auto"/>
        </w:rPr>
        <w:t>The Company has Stock Incentive Plans (the Plans) pursuant to which the Company’s board of directors may grant stock options or restricted stock to employees. The table below summarizes the expense recognized related to share-based payments recognized for the three month periods ended March 31 (in thousands):</w:t>
      </w:r>
    </w:p>
    <w:p>
      <w:pPr>
        <w:spacing w:after="0" w:line="90"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33020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5" w:lineRule="exact"/>
        <w:rPr>
          <w:sz w:val="20"/>
          <w:szCs w:val="20"/>
          <w:color w:val="auto"/>
        </w:rPr>
      </w:pPr>
    </w:p>
    <w:tbl>
      <w:tblPr>
        <w:tblLayout w:type="fixed"/>
        <w:tblInd w:w="2020" w:type="dxa"/>
        <w:tblCellMar>
          <w:top w:w="0" w:type="dxa"/>
          <w:left w:w="0" w:type="dxa"/>
          <w:bottom w:w="0" w:type="dxa"/>
          <w:right w:w="0" w:type="dxa"/>
        </w:tblCellMar>
      </w:tblPr>
      <w:tr>
        <w:trPr>
          <w:trHeight w:val="195"/>
        </w:trPr>
        <w:tc>
          <w:tcPr>
            <w:tcW w:w="4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24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21"/>
                <w:szCs w:val="2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tax benefits recorded on stock based compensation were $15.0 million and $6.2 million for the three month periods ended March 31, 2017 and 2016, respectively.</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stock-based compensation as of March 31, 2017 (cost in thousands):</w:t>
      </w:r>
    </w:p>
    <w:p>
      <w:pPr>
        <w:spacing w:after="0" w:line="110"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03"/>
        </w:trPr>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9"/>
              </w:rPr>
              <w:t>Unrecognized</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of Expense</w:t>
            </w:r>
          </w:p>
        </w:tc>
      </w:tr>
      <w:tr>
        <w:trPr>
          <w:trHeight w:val="203"/>
        </w:trPr>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Recognition</w:t>
            </w:r>
          </w:p>
        </w:tc>
      </w:tr>
      <w:tr>
        <w:trPr>
          <w:trHeight w:val="212"/>
        </w:trPr>
        <w:tc>
          <w:tcPr>
            <w:tcW w:w="2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r>
      <w:tr>
        <w:trPr>
          <w:trHeight w:val="33"/>
        </w:trPr>
        <w:tc>
          <w:tcPr>
            <w:tcW w:w="2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9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7"/>
        </w:trPr>
        <w:tc>
          <w:tcPr>
            <w:tcW w:w="2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69"/>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r>
        <w:trPr>
          <w:trHeight w:val="440"/>
        </w:trPr>
        <w:tc>
          <w:tcPr>
            <w:tcW w:w="2660" w:type="dxa"/>
            <w:vAlign w:val="bottom"/>
          </w:tcPr>
          <w:p>
            <w:pPr>
              <w:spacing w:after="0"/>
              <w:rPr>
                <w:sz w:val="24"/>
                <w:szCs w:val="24"/>
                <w:color w:val="auto"/>
              </w:rPr>
            </w:pPr>
          </w:p>
        </w:tc>
        <w:tc>
          <w:tcPr>
            <w:tcW w:w="19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Stock options are granted with an exercise price estimated to be equal to the fair market value of the Company's stock on the date of grant as authorized by the Company’s board of directors. Options granted have vesting provisions ranging from one to six years and vesting of the options is generally based on the passage of time or performance. Stock option grants are subject to forfeiture if employment terminates prior to vesting.</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summarizes the changes in the number of shares of common stock under option for the three month period ended March 31, 2017 (shares and aggregate intrinsic value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Average Fair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End of</w:t>
            </w:r>
          </w:p>
        </w:tc>
        <w:tc>
          <w:tcPr>
            <w:tcW w:w="20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0" w:type="dxa"/>
            <w:vAlign w:val="bottom"/>
          </w:tcPr>
          <w:p>
            <w:pPr>
              <w:spacing w:after="0"/>
              <w:rPr>
                <w:sz w:val="18"/>
                <w:szCs w:val="18"/>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8"/>
                <w:szCs w:val="18"/>
                <w:color w:val="auto"/>
              </w:rPr>
            </w:pPr>
          </w:p>
        </w:tc>
        <w:tc>
          <w:tcPr>
            <w:tcW w:w="16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6,146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91.20</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309,238</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20,443</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142.33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104.65</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350,477</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Expected to vest as of March 31, 2017</w:t>
            </w: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7,491</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exercisable at March 31, 2017 was $330.4 million. The weighted average remaining contractual term of options exercisable at March 31, 2017 was 5.4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granted was estimated using the Black-Scholes option pricing model during the three months ended March 31, 2017 and 2016, with the following weighted-average assumptions for grants or modifications during the period:</w:t>
      </w:r>
    </w:p>
    <w:p>
      <w:pPr>
        <w:spacing w:after="0" w:line="124"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38735</wp:posOffset>
            </wp:positionV>
            <wp:extent cx="2358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80" w:lineRule="exact"/>
        <w:rPr>
          <w:sz w:val="20"/>
          <w:szCs w:val="20"/>
          <w:color w:val="auto"/>
        </w:rPr>
      </w:pPr>
    </w:p>
    <w:tbl>
      <w:tblPr>
        <w:tblLayout w:type="fixed"/>
        <w:tblInd w:w="1740" w:type="dxa"/>
        <w:tblCellMar>
          <w:top w:w="0" w:type="dxa"/>
          <w:left w:w="0" w:type="dxa"/>
          <w:bottom w:w="0" w:type="dxa"/>
          <w:right w:w="0" w:type="dxa"/>
        </w:tblCellMar>
      </w:tblPr>
      <w:tr>
        <w:trPr>
          <w:trHeight w:val="212"/>
        </w:trPr>
        <w:tc>
          <w:tcPr>
            <w:tcW w:w="5360" w:type="dxa"/>
            <w:vAlign w:val="bottom"/>
            <w:gridSpan w:val="2"/>
          </w:tcPr>
          <w:p>
            <w:pPr>
              <w:ind w:left="49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or performance, or a combination of these. Shares vesting based on the passage of time have vesting provisions of one year.</w:t>
      </w:r>
    </w:p>
    <w:p>
      <w:pPr>
        <w:spacing w:after="0" w:line="203" w:lineRule="exact"/>
        <w:rPr>
          <w:sz w:val="20"/>
          <w:szCs w:val="20"/>
          <w:color w:val="auto"/>
        </w:rPr>
      </w:pPr>
    </w:p>
    <w:p>
      <w:pPr>
        <w:ind w:right="100"/>
        <w:spacing w:after="0" w:line="344"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of restricted stock and restricted stock units for the three months ended March 31, 2017 (shares in thousands):</w:t>
      </w:r>
    </w:p>
    <w:p>
      <w:pPr>
        <w:spacing w:after="0" w:line="71"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4240" w:type="dxa"/>
            <w:vAlign w:val="bottom"/>
          </w:tcPr>
          <w:p>
            <w:pPr>
              <w:spacing w:after="0"/>
              <w:rPr>
                <w:sz w:val="18"/>
                <w:szCs w:val="18"/>
                <w:color w:val="auto"/>
              </w:rPr>
            </w:pPr>
          </w:p>
        </w:tc>
        <w:tc>
          <w:tcPr>
            <w:tcW w:w="13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r>
      <w:tr>
        <w:trPr>
          <w:trHeight w:val="243"/>
        </w:trPr>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w:t>
            </w: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43"/>
        </w:trPr>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w:t>
            </w: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Acquisitions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28, 2017, the Company signed a definitive agreement to acquire Cambridge Global Payments (“Cambridge”) for approximately $675 million, a leading business to business (B2B) international payments provider. Cambridge processes over $20 billion in B2B cross-border payments annually, helping 13,000 business clients make international payments to suppliers and employees. The purpose of this acquisition is to further expand the Company's corporate payments footprint. This acquisition is expected to be completed in third quarter of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STP</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31, 2016, the Company acquired all of the outstanding stock of Serviços e Tecnologia de Pagamentos S.A. (“STP”), for approximately $1.23 billion, net of cash acquired of $40.2 million. STP is an electronic toll payments company in Brazil and provides cardless fuel payments at a number of Shell sites throughout Brazil. The purpose of this acquisition was to expand the Company's presence in the toll market in Brazil.The Company financed the acquisition using a combination of existing cash and borrowings under its existing credit facility. Results from the acquired business have been reported in the Company's international segment since the date of acquisition. The following table summarizes the preliminary acquisition accounting for STP (in thousands):</w:t>
      </w:r>
    </w:p>
    <w:p>
      <w:pPr>
        <w:spacing w:after="0" w:line="382"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243,157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6,998</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38,732</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645,766</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and other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584,274</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(315,082)</w:t>
            </w:r>
          </w:p>
        </w:tc>
      </w:tr>
      <w:tr>
        <w:trPr>
          <w:trHeight w:val="27"/>
        </w:trPr>
        <w:tc>
          <w:tcPr>
            <w:tcW w:w="6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1,227,490</w:t>
            </w: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74"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8.5-17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349,310</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 - indefinite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189,547</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0" w:type="dxa"/>
            <w:vAlign w:val="bottom"/>
            <w:tcBorders>
              <w:bottom w:val="single" w:sz="8" w:color="CCEEFF"/>
            </w:tcBorders>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584,274</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STP acquisition, the Company recorded contingent liabilities aggregating $13.5 million in the consolidated balance sheet, recorded within other noncurrent liabilities and accrued expenses in the consolidated balance sheet at the date of acquisition. A portion of these acquired liabilities have been indemnified by the respective sellers. As a result, an indemnification asset of $13.0 million was recorded within prepaid and other current assets and other long term assets in the consolidated balance sheet. The contingent liabilities and the indemnification asset are included in the preliminary acquisition accounting for STP at the date of acquisition. The potential range of acquisition related contingent liabilities that the Company estimates would be incurred and ultimately recoverable is $13.5 million to $18.6 million. Along with the Company's acquisition of STP, the Company signed noncompete agreements with certain parties for approximately $21.6 million.</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purchase price allocation related to this acquisition is preliminary as the Company is still completing the valuation for intangible assets, income taxes, certain acquired contingencies and the working capital adjustment period remains open. Goodwill recognized is comprised primarily of expected synergies from combining the operations of the Company and STP and assembled workforce. The allocation of the goodwill to the reporting units has not been completed. The goodwill and definite lived intangibles acquired with this business is expected to be deductible for tax purposes.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2016, the Company acquired additional fuel card portfolios in the U.S. and the United Kingdom, additional Shell fuel card markets in Europe and Travelcard in the Netherlands totaling approximately $76.7 million, net of cash acquired of $11.1 million. The following table summarizes the preliminary acquisition accounting for these acquisitions (in thousands):</w:t>
      </w:r>
    </w:p>
    <w:p>
      <w:pPr>
        <w:spacing w:after="0" w:line="370"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27,810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5,097</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28,540</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61,823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7"/>
        </w:trPr>
        <w:tc>
          <w:tcPr>
            <w:tcW w:w="6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76,735</w:t>
            </w:r>
          </w:p>
        </w:tc>
      </w:tr>
      <w:tr>
        <w:trPr>
          <w:trHeight w:val="20"/>
        </w:trPr>
        <w:tc>
          <w:tcPr>
            <w:tcW w:w="6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7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Useful Lives (in</w:t>
      </w:r>
    </w:p>
    <w:p>
      <w:pPr>
        <w:spacing w:after="0" w:line="28" w:lineRule="exact"/>
        <w:rPr>
          <w:sz w:val="20"/>
          <w:szCs w:val="20"/>
          <w:color w:val="auto"/>
        </w:rPr>
      </w:pPr>
    </w:p>
    <w:p>
      <w:pPr>
        <w:ind w:left="7720"/>
        <w:spacing w:after="0"/>
        <w:tabs>
          <w:tab w:leader="none" w:pos="9080" w:val="left"/>
        </w:tabs>
        <w:rPr>
          <w:sz w:val="20"/>
          <w:szCs w:val="20"/>
          <w:color w:val="auto"/>
        </w:rPr>
      </w:pPr>
      <w:r>
        <w:rPr>
          <w:rFonts w:ascii="Times New Roman" w:cs="Times New Roman" w:eastAsia="Times New Roman" w:hAnsi="Times New Roman"/>
          <w:sz w:val="16"/>
          <w:szCs w:val="16"/>
          <w:b w:val="1"/>
          <w:bCs w:val="1"/>
          <w:color w:val="auto"/>
        </w:rPr>
        <w:t>Years)</w:t>
      </w:r>
      <w:r>
        <w:rPr>
          <w:sz w:val="20"/>
          <w:szCs w:val="20"/>
          <w:color w:val="auto"/>
        </w:rPr>
        <w:tab/>
      </w:r>
      <w:r>
        <w:rPr>
          <w:rFonts w:ascii="Times New Roman" w:cs="Times New Roman" w:eastAsia="Times New Roman" w:hAnsi="Times New Roman"/>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33020</wp:posOffset>
            </wp:positionV>
            <wp:extent cx="548005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0050" cy="180340"/>
                    </a:xfrm>
                    <a:prstGeom prst="rect">
                      <a:avLst/>
                    </a:prstGeom>
                    <a:noFill/>
                  </pic:spPr>
                </pic:pic>
              </a:graphicData>
            </a:graphic>
          </wp:anchor>
        </w:drawing>
      </w:r>
    </w:p>
    <w:p>
      <w:pPr>
        <w:spacing w:after="0" w:line="54" w:lineRule="exact"/>
        <w:rPr>
          <w:sz w:val="20"/>
          <w:szCs w:val="20"/>
          <w:color w:val="auto"/>
        </w:rPr>
      </w:pPr>
    </w:p>
    <w:p>
      <w:pPr>
        <w:ind w:left="1420"/>
        <w:spacing w:after="0"/>
        <w:tabs>
          <w:tab w:leader="none" w:pos="7340" w:val="left"/>
          <w:tab w:leader="none" w:pos="8560" w:val="left"/>
          <w:tab w:leader="none" w:pos="9440" w:val="left"/>
        </w:tabs>
        <w:rPr>
          <w:sz w:val="20"/>
          <w:szCs w:val="20"/>
          <w:color w:val="auto"/>
        </w:rPr>
      </w:pPr>
      <w:r>
        <w:rPr>
          <w:rFonts w:ascii="Times New Roman" w:cs="Times New Roman" w:eastAsia="Times New Roman" w:hAnsi="Times New Roman"/>
          <w:sz w:val="18"/>
          <w:szCs w:val="18"/>
          <w:color w:val="auto"/>
        </w:rPr>
        <w:t>Customer relationships and other identifiable intangible assets</w:t>
      </w:r>
      <w:r>
        <w:rPr>
          <w:sz w:val="20"/>
          <w:szCs w:val="20"/>
          <w:color w:val="auto"/>
        </w:rPr>
        <w:tab/>
      </w: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34290</wp:posOffset>
            </wp:positionV>
            <wp:extent cx="943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34290</wp:posOffset>
            </wp:positionV>
            <wp:extent cx="943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51435</wp:posOffset>
            </wp:positionV>
            <wp:extent cx="943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other 2016 acquisitions were not material individually or in the aggregate to the Company’s consolidated financial statements. The accounting for certain of these acquisitions is preliminary as the Company is still completing the valuation of intangible assets, income taxes and evaluation of acquired contingencies.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by reportable business segment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366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Dispositions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8"/>
                <w:szCs w:val="18"/>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March 31, 2017</w:t>
            </w:r>
          </w:p>
        </w:tc>
      </w:tr>
      <w:tr>
        <w:trPr>
          <w:trHeight w:val="33"/>
        </w:trPr>
        <w:tc>
          <w:tcPr>
            <w:tcW w:w="3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2,640,409</w:t>
            </w:r>
          </w:p>
        </w:tc>
        <w:tc>
          <w:tcPr>
            <w:tcW w:w="120" w:type="dxa"/>
            <w:vAlign w:val="bottom"/>
          </w:tcPr>
          <w:p>
            <w:pPr>
              <w:spacing w:after="0"/>
              <w:rPr>
                <w:sz w:val="21"/>
                <w:szCs w:val="21"/>
                <w:color w:val="auto"/>
              </w:rPr>
            </w:pP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2,640,409</w:t>
            </w:r>
          </w:p>
        </w:tc>
      </w:tr>
      <w:tr>
        <w:trPr>
          <w:trHeight w:val="27"/>
        </w:trPr>
        <w:tc>
          <w:tcPr>
            <w:tcW w:w="3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1,554,741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45,844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1,587,063</w:t>
            </w:r>
          </w:p>
        </w:tc>
      </w:tr>
      <w:tr>
        <w:trPr>
          <w:trHeight w:val="237"/>
        </w:trPr>
        <w:tc>
          <w:tcPr>
            <w:tcW w:w="366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4,195,150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45,844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4,227,472</w:t>
            </w:r>
          </w:p>
        </w:tc>
      </w:tr>
      <w:tr>
        <w:trPr>
          <w:trHeight w:val="27"/>
        </w:trPr>
        <w:tc>
          <w:tcPr>
            <w:tcW w:w="3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and December 31, 2016, other intangible assets consisted of the following (in thousands):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Lives</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Customer and vendor</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2,471,625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1,972,426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2,449,389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1,991,271</w:t>
            </w:r>
          </w:p>
        </w:tc>
        <w:tc>
          <w:tcPr>
            <w:tcW w:w="0" w:type="dxa"/>
            <w:vAlign w:val="bottom"/>
          </w:tcPr>
          <w:p>
            <w:pPr>
              <w:spacing w:after="0"/>
              <w:rPr>
                <w:sz w:val="1"/>
                <w:szCs w:val="1"/>
                <w:color w:val="auto"/>
              </w:rPr>
            </w:pPr>
          </w:p>
        </w:tc>
      </w:tr>
      <w:tr>
        <w:trPr>
          <w:trHeight w:val="22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trademarks—indefinite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lived</w:t>
            </w: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518,505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510,952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510,952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213,289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211,331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126,164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36,505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24,121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3,242,681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2,633,651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3,209,609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2,653,233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Changes in foreign exchange rates resulted in a $33.1 million increase to the carrying values of other intangible assets in the three months ended March 31, 2017. Amortization expense related to intangible assets for the three months ended March 31, 2017 and 2016 was $52.7 million and $27.4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instruments consist primarily of term notes, revolving lines of credit and a Securitization Facility as follows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notes payable—domestic(a), net of discounts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2,639,279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 Facility—domestic(a)</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Facility—foreign(a)</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 Facility—swing line(a)</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26,608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debt(c)</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12,934</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notes payable and other obligations</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3,192,337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3,267,233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Facility(b)</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591,000</w:t>
            </w:r>
          </w:p>
        </w:tc>
        <w:tc>
          <w:tcPr>
            <w:tcW w:w="0" w:type="dxa"/>
            <w:vAlign w:val="bottom"/>
          </w:tcPr>
          <w:p>
            <w:pPr>
              <w:spacing w:after="0"/>
              <w:rPr>
                <w:sz w:val="1"/>
                <w:szCs w:val="1"/>
                <w:color w:val="auto"/>
              </w:rPr>
            </w:pPr>
          </w:p>
        </w:tc>
      </w:tr>
      <w:tr>
        <w:trPr>
          <w:trHeight w:val="205"/>
        </w:trPr>
        <w:tc>
          <w:tcPr>
            <w:tcW w:w="48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notes payable, credit agreements and Securitization</w:t>
            </w: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3,868,337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3,858,233</w:t>
            </w:r>
          </w:p>
        </w:tc>
        <w:tc>
          <w:tcPr>
            <w:tcW w:w="0" w:type="dxa"/>
            <w:vAlign w:val="bottom"/>
          </w:tcPr>
          <w:p>
            <w:pPr>
              <w:spacing w:after="0"/>
              <w:rPr>
                <w:sz w:val="1"/>
                <w:szCs w:val="1"/>
                <w:color w:val="auto"/>
              </w:rPr>
            </w:pPr>
          </w:p>
        </w:tc>
      </w:tr>
      <w:tr>
        <w:trPr>
          <w:trHeight w:val="281"/>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260" w:type="dxa"/>
            <w:vAlign w:val="bottom"/>
            <w:tcBorders>
              <w:bottom w:val="single" w:sz="8" w:color="auto"/>
            </w:tcBorders>
            <w:vMerge w:val="continue"/>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 portion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1,336,506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2,521,727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notes payable, credit agreements and Securitization</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3,868,337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3,858,233</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2014, the Company entered into a $3.36 billion Credit Agreement, which provides for senior secured credit facilities consisting of</w:t>
      </w:r>
    </w:p>
    <w:p>
      <w:pPr>
        <w:spacing w:after="0" w:line="9" w:lineRule="exact"/>
        <w:rPr>
          <w:rFonts w:ascii="Times New Roman" w:cs="Times New Roman" w:eastAsia="Times New Roman" w:hAnsi="Times New Roman"/>
          <w:sz w:val="18"/>
          <w:szCs w:val="18"/>
          <w:color w:val="auto"/>
        </w:rPr>
      </w:pPr>
    </w:p>
    <w:p>
      <w:pPr>
        <w:ind w:left="5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revolving A credit facility in the amount of $1.0 billion, with sublimits for letters of credit, swing line loans and multi-currency borrowings, (b) a revolving B facility in the amount of $35 million for loans in Australian Dollars or New Zealand Dollars, (c) a term loan A facility in the amount of $2.02 billion and (d) a term loan B facility in the amount of $300 million. On August 22, 2016, the Company entered into the first Amendment to the existing Credit Agreement, which established an incremental term A loan in the amount of $600 million under the Credit Agreement accordion feature. The proceeds from the additional $600 million in term A loans were used to partially finance the STP acquisition. The Amendment also established an accordion feature for borrowing an additional $500 million in term A, term B or revolver A debt. On January 20, 2017, the Company entered into the second amendment to the Credit Agreement, which established a new term B loan (Term B-2 loan) in the amount of $245.0 million to replace the existing Term B loan. Interest on the Term B-2 loan facility accrues based on the Eurocurrency Rate or the Base Rate, except that the applicable margin is fixed at 2.25% for Eurocurrency Loans and at 1.25% for Base Rate Loans. In addition, the Company pays a quarterly commitment fee at a rate per annum ranging from 0.20% to 0.40% of the daily unused portion of the credit facility.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8"/>
          <w:szCs w:val="18"/>
          <w:color w:val="auto"/>
        </w:rPr>
        <w:t>The stated maturity dates for the term A loans, revolving loans, and letters of credit under the Credit Agreement is November 14, 2019 and November 14, 2021 for the term loan B. The Company has unamortized debt discounts of $5.6 million related to the term A facility and $0.9 million related to the term B facility at March 31, 2017.</w:t>
      </w:r>
    </w:p>
    <w:p>
      <w:pPr>
        <w:spacing w:after="0" w:line="2" w:lineRule="exact"/>
        <w:rPr>
          <w:sz w:val="20"/>
          <w:szCs w:val="20"/>
          <w:color w:val="auto"/>
        </w:rPr>
      </w:pPr>
    </w:p>
    <w:p>
      <w:pPr>
        <w:ind w:left="540" w:right="20" w:hanging="316"/>
        <w:spacing w:after="0" w:line="265"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party to a $950 million receivables purchase agreement (Securitization Facility) that was amended and restated on December 1, 2015. There is a program fee equal to one month LIBOR and the Commercial Paper Rate of 0.98% plus 0.90% and 0.85% plus 0.90% as of March 31, 2017 and December 31, 2016, respectively. The unused facility fee is payable at a rate of 0.40% per annum as of March 31, 2017 and December 31, 2016.</w:t>
      </w: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includes the long-term portion of contingent consideration and deferred payments associated with certain of our businesses.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and non-financial covenants at March 31,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amounts computed by applying the U.S. federal tax rate of 35% to income before income taxes for the three months ended March 31, 2017 and 2016 due to the following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right"/>
              <w:ind w:right="1190"/>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5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tax expense at the U.S. federal tax rate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resulting from:</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income tax differential</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taxes net of federal benefits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Foreign-sourced nontaxable income</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43,675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7"/>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adoption of ASU 2016-09, "Compensation-Stock Compensation: Improvements to Employee Share-Based Payment Accounting" resulted in excess tax benefits being recorded as a reduction of income tax expense beginning January 1, 2016, rather than additional paid in capital as discussed in the summary of significant accounting policies footnote.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months ended March 31 (in thousands, except per share data) follows:</w:t>
      </w:r>
    </w:p>
    <w:p>
      <w:pPr>
        <w:spacing w:after="0" w:line="38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33020</wp:posOffset>
            </wp:positionV>
            <wp:extent cx="1972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70" w:lineRule="exact"/>
        <w:rPr>
          <w:sz w:val="20"/>
          <w:szCs w:val="20"/>
          <w:color w:val="auto"/>
        </w:rPr>
      </w:pPr>
    </w:p>
    <w:tbl>
      <w:tblPr>
        <w:tblLayout w:type="fixed"/>
        <w:tblInd w:w="18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0.8 million antidilutive shares during the three month period ended March 31, 2017. Diluted earnings per share for the three month period ended March 31, 2016 excludes the effect of 1.8 million shares of common stock that may be issued upon the exercise of employee stock options because such effect would be antidilutive. Diluted earnings per share also excludes the effect of 0.2 million and 0.3 million shares of performance based restricted stock for which the performance criteria have not yet been achieved for the three month period ended March 31, 2017 and 2016,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There were no inter-segment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 results are as follows for the three month periods ended March 31 (in thousands):</w:t>
      </w:r>
    </w:p>
    <w:p>
      <w:pPr>
        <w:spacing w:after="0" w:line="200" w:lineRule="exact"/>
        <w:rPr>
          <w:sz w:val="20"/>
          <w:szCs w:val="20"/>
          <w:color w:val="auto"/>
        </w:rPr>
      </w:pPr>
    </w:p>
    <w:p>
      <w:pPr>
        <w:spacing w:after="0" w:line="230"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33020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15" w:lineRule="exact"/>
        <w:rPr>
          <w:sz w:val="20"/>
          <w:szCs w:val="20"/>
          <w:color w:val="auto"/>
        </w:rPr>
      </w:pPr>
    </w:p>
    <w:tbl>
      <w:tblPr>
        <w:tblLayout w:type="fixed"/>
        <w:tblInd w:w="2060" w:type="dxa"/>
        <w:tblCellMar>
          <w:top w:w="0" w:type="dxa"/>
          <w:left w:w="0" w:type="dxa"/>
          <w:bottom w:w="0" w:type="dxa"/>
          <w:right w:w="0" w:type="dxa"/>
        </w:tblCellMar>
      </w:tblPr>
      <w:tr>
        <w:trPr>
          <w:trHeight w:val="195"/>
        </w:trPr>
        <w:tc>
          <w:tcPr>
            <w:tcW w:w="4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249"/>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303,548</w:t>
            </w:r>
          </w:p>
        </w:tc>
        <w:tc>
          <w:tcPr>
            <w:tcW w:w="1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0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414,262</w:t>
            </w:r>
          </w:p>
        </w:tc>
        <w:tc>
          <w:tcPr>
            <w:tcW w:w="100" w:type="dxa"/>
            <w:vAlign w:val="bottom"/>
          </w:tcPr>
          <w:p>
            <w:pPr>
              <w:spacing w:after="0"/>
              <w:rPr>
                <w:sz w:val="20"/>
                <w:szCs w:val="20"/>
                <w:color w:val="auto"/>
              </w:rPr>
            </w:pPr>
          </w:p>
        </w:tc>
      </w:tr>
      <w:tr>
        <w:trPr>
          <w:trHeight w:val="67"/>
        </w:trPr>
        <w:tc>
          <w:tcPr>
            <w:tcW w:w="40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31"/>
        </w:trPr>
        <w:tc>
          <w:tcPr>
            <w:tcW w:w="4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113,850</w:t>
            </w:r>
          </w:p>
        </w:tc>
        <w:tc>
          <w:tcPr>
            <w:tcW w:w="1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0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175,955</w:t>
            </w:r>
          </w:p>
        </w:tc>
        <w:tc>
          <w:tcPr>
            <w:tcW w:w="100" w:type="dxa"/>
            <w:vAlign w:val="bottom"/>
          </w:tcPr>
          <w:p>
            <w:pPr>
              <w:spacing w:after="0"/>
              <w:rPr>
                <w:sz w:val="20"/>
                <w:szCs w:val="20"/>
                <w:color w:val="auto"/>
              </w:rPr>
            </w:pPr>
          </w:p>
        </w:tc>
      </w:tr>
      <w:tr>
        <w:trPr>
          <w:trHeight w:val="67"/>
        </w:trPr>
        <w:tc>
          <w:tcPr>
            <w:tcW w:w="40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31"/>
        </w:trPr>
        <w:tc>
          <w:tcPr>
            <w:tcW w:w="4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0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100" w:type="dxa"/>
            <w:vAlign w:val="bottom"/>
          </w:tcPr>
          <w:p>
            <w:pPr>
              <w:spacing w:after="0"/>
              <w:rPr>
                <w:sz w:val="20"/>
                <w:szCs w:val="20"/>
                <w:color w:val="auto"/>
              </w:rPr>
            </w:pPr>
          </w:p>
        </w:tc>
      </w:tr>
      <w:tr>
        <w:trPr>
          <w:trHeight w:val="67"/>
        </w:trPr>
        <w:tc>
          <w:tcPr>
            <w:tcW w:w="40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31"/>
        </w:trPr>
        <w:tc>
          <w:tcPr>
            <w:tcW w:w="4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0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the ordinary course of business, the Company is involved in various pending or threatened legal actions. The Company has recorded reserves for certain legal proceedings. The amounts recorded are estimated and as additional information becomes available, the Company will reassess the potential liability related to legal actions and revise its estimate in the period that information becomes known. In the opinion of management, the amount of ultimate liability, if any, with respect to these actions will not have a material adverse effect on the Company’s consolidated financial position, results of operations, or liquidity.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Assets Held for Sale</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March 3, 2017, the Company signed a definitive agreement to contribute our Stored Value Solutions (SVS) prepaid card services and gift card program management assets into a venture with First Data’s core gift card business, Transactions Wireless, Inc. and Gyft, that will consolidate these various gift solutions to drive new value for clients. First Data will own 57.5% percent of the joint venture and the Company will own 42.5% percent once the venture closes, which is expected in the second half of 2017, subject to customary regulatory approvals.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March 31, 2017, the carrying value of current assets, goodwill and intangibles at SVS is approximately $54.7 million, $183.9 million and $218.0 million, respectively. SVS revenues were $48 million and $42 million in the three months ended March 31, 2017 and 2016. The results of the SVS businesses are included in our North America segment. The results of operations associated with the SVS assets will remain in continuing operations as the contribution of assets does not represent a significant shift in our corporate strategy and does not have a major effect on our operations and financial results.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should also be read in conjunction with the management’s discussion and analysis and consolidated financial statements and related notes included in our Annual Report on Form 10-K for the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Fleetcor is the global leader in workforce payment products. We primarily go to market with our fuel card payments product solutions, corporate payments products, toll products, lodging cards and gift cards. Our products are used in 53 countries around the world, with our primary geographies in the U.S., Brazil and the U.K., which accounted for approximately 92% of our revenue in 2016. Our core products are primarily sold to businesses, retailers, major oil companies and marketers and government entities. Our payment programs enable our customers to better manage and control their commercial payments, card programs, and employee spending and provide card-accepting merchants with a high volume customer base that can increase their sales and customer loyalty. We also provide a suite of fleet related and workforce payment solution products, including mobile telematics services, fleet maintenance management and employee benefit and transportation related payments. In 2016, we processed approximately 2.2 billion transactions on our proprietary networks and third-party networks (which includes approximately 1.3 billion transactions related to our SVS product, acquired with Comdata). We believe that our size and scale, geographic reach, advanced technology and our expansive suite of products, services, brands and proprietary networks contribute to our leading industry position.</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provide our payment products and services in a variety of combinations to create customized payment solutions for our customers and partners. We collectively refer to our suite of product offerings as workforce productivity enhancement products for commercial businesses. We sell a range of customized fleet and lodging payment programs directly and indirectly to our customers through partners, such as major oil companies, leasing companies and petroleum marketers. We refer to these major oil companies, leasing companies, petroleum marketers, value-added resellers (VARs) and other referral partners with whom we have strategic relationships as our “partners.” We provide our customers with various card products that typically function like a charge card to purchase fuel, lodging, food, toll, transportation and related products and services at participating locations. While we refer to companies with whom we have strategic relationships as "partners", our legal relationships with these companies are contractual, and do not constitute legal partnerships.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support our products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In order to deliver our payment programs and services and process transactions, we own and operate proprietary “closed-loop” networks through which we electronically connect to merchants and capture, analyze and report customized information in North America and internationally.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workforce and fleet operating costs. Depending on our customers’ and partners’ needs, we provide these services in a variety of outsourced solutions ranging from a comprehensive “end-to-end” solution (encompassing issuing, processing and network services) to limited back office processing services.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in two segments, which we refer to as our North America and International segments. Our revenue is reported net of the wholesale cost for underlying products and services. In this report, we refer to this net revenue as “revenue.” See “Results of Operations” for additional segment information.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2017 and 2016, our North America and International segments generated the following revenue:</w:t>
      </w:r>
    </w:p>
    <w:p>
      <w:pPr>
        <w:spacing w:after="0" w:line="232"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60" w:type="dxa"/>
            <w:vAlign w:val="bottom"/>
          </w:tcPr>
          <w:p>
            <w:pPr>
              <w:spacing w:after="0"/>
              <w:rPr>
                <w:sz w:val="12"/>
                <w:szCs w:val="12"/>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49"/>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520.4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Net Income and Net Income Per Diluted Share. </w:t>
      </w:r>
      <w:r>
        <w:rPr>
          <w:rFonts w:ascii="Times New Roman" w:cs="Times New Roman" w:eastAsia="Times New Roman" w:hAnsi="Times New Roman"/>
          <w:sz w:val="18"/>
          <w:szCs w:val="18"/>
          <w:color w:val="auto"/>
        </w:rPr>
        <w:t>Set forth below are revenues, net, net income and net income per diluted share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2040" w:type="dxa"/>
        <w:tblCellMar>
          <w:top w:w="0" w:type="dxa"/>
          <w:left w:w="0" w:type="dxa"/>
          <w:bottom w:w="0" w:type="dxa"/>
          <w:right w:w="0" w:type="dxa"/>
        </w:tblCellMar>
      </w:tblP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414,262</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4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In both of our segments, we derive revenue from transactions. As illustrated in the diagram below, a transaction is defined as a purchase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Our customers include holders of our card products and those of our partners, for whom we manage card programs, members of our proprietary networks who are provided access to our products and services and commercial businesses to whom we provide workforce payment productivity solutions. Revenue from transactions is derived from our merchant and network relationships, as well as our customers and partners. Through our merchant and network relationships we primarily offer fuel cards, corporate cards, virtual cards, purchasing cards, T&amp;E cards, gift cards, stored value payroll cards, vehicle maintenance, food, fuel, toll and transportation cards and vouchers and lodging services to our customers.</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a typical transaction flow, for our fuel card, vehicle maintenance, lodging and food, toll and transportation card and voucher products.. This illustration is not applicable to all of our businesses.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Illustrative Transaction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19685</wp:posOffset>
            </wp:positionV>
            <wp:extent cx="5866130" cy="1938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our customers and partners, we derive revenue from a variety of program fees, including transaction fees, card fees, network fees and charges, which can be fixed fees, cost plus a mark-up or based on a percentage discount from retail prices. Our programs include other fees and charges associated with late payments and based on customer credit risk.</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our merchant and network relationships, we derive revenue mostly from the difference between the price charged to a customer for a transaction and the price paid to the merchant or network for the same transaction, as well as network fees and charges in certain businesses. As illustrated in the table below, the price paid to a merchant or network may be calculated as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8"/>
        <w:spacing w:after="0" w:line="282"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merchant’s wholesale cost of the product plus a markup; (ii) the transaction purchase price less a percentage discount; or (iii) the transaction purchase price less a fixed fee per unit.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an illustrative revenue model for transactions with the merchant, which is primarily applicable to fuel based product transactions, but may also be applied to our vehicle maintenance, lodging and food, fuel, toll and transportation card and voucher products, substituting transactions for gallons. This representative model may not include all of our businesses.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Illustrative Revenue Model for Fuel Purchases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 of one gallon)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 Payment Methods</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2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 Cost Plus Mark-up:</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ii) Percentage Discount: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iii) Fixed Fee: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Cost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 Price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 Price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4"/>
        </w:trPr>
        <w:tc>
          <w:tcPr>
            <w:tcW w:w="2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Mark-up</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(3%)</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Fee</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84"/>
        </w:trPr>
        <w:tc>
          <w:tcPr>
            <w:tcW w:w="2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FleetCor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3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520" w:type="dxa"/>
            <w:vAlign w:val="bottom"/>
            <w:tcBorders>
              <w:top w:val="single" w:sz="8" w:color="auto"/>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r>
      <w:tr>
        <w:trPr>
          <w:trHeight w:val="251"/>
        </w:trPr>
        <w:tc>
          <w:tcPr>
            <w:tcW w:w="2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Merchant Commission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Price Paid to Merchant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Price Paid to Merchant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Price Paid to Merchant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1"/>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Price Paid to Merchant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Revenues by geography, product and source. </w:t>
      </w:r>
      <w:r>
        <w:rPr>
          <w:rFonts w:ascii="Times New Roman" w:cs="Times New Roman" w:eastAsia="Times New Roman" w:hAnsi="Times New Roman"/>
          <w:sz w:val="18"/>
          <w:szCs w:val="18"/>
          <w:color w:val="auto"/>
        </w:rPr>
        <w:t>Set forth below are further breakdowns of revenue by geography, product and source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 and 2016 (in millions):</w:t>
      </w:r>
    </w:p>
    <w:p>
      <w:pPr>
        <w:spacing w:after="0" w:line="200" w:lineRule="exact"/>
        <w:rPr>
          <w:sz w:val="20"/>
          <w:szCs w:val="20"/>
          <w:color w:val="auto"/>
        </w:rPr>
      </w:pP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 by Geography*</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3"/>
          </w:tcPr>
          <w:p>
            <w:pPr>
              <w:jc w:val="right"/>
              <w:ind w:right="1064"/>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3"/>
          </w:tcPr>
          <w:p>
            <w:pPr>
              <w:jc w:val="right"/>
              <w:ind w:right="110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gridSpan w:val="2"/>
            <w:vMerge w:val="continue"/>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2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Columns may not calculate due to impact of rounding.</w:t>
      </w:r>
    </w:p>
    <w:p>
      <w:pPr>
        <w:spacing w:after="0" w:line="36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 by Product Category*</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3"/>
          </w:tcPr>
          <w:p>
            <w:pPr>
              <w:jc w:val="right"/>
              <w:ind w:right="114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gridSpan w:val="3"/>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74"/>
              <w:spacing w:after="0" w:line="145"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4"/>
              <w:spacing w:after="0" w:line="145"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02"/>
              <w:spacing w:after="0" w:line="14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600" w:type="dxa"/>
            <w:vAlign w:val="bottom"/>
            <w:gridSpan w:val="2"/>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Fuel cards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Payments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54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Tolls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4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Lodging</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4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Gift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5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Columns may not calculate due to impact of rounding.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Major Sources of Revenue*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right"/>
              <w:ind w:right="116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gridSpan w:val="3"/>
          </w:tcPr>
          <w:p>
            <w:pPr>
              <w:jc w:val="right"/>
              <w:ind w:right="114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283"/>
              <w:spacing w:after="0" w:line="14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7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Processing and program revenue</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gridSpan w:val="2"/>
          </w:tcPr>
          <w:p>
            <w:pPr>
              <w:ind w:left="160"/>
              <w:spacing w:after="0" w:line="270" w:lineRule="exact"/>
              <w:rPr>
                <w:sz w:val="20"/>
                <w:szCs w:val="20"/>
                <w:color w:val="auto"/>
              </w:rPr>
            </w:pPr>
            <w:r>
              <w:rPr>
                <w:rFonts w:ascii="Times New Roman" w:cs="Times New Roman" w:eastAsia="Times New Roman" w:hAnsi="Times New Roman"/>
                <w:sz w:val="18"/>
                <w:szCs w:val="18"/>
                <w:color w:val="auto"/>
              </w:rPr>
              <w:t>Late fees and finance charges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Miscellaneous fees</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gridSpan w:val="2"/>
          </w:tcPr>
          <w:p>
            <w:pPr>
              <w:ind w:left="160"/>
              <w:spacing w:after="0" w:line="270" w:lineRule="exact"/>
              <w:rPr>
                <w:sz w:val="20"/>
                <w:szCs w:val="20"/>
                <w:color w:val="auto"/>
              </w:rPr>
            </w:pPr>
            <w:r>
              <w:rPr>
                <w:rFonts w:ascii="Times New Roman" w:cs="Times New Roman" w:eastAsia="Times New Roman" w:hAnsi="Times New Roman"/>
                <w:sz w:val="18"/>
                <w:szCs w:val="18"/>
                <w:color w:val="auto"/>
              </w:rPr>
              <w:t>Discount revenue (fuel)</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Discount revenue (nonfuel)</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gridSpan w:val="2"/>
          </w:tcPr>
          <w:p>
            <w:pPr>
              <w:ind w:left="160"/>
              <w:spacing w:after="0" w:line="270" w:lineRule="exact"/>
              <w:rPr>
                <w:sz w:val="20"/>
                <w:szCs w:val="20"/>
                <w:color w:val="auto"/>
              </w:rPr>
            </w:pPr>
            <w:r>
              <w:rPr>
                <w:rFonts w:ascii="Times New Roman" w:cs="Times New Roman" w:eastAsia="Times New Roman" w:hAnsi="Times New Roman"/>
                <w:sz w:val="18"/>
                <w:szCs w:val="18"/>
                <w:color w:val="auto"/>
              </w:rPr>
              <w:t>Tied to fuel-price spreads</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Program revenue</w:t>
            </w:r>
            <w:r>
              <w:rPr>
                <w:rFonts w:ascii="Times New Roman" w:cs="Times New Roman" w:eastAsia="Times New Roman" w:hAnsi="Times New Roman"/>
                <w:sz w:val="25"/>
                <w:szCs w:val="25"/>
                <w:color w:val="auto"/>
                <w:vertAlign w:val="superscript"/>
              </w:rPr>
              <w:t>7</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180" w:right="500"/>
        <w:spacing w:after="0" w:line="24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spacing w:after="0" w:line="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Fees for late payment and interest charges for carrying a balance charged to a customer.</w:t>
      </w:r>
    </w:p>
    <w:p>
      <w:pPr>
        <w:spacing w:after="0" w:line="27" w:lineRule="exact"/>
        <w:rPr>
          <w:sz w:val="20"/>
          <w:szCs w:val="20"/>
          <w:color w:val="auto"/>
        </w:rPr>
      </w:pPr>
    </w:p>
    <w:p>
      <w:pPr>
        <w:ind w:left="1180" w:right="460"/>
        <w:spacing w:after="0" w:line="22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Non-standard fees charged to customers based on customer behavior or optional participation, primarily including high credit risk surcharges, over credit limit charges, minimum processing fees, printing and mailing fees, environmental fees, etc.</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Interchange revenue directly influenced by the absolute price of fuel and other interchange related to fuel products.</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Interchange revenue related to nonfuel products.</w:t>
      </w:r>
    </w:p>
    <w:p>
      <w:pPr>
        <w:spacing w:after="0" w:line="15" w:lineRule="exact"/>
        <w:rPr>
          <w:sz w:val="20"/>
          <w:szCs w:val="20"/>
          <w:color w:val="auto"/>
        </w:rPr>
      </w:pPr>
    </w:p>
    <w:p>
      <w:pPr>
        <w:ind w:left="1180" w:right="440"/>
        <w:spacing w:after="0" w:line="226"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Revenue derived from the difference between the price charged to a fleet customer for a transaction and the price paid to the merchant for the same transaction.</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6"/>
          <w:szCs w:val="16"/>
          <w:color w:val="auto"/>
        </w:rPr>
        <w:t>Revenue derived primarily from the sale of equipment, software and related maintenance to merchants.</w:t>
      </w:r>
    </w:p>
    <w:p>
      <w:pPr>
        <w:spacing w:after="0" w:line="33" w:lineRule="exact"/>
        <w:rPr>
          <w:sz w:val="20"/>
          <w:szCs w:val="20"/>
          <w:color w:val="auto"/>
        </w:rPr>
      </w:pPr>
    </w:p>
    <w:p>
      <w:pPr>
        <w:ind w:left="1180" w:right="380"/>
        <w:spacing w:after="0" w:line="275" w:lineRule="auto"/>
        <w:rPr>
          <w:sz w:val="20"/>
          <w:szCs w:val="20"/>
          <w:color w:val="auto"/>
        </w:rPr>
      </w:pPr>
      <w:r>
        <w:rPr>
          <w:rFonts w:ascii="Times New Roman" w:cs="Times New Roman" w:eastAsia="Times New Roman" w:hAnsi="Times New Roman"/>
          <w:sz w:val="16"/>
          <w:szCs w:val="16"/>
          <w:color w:val="auto"/>
        </w:rPr>
        <w:t>*We may not be able to precisely calculate revenue by source, as certain estimates were made in these allocations. Columns may not calculate due to impact of rounding.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per transaction. </w:t>
      </w:r>
      <w:r>
        <w:rPr>
          <w:rFonts w:ascii="Times New Roman" w:cs="Times New Roman" w:eastAsia="Times New Roman" w:hAnsi="Times New Roman"/>
          <w:sz w:val="18"/>
          <w:szCs w:val="18"/>
          <w:color w:val="auto"/>
        </w:rPr>
        <w:t>Set forth below is revenue per transaction information for the three months ended March 31, 2017 and 2016:</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r>
      <w:tr>
        <w:trPr>
          <w:trHeight w:val="249"/>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Transactions (in millions)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transactions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tcPr>
          <w:p>
            <w:pPr>
              <w:spacing w:after="0"/>
              <w:rPr>
                <w:sz w:val="20"/>
                <w:szCs w:val="20"/>
                <w:color w:val="auto"/>
              </w:rPr>
            </w:pPr>
          </w:p>
        </w:tc>
      </w:tr>
      <w:tr>
        <w:trPr>
          <w:trHeight w:val="67"/>
        </w:trPr>
        <w:tc>
          <w:tcPr>
            <w:tcW w:w="45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31"/>
        </w:trPr>
        <w:tc>
          <w:tcPr>
            <w:tcW w:w="45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per transaction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 per transaction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21"/>
                <w:szCs w:val="2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2017, total transactions increased from 487.0 million to 744.9 million, an increase of 257.9 million, or 52.9%. North American segment transactions increased approximately 9% in the three months ended March 31, 2017 as compared to 2016 due primarily to growth in our SVS and fuel card businesses. Transaction volumes in our international segment increased by 415.6% over the comparable period in 2016, primarily due to the acquisition of STP and Travelcard during the third quarter of 2016.</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121" w:right="4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Set forth below is further breakdown of revenue and revenue per transaction, by product category for the three months ended March 31, 2017 and 2016 (in millions except revenues, net per transaction):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and Macro Adjusted</w:t>
            </w:r>
            <w:r>
              <w:rPr>
                <w:rFonts w:ascii="Times New Roman" w:cs="Times New Roman" w:eastAsia="Times New Roman" w:hAnsi="Times New Roman"/>
                <w:sz w:val="21"/>
                <w:szCs w:val="21"/>
                <w:b w:val="1"/>
                <w:bCs w:val="1"/>
                <w:color w:val="auto"/>
                <w:vertAlign w:val="superscript"/>
              </w:rPr>
              <w:t>2</w:t>
            </w:r>
          </w:p>
        </w:tc>
      </w:tr>
      <w:tr>
        <w:trPr>
          <w:trHeight w:val="245"/>
        </w:trPr>
        <w:tc>
          <w:tcPr>
            <w:tcW w:w="4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7"/>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69"/>
        </w:trPr>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23"/>
                <w:szCs w:val="23"/>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r>
              <w:rPr>
                <w:rFonts w:ascii="Times New Roman" w:cs="Times New Roman" w:eastAsia="Times New Roman" w:hAnsi="Times New Roman"/>
                <w:sz w:val="21"/>
                <w:szCs w:val="21"/>
                <w:b w:val="1"/>
                <w:bCs w:val="1"/>
                <w:color w:val="auto"/>
                <w:vertAlign w:val="superscript"/>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2016</w:t>
            </w:r>
            <w:r>
              <w:rPr>
                <w:rFonts w:ascii="Times New Roman" w:cs="Times New Roman" w:eastAsia="Times New Roman" w:hAnsi="Times New Roman"/>
                <w:sz w:val="21"/>
                <w:szCs w:val="21"/>
                <w:b w:val="1"/>
                <w:bCs w:val="1"/>
                <w:color w:val="auto"/>
                <w:vertAlign w:val="superscript"/>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278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FUEL CARDS</w:t>
            </w:r>
          </w:p>
        </w:tc>
        <w:tc>
          <w:tcPr>
            <w:tcW w:w="16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0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1760" w:type="dxa"/>
            <w:vAlign w:val="bottom"/>
            <w:tcBorders>
              <w:top w:val="single" w:sz="8" w:color="CCEEFF"/>
            </w:tcBorders>
            <w:gridSpan w:val="3"/>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shd w:val="clear" w:color="auto" w:fill="CCEEFF"/>
          </w:tcPr>
          <w:p>
            <w:pPr>
              <w:spacing w:after="0"/>
              <w:rPr>
                <w:sz w:val="21"/>
                <w:szCs w:val="21"/>
                <w:color w:val="auto"/>
              </w:rPr>
            </w:pPr>
          </w:p>
        </w:tc>
        <w:tc>
          <w:tcPr>
            <w:tcW w:w="27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 PAYMENTS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9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84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TOLLS</w:t>
            </w:r>
          </w:p>
        </w:tc>
        <w:tc>
          <w:tcPr>
            <w:tcW w:w="2240" w:type="dxa"/>
            <w:vAlign w:val="bottom"/>
            <w:tcBorders>
              <w:bottom w:val="single" w:sz="8" w:color="CCEEFF"/>
            </w:tcBorders>
            <w:gridSpan w:val="7"/>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LODGING</w:t>
            </w:r>
          </w:p>
        </w:tc>
        <w:tc>
          <w:tcPr>
            <w:tcW w:w="2000" w:type="dxa"/>
            <w:vAlign w:val="bottom"/>
            <w:tcBorders>
              <w:bottom w:val="single" w:sz="8" w:color="CCEEFF"/>
            </w:tcBorders>
            <w:gridSpan w:val="5"/>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GIFT</w:t>
            </w:r>
          </w:p>
        </w:tc>
        <w:tc>
          <w:tcPr>
            <w:tcW w:w="2380" w:type="dxa"/>
            <w:vAlign w:val="bottom"/>
            <w:tcBorders>
              <w:bottom w:val="single" w:sz="8" w:color="CCEEFF"/>
            </w:tcBorders>
            <w:gridSpan w:val="8"/>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2780" w:type="dxa"/>
            <w:vAlign w:val="bottom"/>
            <w:gridSpan w:val="9"/>
            <w:shd w:val="clear" w:color="auto" w:fill="CCEEFF"/>
          </w:tcPr>
          <w:p>
            <w:pPr>
              <w:spacing w:after="0" w:line="203"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27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FLEETCOR CONSOLIDATED</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gridSpan w:val="5"/>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w w:val="98"/>
              </w:rPr>
              <w:t>REVENUES</w:t>
            </w:r>
          </w:p>
        </w:tc>
        <w:tc>
          <w:tcPr>
            <w:tcW w:w="1340" w:type="dxa"/>
            <w:vAlign w:val="bottom"/>
            <w:tcBorders>
              <w:top w:val="single" w:sz="8" w:color="auto"/>
              <w:bottom w:val="single" w:sz="8" w:color="CCEEFF"/>
            </w:tcBorders>
            <w:gridSpan w:val="3"/>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37"/>
        </w:trPr>
        <w:tc>
          <w:tcPr>
            <w:tcW w:w="40" w:type="dxa"/>
            <w:vAlign w:val="bottom"/>
          </w:tcPr>
          <w:p>
            <w:pPr>
              <w:spacing w:after="0"/>
              <w:rPr>
                <w:sz w:val="20"/>
                <w:szCs w:val="20"/>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507.6</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1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Other includes telematics, maintenance, food and transportation related businesses.</w:t>
      </w:r>
    </w:p>
    <w:p>
      <w:pPr>
        <w:ind w:right="60"/>
        <w:spacing w:after="0" w:line="223"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Pro forma and macro adjusted revenue is a non-GAAP financial measure defined as revenues, net adjusted for the impact of the macroeconomic environment and acquisitions and dispositions and other one-time items. We use pro forma and macro adjusted revenue as a basis to evaluate our organic growth. See the heading entitled “Management’s Use of Non-GAAP Financial Measures” for reconciliation of revenue, net to pro forma and macro adjusted revenue, net.</w:t>
      </w:r>
    </w:p>
    <w:p>
      <w:pPr>
        <w:spacing w:after="0" w:line="1" w:lineRule="exact"/>
        <w:rPr>
          <w:sz w:val="20"/>
          <w:szCs w:val="20"/>
          <w:color w:val="auto"/>
        </w:rPr>
      </w:pPr>
    </w:p>
    <w:p>
      <w:pPr>
        <w:ind w:right="100"/>
        <w:spacing w:after="0" w:line="213"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2017 is adjusted to remove the impact of changes in the macroeconomic environment to be consistent with the same period of prior year, using constant fuel prices, fuel price spreads and foreign exchange rates.</w:t>
      </w:r>
    </w:p>
    <w:p>
      <w:pPr>
        <w:spacing w:after="0" w:line="194"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2016 is pro forma to include acquisitions and exclude dispositions consistent with 2017 ownership. 2016 also includes an approximately $6 million one-time true-up.</w:t>
      </w: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_________________________________________________________________________________________________________________</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expenses in the following categories:</w:t>
      </w:r>
    </w:p>
    <w:p>
      <w:pPr>
        <w:spacing w:after="0" w:line="129" w:lineRule="exact"/>
        <w:rPr>
          <w:sz w:val="20"/>
          <w:szCs w:val="20"/>
          <w:color w:val="auto"/>
        </w:rPr>
      </w:pPr>
    </w:p>
    <w:p>
      <w:pPr>
        <w:ind w:left="640" w:right="300" w:hanging="321"/>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Merchant commissions</w:t>
      </w:r>
      <w:r>
        <w:rPr>
          <w:rFonts w:ascii="Times New Roman" w:cs="Times New Roman" w:eastAsia="Times New Roman" w:hAnsi="Times New Roman"/>
          <w:sz w:val="18"/>
          <w:szCs w:val="18"/>
          <w:color w:val="auto"/>
        </w:rPr>
        <w:t>—In certain of our card programs, we incur merchant commissions expense when we reimburse merchants with whom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w:t>
      </w:r>
    </w:p>
    <w:p>
      <w:pPr>
        <w:sectPr>
          <w:pgSz w:w="11900" w:h="16838" w:orient="portrait"/>
          <w:cols w:equalWidth="0" w:num="1">
            <w:col w:w="11420"/>
          </w:cols>
          <w:pgMar w:left="240" w:top="121" w:right="239" w:bottom="995"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995"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4" w:lineRule="exact"/>
        <w:rPr>
          <w:sz w:val="20"/>
          <w:szCs w:val="20"/>
          <w:color w:val="auto"/>
        </w:rPr>
      </w:pPr>
    </w:p>
    <w:p>
      <w:pPr>
        <w:ind w:left="640" w:right="520" w:hanging="32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Processing</w:t>
      </w:r>
      <w:r>
        <w:rPr>
          <w:rFonts w:ascii="Times New Roman" w:cs="Times New Roman" w:eastAsia="Times New Roman" w:hAnsi="Times New Roman"/>
          <w:sz w:val="18"/>
          <w:szCs w:val="18"/>
          <w:color w:val="auto"/>
        </w:rPr>
        <w:t>—Our processing expense consists of expenses related to processing transactions, servicing our customers and merchants,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and cost of goods sold related to our hardware sales in certain businesses.</w:t>
      </w:r>
    </w:p>
    <w:p>
      <w:pPr>
        <w:spacing w:after="0" w:line="1" w:lineRule="exact"/>
        <w:rPr>
          <w:rFonts w:ascii="Times New Roman" w:cs="Times New Roman" w:eastAsia="Times New Roman" w:hAnsi="Times New Roman"/>
          <w:sz w:val="18"/>
          <w:szCs w:val="18"/>
          <w:color w:val="auto"/>
        </w:rPr>
      </w:pPr>
    </w:p>
    <w:p>
      <w:pPr>
        <w:ind w:left="640" w:right="160" w:hanging="32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—Our selling expenses consist primarily of wages, benefits, sales commissions (other than merchant commissions) and related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marketing and account management personnel and activities.</w:t>
      </w:r>
    </w:p>
    <w:p>
      <w:pPr>
        <w:spacing w:after="0" w:line="1" w:lineRule="exact"/>
        <w:rPr>
          <w:rFonts w:ascii="Times New Roman" w:cs="Times New Roman" w:eastAsia="Times New Roman" w:hAnsi="Times New Roman"/>
          <w:sz w:val="18"/>
          <w:szCs w:val="18"/>
          <w:color w:val="auto"/>
        </w:rPr>
      </w:pPr>
    </w:p>
    <w:p>
      <w:pPr>
        <w:ind w:left="640" w:right="100" w:hanging="321"/>
        <w:spacing w:after="0" w:line="26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—Our general and administrative expenses include compensation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our executives,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11" w:lineRule="exact"/>
        <w:rPr>
          <w:rFonts w:ascii="Times New Roman" w:cs="Times New Roman" w:eastAsia="Times New Roman" w:hAnsi="Times New Roman"/>
          <w:sz w:val="18"/>
          <w:szCs w:val="18"/>
          <w:color w:val="auto"/>
        </w:rPr>
      </w:pPr>
    </w:p>
    <w:p>
      <w:pPr>
        <w:ind w:left="640" w:right="60" w:hanging="321"/>
        <w:spacing w:after="0" w:line="259"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—Our depreciation expenses include depreciation of property and equipment, consisting of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net</w:t>
      </w:r>
      <w:r>
        <w:rPr>
          <w:rFonts w:ascii="Times New Roman" w:cs="Times New Roman" w:eastAsia="Times New Roman" w:hAnsi="Times New Roman"/>
          <w:sz w:val="18"/>
          <w:szCs w:val="18"/>
          <w:color w:val="auto"/>
        </w:rPr>
        <w:t>—Our other operating, net includes other operating expenses and income items unusual to the period and presented separately.</w:t>
      </w:r>
    </w:p>
    <w:p>
      <w:pPr>
        <w:spacing w:after="0" w:line="63" w:lineRule="exact"/>
        <w:rPr>
          <w:rFonts w:ascii="Times New Roman" w:cs="Times New Roman" w:eastAsia="Times New Roman" w:hAnsi="Times New Roman"/>
          <w:sz w:val="18"/>
          <w:szCs w:val="18"/>
          <w:color w:val="auto"/>
        </w:rPr>
      </w:pPr>
    </w:p>
    <w:p>
      <w:pPr>
        <w:ind w:left="640" w:hanging="32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method investment loss</w:t>
      </w:r>
      <w:r>
        <w:rPr>
          <w:rFonts w:ascii="Times New Roman" w:cs="Times New Roman" w:eastAsia="Times New Roman" w:hAnsi="Times New Roman"/>
          <w:sz w:val="18"/>
          <w:szCs w:val="18"/>
          <w:color w:val="auto"/>
        </w:rPr>
        <w:t>—Our equity method investment results relate to our minority interest in Masternaut, a provider of telematics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 fleets in Europe, which we account for using the equity method.</w:t>
      </w:r>
    </w:p>
    <w:p>
      <w:pPr>
        <w:spacing w:after="0" w:line="1" w:lineRule="exact"/>
        <w:rPr>
          <w:rFonts w:ascii="Times New Roman" w:cs="Times New Roman" w:eastAsia="Times New Roman" w:hAnsi="Times New Roman"/>
          <w:sz w:val="18"/>
          <w:szCs w:val="18"/>
          <w:color w:val="auto"/>
        </w:rPr>
      </w:pPr>
    </w:p>
    <w:p>
      <w:pPr>
        <w:ind w:left="640" w:right="100" w:hanging="32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—Our other expense (income), net includes foreign currency transaction gains or losses, proceeds/costs from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other miscellaneous operating costs and revenue.</w:t>
      </w:r>
    </w:p>
    <w:p>
      <w:pPr>
        <w:spacing w:after="0" w:line="1" w:lineRule="exact"/>
        <w:rPr>
          <w:rFonts w:ascii="Times New Roman" w:cs="Times New Roman" w:eastAsia="Times New Roman" w:hAnsi="Times New Roman"/>
          <w:sz w:val="18"/>
          <w:szCs w:val="18"/>
          <w:color w:val="auto"/>
        </w:rPr>
      </w:pPr>
    </w:p>
    <w:p>
      <w:pPr>
        <w:ind w:left="640" w:right="200" w:hanging="32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—Our interest expense, net includes interest income on our cash balances and interest expense on our outstanding debt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Securitization Facility. We have historically invested our cash primarily in short-term money market funds.</w:t>
      </w:r>
    </w:p>
    <w:p>
      <w:pPr>
        <w:spacing w:after="0" w:line="1" w:lineRule="exact"/>
        <w:rPr>
          <w:rFonts w:ascii="Times New Roman" w:cs="Times New Roman" w:eastAsia="Times New Roman" w:hAnsi="Times New Roman"/>
          <w:sz w:val="18"/>
          <w:szCs w:val="18"/>
          <w:color w:val="auto"/>
        </w:rPr>
      </w:pPr>
    </w:p>
    <w:p>
      <w:pPr>
        <w:ind w:left="640" w:right="80" w:hanging="321"/>
        <w:spacing w:after="0" w:line="28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—Our provision for income taxes consists primarily of corporate income taxes related to profits resulting from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and services in the United States and internationally.</w:t>
      </w:r>
    </w:p>
    <w:p>
      <w:pPr>
        <w:spacing w:after="0" w:line="15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Revenues, Adjusted Net Income and Adjusted Net Income Per Diluted Share. </w:t>
      </w:r>
      <w:r>
        <w:rPr>
          <w:rFonts w:ascii="Times New Roman" w:cs="Times New Roman" w:eastAsia="Times New Roman" w:hAnsi="Times New Roman"/>
          <w:sz w:val="18"/>
          <w:szCs w:val="18"/>
          <w:color w:val="auto"/>
        </w:rPr>
        <w:t>Set forth below are adjusted revenues, adjusted net income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net income per diluted share for the three months ended March 31,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r>
      <w:tr>
        <w:trPr>
          <w:trHeight w:val="24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145,689</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r>
      <w:tr>
        <w:trPr>
          <w:trHeight w:val="27"/>
        </w:trPr>
        <w:tc>
          <w:tcPr>
            <w:tcW w:w="4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use adjusted revenues as a basis to evaluate our revenues, net of the commissions that are paid to merchants that participate in certain of our card programs. The commissions paid to merchants can vary when market spreads fluctuate in much the same way as revenues are impacted when market spreads fluctuate. Thus, we believe this is a effective way to evaluate our revenue performance on a consistent basis. We use adjusted net income and adjusted net income per diluted share to eliminate the effect of items that we do not consider indicative of our core operating performance on a consistent basis. Adjusted revenues, adjusted net income and adjusted net income per diluted share are supplemental non-GAAP financial measures of operating performance. See the heading entitled “Management’s Use of Non-GAAP Financial Measures.”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and trends are important in understanding our financial performance:</w:t>
      </w:r>
    </w:p>
    <w:p>
      <w:pPr>
        <w:spacing w:after="0" w:line="183" w:lineRule="exact"/>
        <w:rPr>
          <w:sz w:val="20"/>
          <w:szCs w:val="20"/>
          <w:color w:val="auto"/>
        </w:rPr>
      </w:pPr>
    </w:p>
    <w:p>
      <w:pPr>
        <w:ind w:left="640" w:right="120" w:hanging="321"/>
        <w:spacing w:after="0" w:line="259"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Fuel prices</w:t>
      </w:r>
      <w:r>
        <w:rPr>
          <w:rFonts w:ascii="Times New Roman" w:cs="Times New Roman" w:eastAsia="Times New Roman" w:hAnsi="Times New Roman"/>
          <w:sz w:val="18"/>
          <w:szCs w:val="18"/>
          <w:color w:val="auto"/>
        </w:rPr>
        <w:t>—Our fleet customers use our products and services primarily in connection with the purchase of fuel. Accordingly, our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See “Sources of Revenue” above for further information related to the absolute price of fuel.</w:t>
      </w:r>
    </w:p>
    <w:p>
      <w:pPr>
        <w:spacing w:after="0" w:line="17" w:lineRule="exact"/>
        <w:rPr>
          <w:rFonts w:ascii="Times New Roman" w:cs="Times New Roman" w:eastAsia="Times New Roman" w:hAnsi="Times New Roman"/>
          <w:sz w:val="18"/>
          <w:szCs w:val="18"/>
          <w:color w:val="auto"/>
        </w:rPr>
      </w:pPr>
    </w:p>
    <w:p>
      <w:pPr>
        <w:ind w:left="640" w:right="380" w:hanging="321"/>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Fuel-price spread volatility</w:t>
      </w:r>
      <w:r>
        <w:rPr>
          <w:rFonts w:ascii="Times New Roman" w:cs="Times New Roman" w:eastAsia="Times New Roman" w:hAnsi="Times New Roman"/>
          <w:sz w:val="18"/>
          <w:szCs w:val="18"/>
          <w:color w:val="auto"/>
        </w:rPr>
        <w:t>—A portion of our revenue involves transactions where we derive revenue from fuel-price spreads,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40" w:right="60"/>
        <w:spacing w:after="0" w:line="322" w:lineRule="auto"/>
        <w:rPr>
          <w:sz w:val="20"/>
          <w:szCs w:val="20"/>
          <w:color w:val="auto"/>
        </w:rPr>
      </w:pPr>
      <w:r>
        <w:rPr>
          <w:rFonts w:ascii="Times New Roman" w:cs="Times New Roman" w:eastAsia="Times New Roman" w:hAnsi="Times New Roman"/>
          <w:sz w:val="17"/>
          <w:szCs w:val="17"/>
          <w:color w:val="auto"/>
        </w:rPr>
        <w:t>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2" w:lineRule="exact"/>
        <w:rPr>
          <w:sz w:val="20"/>
          <w:szCs w:val="20"/>
          <w:color w:val="auto"/>
        </w:rPr>
      </w:pPr>
    </w:p>
    <w:p>
      <w:pPr>
        <w:ind w:left="640" w:right="60" w:hanging="321"/>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—Since 2002, we have completed over 70 acquisitions of companies and commercial account portfolios. Acquisitions have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17" w:lineRule="exact"/>
        <w:rPr>
          <w:rFonts w:ascii="Times New Roman" w:cs="Times New Roman" w:eastAsia="Times New Roman" w:hAnsi="Times New Roman"/>
          <w:sz w:val="18"/>
          <w:szCs w:val="18"/>
          <w:color w:val="auto"/>
        </w:rPr>
      </w:pPr>
    </w:p>
    <w:p>
      <w:pPr>
        <w:ind w:left="640" w:right="680" w:hanging="321"/>
        <w:spacing w:after="0" w:line="28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rates</w:t>
      </w:r>
      <w:r>
        <w:rPr>
          <w:rFonts w:ascii="Times New Roman" w:cs="Times New Roman" w:eastAsia="Times New Roman" w:hAnsi="Times New Roman"/>
          <w:sz w:val="18"/>
          <w:szCs w:val="18"/>
          <w:color w:val="auto"/>
        </w:rPr>
        <w:t>—Our results of operations are affected by interest rates. We are exposed to market risk to changes in interest rates on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and debt.</w:t>
      </w:r>
    </w:p>
    <w:p>
      <w:pPr>
        <w:spacing w:after="0" w:line="1" w:lineRule="exact"/>
        <w:rPr>
          <w:rFonts w:ascii="Times New Roman" w:cs="Times New Roman" w:eastAsia="Times New Roman" w:hAnsi="Times New Roman"/>
          <w:sz w:val="18"/>
          <w:szCs w:val="18"/>
          <w:color w:val="auto"/>
        </w:rPr>
      </w:pPr>
    </w:p>
    <w:p>
      <w:pPr>
        <w:ind w:left="640" w:right="200" w:hanging="321"/>
        <w:spacing w:after="0" w:line="26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economic conditions</w:t>
      </w:r>
      <w:r>
        <w:rPr>
          <w:rFonts w:ascii="Times New Roman" w:cs="Times New Roman" w:eastAsia="Times New Roman" w:hAnsi="Times New Roman"/>
          <w:sz w:val="18"/>
          <w:szCs w:val="18"/>
          <w:color w:val="auto"/>
        </w:rPr>
        <w:t>—Our results of operations are materially affected by conditions in the economy generally, both in North America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internationally. Factors affected by the economy include our transaction volumes and the credit risk of our customers. These factors affected our businesses in both our North America and International segments.</w:t>
      </w:r>
    </w:p>
    <w:p>
      <w:pPr>
        <w:spacing w:after="0" w:line="11" w:lineRule="exact"/>
        <w:rPr>
          <w:rFonts w:ascii="Times New Roman" w:cs="Times New Roman" w:eastAsia="Times New Roman" w:hAnsi="Times New Roman"/>
          <w:sz w:val="18"/>
          <w:szCs w:val="18"/>
          <w:color w:val="auto"/>
        </w:rPr>
      </w:pPr>
    </w:p>
    <w:p>
      <w:pPr>
        <w:ind w:left="640" w:right="40" w:hanging="321"/>
        <w:spacing w:after="0" w:line="259"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changes</w:t>
      </w:r>
      <w:r>
        <w:rPr>
          <w:rFonts w:ascii="Times New Roman" w:cs="Times New Roman" w:eastAsia="Times New Roman" w:hAnsi="Times New Roman"/>
          <w:sz w:val="18"/>
          <w:szCs w:val="18"/>
          <w:color w:val="auto"/>
        </w:rPr>
        <w:t>—Our results of operations are significantly impacted by changes in foreign currency rates; namely, by movements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Australian dollar, Brazilian real, British pound, Canadian dollar, Czech koruna, Euro, Mexican peso, New Zealand dollar and Russian ruble, relative to the U.S. dollar. Approximately 63% and 73% of our revenue in the three months ended March 31, 2017 and 2016, respectively, was derived in U.S. dollars and was not affected by foreign currency exchange rates. See “Results of Operations” for information related to foreign currency impact on our total revenue, net.</w:t>
      </w:r>
    </w:p>
    <w:p>
      <w:pPr>
        <w:spacing w:after="0" w:line="17" w:lineRule="exact"/>
        <w:rPr>
          <w:rFonts w:ascii="Times New Roman" w:cs="Times New Roman" w:eastAsia="Times New Roman" w:hAnsi="Times New Roman"/>
          <w:sz w:val="18"/>
          <w:szCs w:val="18"/>
          <w:color w:val="auto"/>
        </w:rPr>
      </w:pPr>
    </w:p>
    <w:p>
      <w:pPr>
        <w:ind w:left="640" w:right="280" w:hanging="321"/>
        <w:spacing w:after="0" w:line="26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Over the long term, we expect that our general and administrative expense will decrease as a percentage of revenue as our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Investments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28, 2017, the Company signed a definitive agreement to acquire Cambridge Global Payments (“Cambridge”) for approximately $675 million, a leading business to business (B2B) international payments provider. Cambridge processes over $20 billion in B2B cross-border payments annually, helping 13,000 business clients make international payments to suppliers and employees. The purpose of this acquisition is to further expand our corporate payments footprint. This acquisition is expected to be completed in third quarter of 2017.</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2016, the Company completed acquisitions with an aggregate purchase price of $1.3 billion, net of cash acquired of $51.3 million, which includes deferred payments made during the period related to prior acquisitions of $6.1 million.</w:t>
      </w:r>
    </w:p>
    <w:p>
      <w:pPr>
        <w:spacing w:after="0" w:line="162" w:lineRule="exact"/>
        <w:rPr>
          <w:sz w:val="20"/>
          <w:szCs w:val="20"/>
          <w:color w:val="auto"/>
        </w:rPr>
      </w:pPr>
    </w:p>
    <w:p>
      <w:pPr>
        <w:ind w:left="660" w:right="4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we acquired all of the outstanding stock of STP for approximately $1.23 billion, net of cash acquired of $40.2 million. STP is an electronic toll payments company in Brazil and provides cardless fuel payments at a number of Shell sites throughout Brazil. The purpose of this acquisition was to expand our presence in the toll market in Brazil. We financed the acquisition using a combination of existing cash and borrowings under our existing credit facility.</w:t>
      </w:r>
    </w:p>
    <w:p>
      <w:pPr>
        <w:spacing w:after="0" w:line="2"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we acquired additional fuel card portfolios in the U.S. and the United Kingdom, additional Shell fuel card markets in Europe and Travelcard in the Netherlands totaling approximately $76.7 million, net of cash acquired of $11.1 million.</w:t>
      </w: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we made additional investments of $7.9 million related to our equity method investment at Masternaut. We also received a $9.2 million return of our investment in Masternaut.</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results of operations from the fuel card portfolio acquired in the U.S. are included within our North America segment, from the date of acquisition. The results of operations of STP, the fuel card portfolio in the United Kingdom, the additional Shell markets, the Travelcard business in the Netherlands and the small business in Brazil are included within our International segment, from the date of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3, 2017, we signed a definitive agreement to contribute Stored Value Solutions (SVS) prepaid card services and gift card program management assets into a venture with First Data’s core gift card business, Transactions Wireless, Inc. and Gyft, that will consolidate these various gift solutions to drive new value for clients. First Data will own 57.5% percent of the joint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venture and we will own 42.5% percent once the venture closes, which is expected in the second half of 2017, subject to customary regulatory approvals.</w:t>
      </w:r>
    </w:p>
    <w:p>
      <w:pPr>
        <w:spacing w:after="0" w:line="2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240" w:top="121" w:right="6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2017 compared to the three months ended March 31, 2016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 of income data for the three months ended March 31, 2017 and 2016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tcPr>
          <w:p>
            <w:pPr>
              <w:spacing w:after="0"/>
              <w:rPr>
                <w:sz w:val="17"/>
                <w:szCs w:val="17"/>
                <w:color w:val="auto"/>
              </w:rPr>
            </w:pPr>
          </w:p>
        </w:tc>
        <w:tc>
          <w:tcPr>
            <w:tcW w:w="11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9"/>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Pr>
          <w:p>
            <w:pPr>
              <w:spacing w:after="0"/>
              <w:rPr>
                <w:sz w:val="20"/>
                <w:szCs w:val="20"/>
                <w:color w:val="auto"/>
              </w:rPr>
            </w:pP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0"/>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2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329,948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303,548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26,400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190,485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110,714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79,771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7"/>
        </w:trPr>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520,433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414,262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106,171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25"/>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operating</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Merchant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24,384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28,233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(3,849)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101,824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79,814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22,010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38,837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26,553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12,284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95,434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67,594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27,840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64,866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36,328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28,538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78.6 %</w:t>
            </w: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net</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109.3 %</w:t>
            </w:r>
          </w:p>
        </w:tc>
      </w:tr>
      <w:tr>
        <w:trPr>
          <w:trHeight w:val="27"/>
        </w:trPr>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195,068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175,955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19,113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05"/>
        </w:trPr>
        <w:tc>
          <w:tcPr>
            <w:tcW w:w="23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34"/>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1,537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233.2 %</w:t>
            </w: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23,127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16,191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6,936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43,675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45,822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123,693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111,090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12,603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67"/>
        </w:trPr>
        <w:tc>
          <w:tcPr>
            <w:tcW w:w="23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178"/>
        </w:trPr>
        <w:tc>
          <w:tcPr>
            <w:tcW w:w="234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Operating income for</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1"/>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120,972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113,850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7,122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74,096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62,105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11,991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97"/>
        </w:trPr>
        <w:tc>
          <w:tcPr>
            <w:tcW w:w="2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195,068</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175,955</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19,113</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185"/>
        </w:trPr>
        <w:tc>
          <w:tcPr>
            <w:tcW w:w="234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Operating margin for</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41"/>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consolidated revenues increased from $414.3 million in the three months ended March 31, 2016 to $520.4 million in the three months ended March 31, 2017, an increase of $106.2 million, or 25.6%. The increase in our consolidated revenue was primarily due to:</w:t>
      </w:r>
    </w:p>
    <w:p>
      <w:pPr>
        <w:spacing w:after="0" w:line="162" w:lineRule="exact"/>
        <w:rPr>
          <w:sz w:val="20"/>
          <w:szCs w:val="20"/>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during 2016, which contributed approximately $56 million in additional revenue.</w:t>
      </w:r>
    </w:p>
    <w:p>
      <w:pPr>
        <w:spacing w:after="0" w:line="27" w:lineRule="exact"/>
        <w:rPr>
          <w:rFonts w:ascii="Times New Roman" w:cs="Times New Roman" w:eastAsia="Times New Roman" w:hAnsi="Times New Roman"/>
          <w:sz w:val="18"/>
          <w:szCs w:val="18"/>
          <w:color w:val="auto"/>
        </w:rPr>
      </w:pPr>
    </w:p>
    <w:p>
      <w:pPr>
        <w:ind w:left="540" w:right="120" w:hanging="316"/>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of approximately 10% on a constant fuel price and fuel spread margin and pro form basis, in certain of our payment programs driven by increases in both volume and revenue per transaction.</w:t>
      </w:r>
    </w:p>
    <w:p>
      <w:pPr>
        <w:ind w:left="540" w:right="120" w:hanging="316"/>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offsetting this growth was the negative impact of the macroeconomic environment. Although we cannot precisely measure the impact of the macroeconomic environment, in total we believe it had a negative impact on our consolidated revenue for the three months ended March 31, 2017 over the comparable period in 2016 of approximately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540" w:right="160"/>
        <w:spacing w:after="0" w:line="308" w:lineRule="auto"/>
        <w:rPr>
          <w:sz w:val="20"/>
          <w:szCs w:val="20"/>
          <w:color w:val="auto"/>
        </w:rPr>
      </w:pPr>
      <w:r>
        <w:rPr>
          <w:rFonts w:ascii="Times New Roman" w:cs="Times New Roman" w:eastAsia="Times New Roman" w:hAnsi="Times New Roman"/>
          <w:sz w:val="18"/>
          <w:szCs w:val="18"/>
          <w:color w:val="auto"/>
        </w:rPr>
        <w:t>$2 million. Changes in foreign exchange rates had an unfavorable impact on consolidated revenues of approximately $5 million due to unfavorable fluctuations in rates in most geographies in the three months ended March 31, 2017 compared to 2016. Conversely, we believe the impact of higher fuel prices, primarily in the U.S., partially offset by lower fuel spread margins, had a favorable impact on consolidated revenues of approximately $3 million.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 segment revenues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North America revenues increased from $303.5 million in the three months ended March 31, 2016 to $329.9 million in the three months ended March 31, 2017, an increase of $26.4 million, or 8.7%. The increase in our North America segment revenue was primarily due to:</w:t>
      </w:r>
    </w:p>
    <w:p>
      <w:pPr>
        <w:spacing w:after="0" w:line="162" w:lineRule="exact"/>
        <w:rPr>
          <w:sz w:val="20"/>
          <w:szCs w:val="20"/>
          <w:color w:val="auto"/>
        </w:rPr>
      </w:pPr>
    </w:p>
    <w:p>
      <w:pPr>
        <w:ind w:left="540" w:right="20" w:hanging="316"/>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of approximately 10%, on a constant fuel price and fuel spread margin and pro forma basis, in certain of our payment programs driven by increases in both volume and revenue per transaction.</w:t>
      </w:r>
    </w:p>
    <w:p>
      <w:pPr>
        <w:ind w:left="540" w:right="40" w:hanging="316"/>
        <w:spacing w:after="0" w:line="255"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macroeconomic environment. Although we cannot precisely measure the impact of the macroeconomic environment, in total we believe it had a positive impact on our North America segment revenue in three months ended March 31, 2017 over the comparable period in 2016 of approximately $2 million, primarily due to the impact of higher fuel prices, partially offset by lower fuel spread margins.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segment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segment revenues increased from $110.7 million in the three months ended March 31, 2016 to $190.5 million in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 an increase of $79.8 million, or 72.1%. The increase in our International segment revenue was primarily due to:</w:t>
      </w:r>
    </w:p>
    <w:p>
      <w:pPr>
        <w:spacing w:after="0" w:line="112" w:lineRule="exact"/>
        <w:rPr>
          <w:sz w:val="20"/>
          <w:szCs w:val="20"/>
          <w:color w:val="auto"/>
        </w:rPr>
      </w:pPr>
    </w:p>
    <w:p>
      <w:pPr>
        <w:ind w:left="640" w:hanging="32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during 2016 which contributed approximately $56 million in additional revenue.</w:t>
      </w:r>
    </w:p>
    <w:p>
      <w:pPr>
        <w:spacing w:after="0" w:line="27" w:lineRule="exact"/>
        <w:rPr>
          <w:rFonts w:ascii="Times New Roman" w:cs="Times New Roman" w:eastAsia="Times New Roman" w:hAnsi="Times New Roman"/>
          <w:sz w:val="18"/>
          <w:szCs w:val="18"/>
          <w:color w:val="auto"/>
        </w:rPr>
      </w:pPr>
    </w:p>
    <w:p>
      <w:pPr>
        <w:ind w:left="640" w:right="20" w:hanging="321"/>
        <w:spacing w:after="0" w:line="250"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of approximately 9% on a constant macroeconomic basis in certain of our payment programs driven by increases in both volume and revenue per transaction.</w:t>
      </w:r>
    </w:p>
    <w:p>
      <w:pPr>
        <w:ind w:left="640" w:hanging="321"/>
        <w:spacing w:after="0" w:line="25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offsetting this growth was the negative impact of the macroeconomic environment. Although we cannot precisely measure the impact of the macroeconomic environment, in total we believe it had a negative impact on our International segment revenue for the three months ended March 31, 2017 over the comparable period in 2016 of approximately $5 million, primarily due to unfavorable fluctuations in foreign exchange rates in most geographies where we do business, partially offset by the favorable impact of changes in fuel price of approximately $1 million.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Merchant commissions. </w:t>
      </w:r>
      <w:r>
        <w:rPr>
          <w:rFonts w:ascii="Times New Roman" w:cs="Times New Roman" w:eastAsia="Times New Roman" w:hAnsi="Times New Roman"/>
          <w:sz w:val="18"/>
          <w:szCs w:val="18"/>
          <w:color w:val="auto"/>
        </w:rPr>
        <w:t>Merchant commissions decreased from $28.2 million in the three months ended March 31, 2016 to $24.4 million in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2017, a decrease of $3.8 million, or 13.6%. This decrease was primarily due to the fluctuation of the margin between the wholesale cost and retail price of fuel, as well as the impact of fluctuations in foreign exchange rates. partially offset by the impact of higher volume in certain revenue streams where merchant commissions are paid.</w:t>
      </w:r>
    </w:p>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increased from $79.8 million in the three months ended March 31, 2016 to $101.8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2017, an increase of $22.0 million, or 27.6%. Increases in processing expenses were primarily due to expenses related to acquisitions completed in the third quarter of 2016 of approximately $18 million, incremental bad debt expense of $3 million, offset by the impact of fluctuations in foreign exchange rates and lower negotiated vendor processing costs. The increase in bad debt was primarily due to bad debt inherent in the acquired STP business, the addition of new Euro Shell locations and normal quarterly fluctuations of certain businesses.</w:t>
      </w:r>
    </w:p>
    <w:p>
      <w:pPr>
        <w:spacing w:after="0" w:line="1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increased from $26.6 million in the three months ended March 31, 2016 to $38.8 million in the three months ended March 31,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increase of $12.3 million, or 46.3%. Increases in spending were primarily due to ongoing expenses related to acquisitions completed in the third quarter of 2016 of approximately $6 million, as well as increases in spending and investment in existing portfolios.</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from $67.6 million in the three months ended March 31, 2016 to $95.4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2017, an increase of $27.8 million, or 41.2%. The increase was primarily due to ongoing expenses related to acquisitions completed in the third quarter of 2016 of approximately $10 million, increased stock based compensation expense of approximately $9 million and increases in other professional fees of approximately $6 million.</w:t>
      </w:r>
    </w:p>
    <w:p>
      <w:pPr>
        <w:spacing w:after="0" w:line="1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from $36.3 million in the three months ended March 31, 2016 to $64.9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2017, an increase of $28.5 million, or 78.6%.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was primarily due to amortization of intangible assets related to acquisitions of STP and Travelcard completed in the third quarter of 2016.</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w:t>
      </w:r>
      <w:r>
        <w:rPr>
          <w:rFonts w:ascii="Times New Roman" w:cs="Times New Roman" w:eastAsia="Times New Roman" w:hAnsi="Times New Roman"/>
          <w:sz w:val="18"/>
          <w:szCs w:val="18"/>
          <w:color w:val="auto"/>
        </w:rPr>
        <w:t>Equity method investment loss was $2.4 million in the three months ended March 31, 2017, compared to $2.2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2016.</w:t>
      </w:r>
    </w:p>
    <w:p>
      <w:pPr>
        <w:spacing w:after="0" w:line="15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increased from $16.2 million in the three months ended March 31, 2016 to $23.1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2017, an increase of $6.9 million, or 42.8%. The increase in interest expense is primarily due to the impact of additional borrowings for the acquisitions of STP and Travelcard completed during the third quarter of 2016 and increases in LIBOR. The following table sets forth the average interest rates paid on borrowings under our Credit Facility, excluding the related unused credit facility fees.</w:t>
      </w:r>
    </w:p>
    <w:p>
      <w:pPr>
        <w:spacing w:after="0" w:line="200" w:lineRule="exact"/>
        <w:rPr>
          <w:sz w:val="20"/>
          <w:szCs w:val="20"/>
          <w:color w:val="auto"/>
        </w:rPr>
      </w:pPr>
    </w:p>
    <w:p>
      <w:pPr>
        <w:spacing w:after="0" w:line="204" w:lineRule="exact"/>
        <w:rPr>
          <w:sz w:val="20"/>
          <w:szCs w:val="20"/>
          <w:color w:val="auto"/>
        </w:rPr>
      </w:pPr>
    </w:p>
    <w:tbl>
      <w:tblPr>
        <w:tblLayout w:type="fixed"/>
        <w:tblInd w:w="204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4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Revolver 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Revolver 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swing line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average unused credit facility fee for Domestic Revolver A was 0.34% and 0.30% in the three month period ending March 31, 2017 and 2016, respectively.</w:t>
      </w:r>
    </w:p>
    <w:p>
      <w:pPr>
        <w:spacing w:after="0" w:line="2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decreased from $45.8 million in the three months ended March 31, 2016 to $43.7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2017, a decrease of $2.1 million, or 4.7%. We provide for income taxes during interim periods based on an estimate of our effective tax rate for the year. Discrete items and changes in the estimate of the annual tax rate are recorded in the period they occur. Our effective tax rate decreased from 29.2% for three months ended March 31, 2016 to 26.1% for the three months ended March 31, 2017. The decrease in the provision for income taxes and in the effective tax rate was due primarily to excess tax benefits on share based compensation and the favorable mix impact of higher international earnings, in the three months ended March 31, 2017 as compared to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pay taxes in many different taxing jurisdictions, including the U.S., most U.S. states and many non-U.S. jurisdictions. The tax rates in certain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taxing jurisdictions are lower than the U.S. tax rate. Consequently, as our earnings fluctuate between taxing jurisdictions, our effective tax rate fluctuates.</w:t>
      </w:r>
    </w:p>
    <w:p>
      <w:pPr>
        <w:spacing w:after="0" w:line="3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For the reasons discussed above, our net income increased from $111.1 million in the three months ended March 31, 2016 to $123.7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2017, an increase of $12.6 million, or 11.3%.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and operating margin</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Consolidated operating income. </w:t>
      </w:r>
      <w:r>
        <w:rPr>
          <w:rFonts w:ascii="Times New Roman" w:cs="Times New Roman" w:eastAsia="Times New Roman" w:hAnsi="Times New Roman"/>
          <w:sz w:val="18"/>
          <w:szCs w:val="18"/>
          <w:color w:val="auto"/>
        </w:rPr>
        <w:t>Operating income increased from $176.0 million in the three months ended March 31, 2016 to $195.1 million in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2017, an increase of $19.1 million, or 10.9%. Our operating margin was 42.5% and 37.5% for the three months ended March 31, 2016 and 2017, respectively. The increase in operating income was primarily due to acquisitions completed in the third quarter of 2016 and organic growth. The lower operating margin was driven by the negative impact of higher amortization and depreciation expense related to acquisitions of STP and Travelcard completed in the third quarter of 2016, additional stock based compensation of approximately $9 million and additional bad debt expense of $2 million, due to normal quarterly fluctuations in certain businesses. The impact of the macro economic environment was mostly neutral.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segment operating results, we calculate segment operating income by subtracting segment operating expenses from segment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operating margin is calculated by dividing segment operating income by segment revenue.</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North America segment operating income. </w:t>
      </w:r>
      <w:r>
        <w:rPr>
          <w:rFonts w:ascii="Times New Roman" w:cs="Times New Roman" w:eastAsia="Times New Roman" w:hAnsi="Times New Roman"/>
          <w:sz w:val="18"/>
          <w:szCs w:val="18"/>
          <w:color w:val="auto"/>
        </w:rPr>
        <w:t>North America operating income increased from $113.9 million in the three months ended March 31, 2016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$121.0 million in the three months ended March 31, 2017, an increase of $7.1 million, or 6.3%. North America operating margin was 37.5% and 36.7% for the three months ended March 31, 2016 and 2017, respectively. The increase in operating income was due primarily to organic growth and the positive impact of the macroeconomic environment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approximately $4 million, driven by higher fuel prices. These increases were partially offset by additional stock based compensation of approximately $6 million and additional bad debt expense of $1 million.</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segment operating income. </w:t>
      </w:r>
      <w:r>
        <w:rPr>
          <w:rFonts w:ascii="Times New Roman" w:cs="Times New Roman" w:eastAsia="Times New Roman" w:hAnsi="Times New Roman"/>
          <w:sz w:val="18"/>
          <w:szCs w:val="18"/>
          <w:color w:val="auto"/>
        </w:rPr>
        <w:t>International operating income increased from $62.1 million in the three months ended March 31, 2016 to $74.1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March 31, 2017, an increase of $12.0 million, or 19.3%. International operating margin was 56.1% and 38.9% for the three months ended March 31, 2016 and 2017, respectively. The increase in operating income was due primarily to the impact of acquisitions completed in the third quarter of 2016 and organic growth, partially offset by the negative impact of the macroeconomic environment of approximately $5 million, driven primarily by changes in foreign exchange rates, as well as higher stock based compensation of approximately $3 million. The lower operating margin was driven by the negative impact of higher amortization and depreciation expense related to acquisitions of STP and Travelcard completed in the third quarter of 2016, additional stock based compensation expense of $3 million and additional bad debt expense of $1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Our principal liquidity requirements are to service and repay our indebtedness, make acquisitions of businesses and commercial account portfolios, repurchase shares of our common stock and meet working capital needs, tax and capital expenditure needs.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7"/>
          <w:szCs w:val="17"/>
          <w:color w:val="auto"/>
        </w:rPr>
        <w:t>At March 31, 2017, our cash balances totaled $735.0 million, with approximately $188.4 million restricted. Restricted cash primarily represents customer deposits in the Czech Republic and in our Comdata business in the U.S., which we are restricted from using other than to repay customer deposits.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March 31, 2017, cash and cash equivalents held in foreign subsidiaries where we have determined we are permanently reinvested is $395.3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in a taxable transaction to fund our U.S. operations. However, if at a future date or time these funds are needed for our operations in the U.S. or we otherwise believe it is in our best interests to repatriate all or a portion of such funds, we may be required to accrue and pay U.S. taxes to repatriate these funds. No assurances can be provided as to the amount or timing thereof, the tax consequences related thereto or the ultimate impact any such action may have on our results of operations or financial condition.</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March 31, 2017, we had the ability to generate approximately $77 million of additional liquidity under our Securitization Facility. At March 31, 2017, we had approximately $467 million available under our Credit Facility.</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2017 and 2016.</w:t>
      </w:r>
    </w:p>
    <w:p>
      <w:pPr>
        <w:spacing w:after="0" w:line="200" w:lineRule="exact"/>
        <w:rPr>
          <w:sz w:val="20"/>
          <w:szCs w:val="20"/>
          <w:color w:val="auto"/>
        </w:rPr>
      </w:pPr>
    </w:p>
    <w:p>
      <w:pPr>
        <w:spacing w:after="0" w:line="289"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122.6</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decreased from $122.6 million in the three months ended March 31, 2016 to $54.2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2017. Net income and non-cash expense items increased operating cash flow by $54.4 million from $171.1 million in the first quarter of 2016 to $225.5 million in 2017, driven primarily by higher amortization of acquired intangible assets of $25 million and higher net income of $13 million. Net working capital was a use of cash of $171.3 million in the first quarter of 2017 compared to $48.5 million in 2016. The primary reason for the increased use of working capital was $77 million in higher income tax payments made in the first quarter of 2017 than 2016, which was due to tax payments normally due in the third and fourth quarters of 2016 being deferred until the first quarter of 2017. The remaining increased use of working capital related to the overall growth of the business and the timing of settlement of receivables and payables during the three months ended March 31, 2017 over the comparable period in 2016.</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increased from $20.7 million in the three months ended March 31, 2016 to $21.1 million in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2017.</w:t>
      </w:r>
    </w:p>
    <w:p>
      <w:pPr>
        <w:spacing w:after="0" w:line="15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$158.5 million in the three months ended March 31, 2016 compared to net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$19.1 million in the three months ended March 31, 2017. The increase in cash provided by financing activities is primarily due to an increase in net borrowings on our Securitization Facility in the first quarter of 2017 over the comparable period in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 summary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capital expenditures increased from $11.7 million in the three months ended March 31, 2016 to $14.8 million in the three months ended March 31, 2017, an increase of $3.1 million, or 26.0%. This increase is primarily due to increased spending on strategic projects, including continued investment in our GFN application.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24, 2014, FleetCor Technologies Operating Company, LLC, and certain of our domestic and foreign owned subsidiaries, as designated co-borrowers (the “Borrowers”), entered into a new $3.36 billion Credit Agreement (the Credit Agreement), with Bank of America, N.A., as administrative agent, swing line lender and local currency issuer, and a syndicate of financial institutions (the “Lenders”). The Credit Agreement provided for senior secured credit facilities consisting of (a) a revolving A credit facility in the amount of $1.0 billion, with sublimits for letters of credit, swing line loans and multicurrency borrowings, (b) a revolving B facility in the amount of $35 million for loans in Australian Dollars or New Zealand Dollars, (c) a term A loan facility in the amount of $2.02 billion and (d) a term B loan facility in the amount $300 million. The revolving line of credit contains a $20 million sublimit for letters of credit, a $20 million sublimit for swing line loans and sublimits for multicurrency borrowings in Euros, Sterling, Japanese Yen, Australian Dollars and New Zealand Dollars. The Credit Agreement also contains an accordion feature for borrowing an additional $500 million in term A or revolver A and term B. Proceeds from the Credit Facility may be used for working capital purposes, acquisitions, and other general corporate purposes. The proceeds of the Credit Facility were used to paydown borrowings under the Credit Agreement. On November 14, 2014 in order to finance a portion of the Comdata Acquisition and to refinance our existing Credit Agreement, we made initial borrowings under the Credit Agreement.</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22, 2016, the Company entered into the first amendment to the Credit Agreement, which increased the size of our Term A loan from $2.02 billion to $2.62 billion. The proceeds from the additional $600 million in term A loan were used to partially finance the STP acquisition. On January 20, 2017, the Company entered into the second amendment to the Credit Agreement, which established a new term B loan (Term B-2 loan) in the amount of $245.0 million to replace the existing Term B loan. Interest on the Term B-2 loan facility accrues based on the Eurocurrency Rate or the Base Rate, except that the applicable margin is fixed at 2.25% for Eurocurrency Loans and at 1.25% for Base Rate Loans. In addition, the Company pays a quarterly commitment fee at a rate per annum ranging from 0.20% to 0.40% of the daily unused portion of the credit facility.</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Credit Facility contains representations, warranties and events of default, as well as certain affirmative and negative covenants, customary for financings of this nature. These covenants include limitations on our ability to pay dividends and make other restricted payments under certain circumstances and compliance with certain financial ratios. As of March 31, 2017, we were in compliance with each of the covenants under the Credit Facility.</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stated maturity dates for our term A loans, revolving loans, and letters of credit under the Credit Agreement is November 14, 2019 and November 14, 2021 for our Term B-2 loan. 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March 31, 2017, we had $2,370.2 million in borrowings outstanding on the term A loan, excluding the related debt discount, $244.4 million in borrowings outstanding on Term B-2 loan, excluding the related debt discount, $425.0 million in borrowings outstanding on the domestic revolving A facility, $94.9 million in borrowings outstanding on the foreign revolving A facility and $48.6 million in borrowings outstanding on the swing line revolving A facility. The Company has unamortized debt discounts of $5.6 million related to the term A facility and $0.9 million related to the term B facility at March 31, 2017.</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we made principal payments of $32.7 million on the term A loan, $0.6 million on the Term B-2 loan, $130 million on the domestic revolving A facility, $29.9 million on the foreign revolving A facility and $0.2 million on the swing line revolving A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current purchase limit under the Securitization Facility is $950 million and the Securitization Facility expires on November 14, 2017. The Securitization Facility contains certain customary financial covenants. There is a program fee equal to one month LIBOR or the Commercial Paper Rate of 0.98% plus 0.90% and 0.85% plus 0.90% as of March 31, 2017 and December 31, 2016, respectively. The unused facility fee is payable at a rate of 0.40% as of March 31, 2017 and December 31, 2016, respectively.</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the financial covenant requirements related to our Securitization Facility as of March 31,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acquisition of certain businesses, we owe final payments of $3.6 million, which are payable in the next twelve months.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4, 2016, our Board of Directors approved a stock repurchase program under which the Company may begin purchasing up to $500 million of its common stock over the following 18 month period. 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available cash flow from the business and working capital. Since the beginning of the Program, 1,670,311 shares, for an aggregate purchase price of $240.1 million have been repurchased. There were no shares repurchased under the Program during the three months ended March 31, 2017. In May 2017, we repurchased 411,166 common shares totaling $52.4 million under the Program.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Accounting estimates necessarily require subjective determinations about future events and conditions. During the three months ended March 31, 2017,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2016. For critical accounting policies, refer to the Critical Accounting Estimates in Item 7 – Management’s Discussion and Analysis of Financial Condition and Results of Operations included in our Annual Report on Form 10-K for the year ended December 31, 2016 and our summary of significant accounting policies in Note 1 of our notes to the unaudited consolidated financial statements in this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Financial Measures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defined the non-GAAP measure adjusted revenues as revenues, net less merchant commissions as reflected in our income statement.</w:t>
      </w:r>
    </w:p>
    <w:p>
      <w:pPr>
        <w:spacing w:after="0" w:line="22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use adjusted revenues as a basis to evaluate our revenues, net of the commissions that are paid to merchants to participate in our card programs. The commissions paid to merchants can vary when market spreads fluctuate in much the same way as revenues are impacted when market spreads fluctuate. We believe that adjusted revenue is an appropriate supplemental measure of financial performance and may be useful to investors to understanding our revenue performance on a consistent basis. Adjusted revenues are not intended to be a substitute for GAAP financial measures and should not be used as such.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adjusted revenues to the most directly comparable GAAP measure, revenues, net (in thousands):</w:t>
      </w:r>
    </w:p>
    <w:p>
      <w:pPr>
        <w:spacing w:after="0" w:line="200" w:lineRule="exact"/>
        <w:rPr>
          <w:sz w:val="20"/>
          <w:szCs w:val="20"/>
          <w:color w:val="auto"/>
        </w:rPr>
      </w:pP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r>
      <w:tr>
        <w:trPr>
          <w:trHeight w:val="24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520,433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Merchant commissions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12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revenues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496,049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386,029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net income per diluted share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defined the non-GAAP measure adjusted net income as net income as reflected in our statement of income, adjusted to eliminate (a) non-cash stock-based compensation expense related to stock-based compensation awards, (b) amortization of deferred financing costs, discounts and intangible assets,</w:t>
      </w:r>
    </w:p>
    <w:p>
      <w:pPr>
        <w:ind w:right="500" w:firstLine="8"/>
        <w:spacing w:after="0" w:line="261"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premium recognized on the purchase of receivables, (d) our proportionate share of amortization of intangible assets at our equity method investment, and (e) other non-cash adjustments.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adjusted net income. We believe that adjusted net income and adjusted net income per diluted share are appropriate supplemental measures of financial performance and may be useful to investors to understanding our operating performance 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consistent basis. Adjusted net income and adjusted net income per diluted share are not intended to be a substitute for GAAP financial measures and should not be used as such.</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and adjusted net income per diluted share to the most directly comparable GAAP measure, net income and net income per diluted share (in thousands, except shares and per share amounts):</w:t>
      </w:r>
    </w:p>
    <w:p>
      <w:pPr>
        <w:spacing w:after="0" w:line="200" w:lineRule="exact"/>
        <w:rPr>
          <w:sz w:val="20"/>
          <w:szCs w:val="20"/>
          <w:color w:val="auto"/>
        </w:rPr>
      </w:pPr>
    </w:p>
    <w:p>
      <w:pPr>
        <w:spacing w:after="0" w:line="226" w:lineRule="exact"/>
        <w:rPr>
          <w:sz w:val="20"/>
          <w:szCs w:val="20"/>
          <w:color w:val="auto"/>
        </w:rPr>
      </w:pPr>
    </w:p>
    <w:tbl>
      <w:tblPr>
        <w:tblLayout w:type="fixed"/>
        <w:tblInd w:w="180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8"/>
                <w:szCs w:val="8"/>
                <w:b w:val="1"/>
                <w:bCs w:val="1"/>
                <w:color w:val="auto"/>
              </w:rPr>
              <w:t>1</w:t>
            </w: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123,693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111,090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23,093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15,186</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52,654</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27,362</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 on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1,544</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1,914</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at equity method investment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2,459</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2,303</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adjustments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81,664</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47,663</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impact of pre-tax adjustments at the effective tax</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48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rate</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4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184,978</w:t>
            </w:r>
          </w:p>
        </w:tc>
        <w:tc>
          <w:tcPr>
            <w:tcW w:w="4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145,689</w:t>
            </w:r>
          </w:p>
        </w:tc>
      </w:tr>
      <w:tr>
        <w:trPr>
          <w:trHeight w:val="67"/>
        </w:trPr>
        <w:tc>
          <w:tcPr>
            <w:tcW w:w="4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net income per diluted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94,560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95,030</w:t>
            </w:r>
          </w:p>
        </w:tc>
      </w:tr>
    </w:tbl>
    <w:p>
      <w:pPr>
        <w:spacing w:after="0" w:line="169" w:lineRule="exact"/>
        <w:rPr>
          <w:sz w:val="20"/>
          <w:szCs w:val="20"/>
          <w:color w:val="auto"/>
        </w:rPr>
      </w:pPr>
    </w:p>
    <w:p>
      <w:pPr>
        <w:ind w:left="1820" w:right="174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Reflects the impact of the Company's adoption of Accounting Standards Update 2016-09, </w:t>
      </w:r>
      <w:r>
        <w:rPr>
          <w:rFonts w:ascii="Times New Roman" w:cs="Times New Roman" w:eastAsia="Times New Roman" w:hAnsi="Times New Roman"/>
          <w:sz w:val="17"/>
          <w:szCs w:val="17"/>
          <w:i w:val="1"/>
          <w:iCs w:val="1"/>
          <w:color w:val="auto"/>
        </w:rPr>
        <w:t>Compensation-Stock Compensation (Topic 718): Improvements to Employee Share-Based Payment Accounting</w:t>
      </w:r>
      <w:r>
        <w:rPr>
          <w:rFonts w:ascii="Times New Roman" w:cs="Times New Roman" w:eastAsia="Times New Roman" w:hAnsi="Times New Roman"/>
          <w:sz w:val="17"/>
          <w:szCs w:val="17"/>
          <w:color w:val="auto"/>
        </w:rPr>
        <w:t>, to simplify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several aspects of the accounting for the share-based compensation, including the income tax consequences.</w:t>
      </w:r>
    </w:p>
    <w:p>
      <w:pPr>
        <w:spacing w:after="0" w:line="213" w:lineRule="exact"/>
        <w:rPr>
          <w:sz w:val="20"/>
          <w:szCs w:val="20"/>
          <w:color w:val="auto"/>
        </w:rPr>
      </w:pPr>
    </w:p>
    <w:p>
      <w:pPr>
        <w:ind w:left="1820" w:right="1820"/>
        <w:spacing w:after="0" w:line="233"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Excludes the results of our equity method investment on our effective tax rate, as results from our equity method investment are reported within the Consolidated Income Statements on a post-tax basis and no tax-over-book outside basis differences related to our equity method investment reversed during 2016 or are expected to reverse in 2017.</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121" w:right="3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and Macro Adjusted Revenue and Transactions by Product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define pro forma and macro adjusted revenue as revenue, net as reflected in our statement of income, adjusted to eliminate the impact of the macroeconomic environment and the impact of acquisitions and dispositions. The macroeconomic environment includes the impact that market fuel spread margins, fuel prices and foreign exchange rates have on our business. We use pro forma and macro adjusted revenue and transactions to evaluate the organic growth in our revenue and the associated transactions. Set forth below is a reconciliation of pro forma and macro adjusted revenue and transactions to the most directly comparable GAAP measure, revenue, net and transactions (in millions):</w:t>
      </w: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80"/>
          </w:cols>
          <w:pgMar w:left="240" w:top="121" w:right="3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FUEL CARDS</w:t>
      </w:r>
    </w:p>
    <w:p>
      <w:pPr>
        <w:spacing w:after="0" w:line="88" w:lineRule="exact"/>
        <w:rPr>
          <w:sz w:val="20"/>
          <w:szCs w:val="20"/>
          <w:color w:val="auto"/>
        </w:rPr>
      </w:pPr>
    </w:p>
    <w:p>
      <w:pPr>
        <w:ind w:left="40" w:right="920"/>
        <w:spacing w:after="0" w:line="294" w:lineRule="auto"/>
        <w:rPr>
          <w:sz w:val="20"/>
          <w:szCs w:val="20"/>
          <w:color w:val="auto"/>
        </w:rPr>
      </w:pPr>
      <w:r>
        <w:rPr>
          <w:rFonts w:ascii="Times New Roman" w:cs="Times New Roman" w:eastAsia="Times New Roman" w:hAnsi="Times New Roman"/>
          <w:sz w:val="16"/>
          <w:szCs w:val="16"/>
          <w:color w:val="auto"/>
        </w:rPr>
        <w:t>Pro forma and macro adjusted</w:t>
      </w:r>
      <w:r>
        <w:rPr>
          <w:rFonts w:ascii="Times New Roman" w:cs="Times New Roman" w:eastAsia="Times New Roman" w:hAnsi="Times New Roman"/>
          <w:sz w:val="21"/>
          <w:szCs w:val="21"/>
          <w:color w:val="auto"/>
          <w:vertAlign w:val="superscript"/>
        </w:rPr>
        <w:t>2,3</w:t>
      </w:r>
      <w:r>
        <w:rPr>
          <w:rFonts w:ascii="Times New Roman" w:cs="Times New Roman" w:eastAsia="Times New Roman" w:hAnsi="Times New Roman"/>
          <w:sz w:val="16"/>
          <w:szCs w:val="16"/>
          <w:color w:val="auto"/>
        </w:rPr>
        <w:t xml:space="preserve"> Impact of acquisitions/dispositions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Impact of fuel prices/spread</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Impact of foreign exchange rates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 reported</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CORPORATE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852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66"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852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0" w:lineRule="exact"/>
        <w:rPr>
          <w:sz w:val="20"/>
          <w:szCs w:val="20"/>
          <w:color w:val="auto"/>
        </w:rPr>
      </w:pPr>
    </w:p>
    <w:p>
      <w:pPr>
        <w:ind w:left="40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2017*</w:t>
      </w:r>
      <w:r>
        <w:rPr>
          <w:sz w:val="20"/>
          <w:szCs w:val="20"/>
          <w:color w:val="auto"/>
        </w:rPr>
        <w:tab/>
      </w:r>
      <w:r>
        <w:rPr>
          <w:rFonts w:ascii="Times New Roman" w:cs="Times New Roman" w:eastAsia="Times New Roman" w:hAnsi="Times New Roman"/>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38735</wp:posOffset>
            </wp:positionV>
            <wp:extent cx="638048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0480" cy="18034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236.4</w:t>
            </w:r>
          </w:p>
        </w:tc>
      </w:tr>
      <w:tr>
        <w:trPr>
          <w:trHeight w:val="270"/>
        </w:trPr>
        <w:tc>
          <w:tcPr>
            <w:tcW w:w="4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70"/>
        </w:trPr>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240.7</w:t>
            </w:r>
          </w:p>
        </w:tc>
      </w:tr>
      <w:tr>
        <w:trPr>
          <w:trHeight w:val="33"/>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-711200</wp:posOffset>
            </wp:positionV>
            <wp:extent cx="63804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0480" cy="1714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-368300</wp:posOffset>
            </wp:positionV>
            <wp:extent cx="63804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0480" cy="1714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-16510</wp:posOffset>
            </wp:positionV>
            <wp:extent cx="63804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04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1912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6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1912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80" w:lineRule="exact"/>
        <w:rPr>
          <w:sz w:val="20"/>
          <w:szCs w:val="20"/>
          <w:color w:val="auto"/>
        </w:rPr>
      </w:pPr>
    </w:p>
    <w:p>
      <w:pPr>
        <w:ind w:left="560"/>
        <w:spacing w:after="0"/>
        <w:tabs>
          <w:tab w:leader="none" w:pos="2100" w:val="left"/>
        </w:tabs>
        <w:rPr>
          <w:sz w:val="20"/>
          <w:szCs w:val="20"/>
          <w:color w:val="auto"/>
        </w:rPr>
      </w:pPr>
      <w:r>
        <w:rPr>
          <w:rFonts w:ascii="Times New Roman" w:cs="Times New Roman" w:eastAsia="Times New Roman" w:hAnsi="Times New Roman"/>
          <w:sz w:val="16"/>
          <w:szCs w:val="16"/>
          <w:b w:val="1"/>
          <w:bCs w:val="1"/>
          <w:color w:val="auto"/>
        </w:rPr>
        <w:t>2017*</w:t>
      </w:r>
      <w:r>
        <w:rPr>
          <w:sz w:val="20"/>
          <w:szCs w:val="20"/>
          <w:color w:val="auto"/>
        </w:rPr>
        <w:tab/>
      </w:r>
      <w:r>
        <w:rPr>
          <w:rFonts w:ascii="Times New Roman" w:cs="Times New Roman" w:eastAsia="Times New Roman" w:hAnsi="Times New Roman"/>
          <w:sz w:val="16"/>
          <w:szCs w:val="16"/>
          <w:b w:val="1"/>
          <w:bCs w:val="1"/>
          <w:color w:val="auto"/>
        </w:rPr>
        <w:t>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106.1</w:t>
            </w:r>
          </w:p>
        </w:tc>
      </w:tr>
      <w:tr>
        <w:trPr>
          <w:trHeight w:val="270"/>
        </w:trPr>
        <w:tc>
          <w:tcPr>
            <w:tcW w:w="5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5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w:t>
            </w:r>
          </w:p>
        </w:tc>
      </w:tr>
      <w:tr>
        <w:trPr>
          <w:trHeight w:val="33"/>
        </w:trPr>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ectPr>
          <w:pgSz w:w="11900" w:h="16838" w:orient="portrait"/>
          <w:cols w:equalWidth="0" w:num="3">
            <w:col w:w="3220" w:space="720"/>
            <w:col w:w="2920" w:space="180"/>
            <w:col w:w="4120"/>
          </w:cols>
          <w:pgMar w:left="240" w:top="121" w:right="499" w:bottom="0" w:gutter="0" w:footer="0" w:header="0"/>
        </w:sectPr>
      </w:pPr>
    </w:p>
    <w:tbl>
      <w:tblPr>
        <w:tblLayout w:type="fixed"/>
        <w:tblInd w:w="10" w:type="dxa"/>
        <w:tblCellMar>
          <w:top w:w="0" w:type="dxa"/>
          <w:left w:w="0" w:type="dxa"/>
          <w:bottom w:w="0" w:type="dxa"/>
          <w:right w:w="0" w:type="dxa"/>
        </w:tblCellMar>
      </w:tblPr>
      <w:tr>
        <w:trPr>
          <w:trHeight w:val="243"/>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Pro forma and macro adjusted</w:t>
            </w:r>
            <w:r>
              <w:rPr>
                <w:rFonts w:ascii="Times New Roman" w:cs="Times New Roman" w:eastAsia="Times New Roman" w:hAnsi="Times New Roman"/>
                <w:sz w:val="21"/>
                <w:szCs w:val="21"/>
                <w:color w:val="auto"/>
                <w:vertAlign w:val="superscript"/>
              </w:rPr>
              <w:t>2,3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21"/>
                <w:szCs w:val="21"/>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21"/>
                <w:szCs w:val="21"/>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1"/>
                <w:szCs w:val="21"/>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r>
      <w:tr>
        <w:trPr>
          <w:trHeight w:val="25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4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83"/>
        </w:trPr>
        <w:tc>
          <w:tcPr>
            <w:tcW w:w="3940" w:type="dxa"/>
            <w:vAlign w:val="bottom"/>
            <w:tcBorders>
              <w:lef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TOLLS</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Pro forma and macro adjusted</w:t>
            </w:r>
            <w:r>
              <w:rPr>
                <w:rFonts w:ascii="Times New Roman" w:cs="Times New Roman" w:eastAsia="Times New Roman" w:hAnsi="Times New Roman"/>
                <w:sz w:val="21"/>
                <w:szCs w:val="21"/>
                <w:color w:val="auto"/>
                <w:vertAlign w:val="superscript"/>
              </w:rPr>
              <w:t>2,3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3"/>
                <w:szCs w:val="23"/>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w:t>
            </w:r>
          </w:p>
        </w:tc>
        <w:tc>
          <w:tcPr>
            <w:tcW w:w="180" w:type="dxa"/>
            <w:vAlign w:val="bottom"/>
          </w:tcPr>
          <w:p>
            <w:pPr>
              <w:spacing w:after="0"/>
              <w:rPr>
                <w:sz w:val="23"/>
                <w:szCs w:val="23"/>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222.9</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219.7</w:t>
            </w:r>
          </w:p>
        </w:tc>
      </w:tr>
      <w:tr>
        <w:trPr>
          <w:trHeight w:val="25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r>
      <w:tr>
        <w:trPr>
          <w:trHeight w:val="23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4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222.9</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83"/>
        </w:trPr>
        <w:tc>
          <w:tcPr>
            <w:tcW w:w="3940" w:type="dxa"/>
            <w:vAlign w:val="bottom"/>
            <w:tcBorders>
              <w:lef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LODGING</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Pro forma and macro adjusted</w:t>
            </w:r>
            <w:r>
              <w:rPr>
                <w:rFonts w:ascii="Times New Roman" w:cs="Times New Roman" w:eastAsia="Times New Roman" w:hAnsi="Times New Roman"/>
                <w:sz w:val="21"/>
                <w:szCs w:val="21"/>
                <w:color w:val="auto"/>
                <w:vertAlign w:val="superscript"/>
              </w:rPr>
              <w:t>2,3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23"/>
                <w:szCs w:val="23"/>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180" w:type="dxa"/>
            <w:vAlign w:val="bottom"/>
          </w:tcPr>
          <w:p>
            <w:pPr>
              <w:spacing w:after="0"/>
              <w:rPr>
                <w:sz w:val="23"/>
                <w:szCs w:val="23"/>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r>
      <w:tr>
        <w:trPr>
          <w:trHeight w:val="25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4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83"/>
        </w:trPr>
        <w:tc>
          <w:tcPr>
            <w:tcW w:w="3940" w:type="dxa"/>
            <w:vAlign w:val="bottom"/>
            <w:tcBorders>
              <w:lef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GIFT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Pro forma and macro</w:t>
            </w:r>
            <w:r>
              <w:rPr>
                <w:rFonts w:ascii="Times New Roman" w:cs="Times New Roman" w:eastAsia="Times New Roman" w:hAnsi="Times New Roman"/>
                <w:sz w:val="21"/>
                <w:szCs w:val="21"/>
                <w:color w:val="auto"/>
                <w:vertAlign w:val="superscript"/>
              </w:rPr>
              <w:t>2,3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23"/>
                <w:szCs w:val="23"/>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tcPr>
          <w:p>
            <w:pPr>
              <w:spacing w:after="0"/>
              <w:rPr>
                <w:sz w:val="23"/>
                <w:szCs w:val="23"/>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377.7</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342.0</w:t>
            </w:r>
          </w:p>
        </w:tc>
      </w:tr>
      <w:tr>
        <w:trPr>
          <w:trHeight w:val="25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4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377.7</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342.0</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83"/>
        </w:trPr>
        <w:tc>
          <w:tcPr>
            <w:tcW w:w="3940" w:type="dxa"/>
            <w:vAlign w:val="bottom"/>
            <w:tcBorders>
              <w:left w:val="single" w:sz="8" w:color="CCEEFF"/>
            </w:tcBorders>
            <w:gridSpan w:val="7"/>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1</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Pro forma and macro</w:t>
            </w:r>
            <w:r>
              <w:rPr>
                <w:rFonts w:ascii="Times New Roman" w:cs="Times New Roman" w:eastAsia="Times New Roman" w:hAnsi="Times New Roman"/>
                <w:sz w:val="21"/>
                <w:szCs w:val="21"/>
                <w:color w:val="auto"/>
                <w:vertAlign w:val="superscript"/>
              </w:rPr>
              <w:t>2,3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23"/>
                <w:szCs w:val="23"/>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tcPr>
          <w:p>
            <w:pPr>
              <w:spacing w:after="0"/>
              <w:rPr>
                <w:sz w:val="23"/>
                <w:szCs w:val="23"/>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25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4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4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43"/>
        </w:trPr>
        <w:tc>
          <w:tcPr>
            <w:tcW w:w="40" w:type="dxa"/>
            <w:vAlign w:val="bottom"/>
            <w:tcBorders>
              <w:left w:val="single" w:sz="8" w:color="CCEEFF"/>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CCEEFF"/>
            </w:tcBorders>
            <w:shd w:val="clear" w:color="auto" w:fill="CCEEFF"/>
          </w:tcPr>
          <w:p>
            <w:pPr>
              <w:spacing w:after="0"/>
              <w:rPr>
                <w:sz w:val="12"/>
                <w:szCs w:val="12"/>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FLEETCOR CONSOLIDATED REVENUES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48"/>
        </w:trPr>
        <w:tc>
          <w:tcPr>
            <w:tcW w:w="40" w:type="dxa"/>
            <w:vAlign w:val="bottom"/>
            <w:tcBorders>
              <w:left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38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r>
      <w:tr>
        <w:trPr>
          <w:trHeight w:val="270"/>
        </w:trPr>
        <w:tc>
          <w:tcPr>
            <w:tcW w:w="40" w:type="dxa"/>
            <w:vAlign w:val="bottom"/>
            <w:tcBorders>
              <w:left w:val="single" w:sz="8" w:color="auto"/>
            </w:tcBorders>
            <w:shd w:val="clear" w:color="auto" w:fill="CCEEFF"/>
          </w:tcPr>
          <w:p>
            <w:pPr>
              <w:spacing w:after="0"/>
              <w:rPr>
                <w:sz w:val="23"/>
                <w:szCs w:val="23"/>
                <w:color w:val="auto"/>
              </w:rPr>
            </w:pPr>
          </w:p>
        </w:tc>
        <w:tc>
          <w:tcPr>
            <w:tcW w:w="3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and macro adjusted</w:t>
            </w:r>
            <w:r>
              <w:rPr>
                <w:rFonts w:ascii="Times New Roman" w:cs="Times New Roman" w:eastAsia="Times New Roman" w:hAnsi="Times New Roman"/>
                <w:sz w:val="21"/>
                <w:szCs w:val="21"/>
                <w:color w:val="auto"/>
                <w:vertAlign w:val="superscript"/>
              </w:rPr>
              <w:t>2,3</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507.6</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463.3</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744.9</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699.8</w:t>
            </w:r>
          </w:p>
        </w:tc>
      </w:tr>
      <w:tr>
        <w:trPr>
          <w:trHeight w:val="237"/>
        </w:trPr>
        <w:tc>
          <w:tcPr>
            <w:tcW w:w="40" w:type="dxa"/>
            <w:vAlign w:val="bottom"/>
            <w:tcBorders>
              <w:left w:val="single" w:sz="8" w:color="auto"/>
            </w:tcBorders>
          </w:tcPr>
          <w:p>
            <w:pPr>
              <w:spacing w:after="0"/>
              <w:rPr>
                <w:sz w:val="20"/>
                <w:szCs w:val="20"/>
                <w:color w:val="auto"/>
              </w:rPr>
            </w:pPr>
          </w:p>
        </w:tc>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4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w:t>
            </w: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 w:type="dxa"/>
            <w:vAlign w:val="bottom"/>
            <w:tcBorders>
              <w:left w:val="single" w:sz="8" w:color="auto"/>
            </w:tcBorders>
          </w:tcPr>
          <w:p>
            <w:pPr>
              <w:spacing w:after="0"/>
              <w:rPr>
                <w:sz w:val="20"/>
                <w:szCs w:val="20"/>
                <w:color w:val="auto"/>
              </w:rPr>
            </w:pPr>
          </w:p>
        </w:tc>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4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55"/>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reported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487.0</w:t>
            </w:r>
          </w:p>
        </w:tc>
      </w:tr>
      <w:tr>
        <w:trPr>
          <w:trHeight w:val="20"/>
        </w:trPr>
        <w:tc>
          <w:tcPr>
            <w:tcW w:w="40" w:type="dxa"/>
            <w:vAlign w:val="bottom"/>
            <w:tcBorders>
              <w:top w:val="single" w:sz="8" w:color="CCEEFF"/>
              <w:left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0" w:type="dxa"/>
            <w:vAlign w:val="bottom"/>
            <w:tcBorders>
              <w:left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Columns may not calculate due to impact of rounding.</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Other includes telematics, maintenance, food and transportation related businesses.</w:t>
      </w:r>
    </w:p>
    <w:p>
      <w:pPr>
        <w:ind w:left="40" w:right="1240"/>
        <w:spacing w:after="0" w:line="211"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2016 is pro forma to include acquisitions and exclude dispositions consistent with 2017 ownership. 2016 also includes an approximately $6 million one-time true-up.</w:t>
      </w:r>
    </w:p>
    <w:p>
      <w:pPr>
        <w:spacing w:after="0" w:line="37" w:lineRule="exact"/>
        <w:rPr>
          <w:sz w:val="20"/>
          <w:szCs w:val="20"/>
          <w:color w:val="auto"/>
        </w:rPr>
      </w:pPr>
    </w:p>
    <w:p>
      <w:pPr>
        <w:ind w:left="40" w:right="1200"/>
        <w:spacing w:after="0" w:line="218"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2017 is adjusted to remove the impact of changes in the macroeconomic environment to be consistent with the same period of prior year, using constant fuel prices, fuel price spreads and foreign exchange rates.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w:t>
      </w:r>
    </w:p>
    <w:p>
      <w:pPr>
        <w:sectPr>
          <w:pgSz w:w="11900" w:h="16838" w:orient="portrait"/>
          <w:cols w:equalWidth="0" w:num="1">
            <w:col w:w="11160"/>
          </w:cols>
          <w:pgMar w:left="240" w:top="121" w:right="499" w:bottom="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364" w:right="1440"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 “plan,” “seek,” “project” or “expect,” “may,” “will,” “would,” “could” or “should,” the negative of these terms or other comparable terminology.</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recent referendum to leave the European Union; the impact of foreign exchange rates on operations, revenue and income; the effects of general economic and political conditions on fueling patterns and the commercial activity of fleets, as well as the other risks and uncertainties identified under the caption “Risk Factors” in our Annual Report on Form 10-K for the year ended December 31, 2016.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14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2017, there have been no material changes to our market risk from that disclosed in our Annual Report on Form 10-K for the year ended December 31, 2016.</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March 31, 2017,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2017,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are not currently party to any legal proceedings or governmental inquiries or investigations that we consider to be material and we were not involved in any material legal proceedings that terminated during the first quarter. We are and may become, however, subject to lawsuits from time to time in the ordinary course of our business.</w:t>
      </w:r>
    </w:p>
    <w:p>
      <w:pPr>
        <w:spacing w:after="0" w:line="11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2016, which could materially affect our business, financial condition or future results.</w:t>
      </w:r>
    </w:p>
    <w:p>
      <w:pPr>
        <w:spacing w:after="0" w:line="10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4, 2016, our Board of Directors approved a stock repurchase program (the "Program") under which we may begin purchasing up to an aggregate of $500 million of the Company's common stock over the following 18 month period. Since the beginning of the Program, 1,670,311 shares, for an aggregate purchase price of $240.1 million have been repurchased. No repurchases were made during the three months ended March 31, 2017. In May 2017, the Company repurchased 411,166 common shares totaling $52.4 million under the Program.</w:t>
      </w:r>
    </w:p>
    <w:p>
      <w:pPr>
        <w:spacing w:after="0" w:line="12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5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958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3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2.1</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Acquisition agreement to acquire Serviços e Tecnologia de Pagamentos S.A. (incorporated by reference to Exhibit 2.1 to the</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Registrant's Form 8-K, File No. 001-35004, filed with the Securities and Exchange Commission ("SEC") on March 18, 2016)</w:t>
            </w:r>
          </w:p>
        </w:tc>
      </w:tr>
      <w:tr>
        <w:trPr>
          <w:trHeight w:val="373"/>
        </w:trPr>
        <w:tc>
          <w:tcPr>
            <w:tcW w:w="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3.1</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Certificate of Incorporation of FleetCor Technologies, Inc. (incorporated by reference to Exhibit 3.1 to the</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Registrant’s Annual Report on Form 10-K, File No. 001-35004, filed with the SEC on March 25, 2011)</w:t>
            </w:r>
          </w:p>
        </w:tc>
      </w:tr>
      <w:tr>
        <w:trPr>
          <w:trHeight w:val="373"/>
        </w:trPr>
        <w:tc>
          <w:tcPr>
            <w:tcW w:w="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3.2</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Bylaws of FleetCor Technologies, Inc. (incorporated by reference to Exhibit 3.2 to the Registrant’s</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File No. 001-35004, filed with the SEC on October 28, 2016)</w:t>
            </w:r>
          </w:p>
        </w:tc>
      </w:tr>
      <w:tr>
        <w:trPr>
          <w:trHeight w:val="373"/>
        </w:trPr>
        <w:tc>
          <w:tcPr>
            <w:tcW w:w="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4.1</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Stock Certificate for Common Stock (incorporated by reference to Exhibit 4.1 to Amendment No. 3 to the Registrant’s</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Registration Statement on Form S-1, File No. 333-166092, filed with the SEC on June 29, 2010)</w:t>
            </w:r>
          </w:p>
        </w:tc>
      </w:tr>
      <w:tr>
        <w:trPr>
          <w:trHeight w:val="373"/>
        </w:trPr>
        <w:tc>
          <w:tcPr>
            <w:tcW w:w="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as</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w:t>
            </w:r>
          </w:p>
        </w:tc>
      </w:tr>
      <w:tr>
        <w:trPr>
          <w:trHeight w:val="392"/>
        </w:trPr>
        <w:tc>
          <w:tcPr>
            <w:tcW w:w="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31.2</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Rule 13a-14(a) and rule 15d-14(a) of the Securities Exchange Act, as amended</w:t>
            </w:r>
          </w:p>
        </w:tc>
      </w:tr>
      <w:tr>
        <w:trPr>
          <w:trHeight w:val="373"/>
        </w:trPr>
        <w:tc>
          <w:tcPr>
            <w:tcW w:w="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1350, as adopted pursuant to Section 906 of the Sarbanes-Oxley</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Act of 2001</w:t>
            </w:r>
          </w:p>
        </w:tc>
      </w:tr>
      <w:tr>
        <w:trPr>
          <w:trHeight w:val="373"/>
        </w:trPr>
        <w:tc>
          <w:tcPr>
            <w:tcW w:w="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18 U.S.C. 1350, as adopted pursuant to Section 906 of the Sarbanes-Oxley Act</w:t>
            </w:r>
          </w:p>
        </w:tc>
      </w:tr>
      <w:tr>
        <w:trPr>
          <w:trHeight w:val="234"/>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2001</w:t>
            </w:r>
          </w:p>
        </w:tc>
      </w:tr>
    </w:tbl>
    <w:p>
      <w:pPr>
        <w:spacing w:after="0" w:line="157" w:lineRule="exact"/>
        <w:rPr>
          <w:sz w:val="20"/>
          <w:szCs w:val="20"/>
          <w:color w:val="auto"/>
        </w:rPr>
      </w:pPr>
    </w:p>
    <w:p>
      <w:pPr>
        <w:ind w:left="2000" w:right="80" w:hanging="1222"/>
        <w:spacing w:after="0" w:line="261" w:lineRule="auto"/>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their capacities indicated on May 8, 2017.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FleetCor Technologies, Inc.</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544"/>
        </w:trPr>
        <w:tc>
          <w:tcPr>
            <w:tcW w:w="504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20" w:type="dxa"/>
            <w:vAlign w:val="bottom"/>
          </w:tcPr>
          <w:p>
            <w:pPr>
              <w:spacing w:after="0"/>
              <w:rPr>
                <w:sz w:val="24"/>
                <w:szCs w:val="24"/>
                <w:color w:val="auto"/>
              </w:rPr>
            </w:pPr>
          </w:p>
        </w:tc>
        <w:tc>
          <w:tcPr>
            <w:tcW w:w="546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78"/>
        </w:trPr>
        <w:tc>
          <w:tcPr>
            <w:tcW w:w="50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2"/>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 Ronald F. Clarke</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86"/>
        </w:trPr>
        <w:tc>
          <w:tcPr>
            <w:tcW w:w="50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Directors (Duly Authorized Officer and Principal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5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Ronald F. Clarke</w:t>
            </w:r>
          </w:p>
        </w:tc>
        <w:tc>
          <w:tcPr>
            <w:tcW w:w="920" w:type="dxa"/>
            <w:vAlign w:val="bottom"/>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50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Eric R. Dey</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0" w:type="dxa"/>
            <w:vAlign w:val="bottom"/>
          </w:tcPr>
          <w:p>
            <w:pPr>
              <w:spacing w:after="0"/>
              <w:rPr>
                <w:sz w:val="1"/>
                <w:szCs w:val="1"/>
                <w:color w:val="auto"/>
              </w:rPr>
            </w:pPr>
          </w:p>
        </w:tc>
      </w:tr>
      <w:tr>
        <w:trPr>
          <w:trHeight w:val="45"/>
        </w:trPr>
        <w:tc>
          <w:tcPr>
            <w:tcW w:w="5040" w:type="dxa"/>
            <w:vAlign w:val="bottom"/>
            <w:tcBorders>
              <w:bottom w:val="single" w:sz="8" w:color="auto"/>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5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Accounting Officer)</w:t>
            </w:r>
          </w:p>
        </w:tc>
        <w:tc>
          <w:tcPr>
            <w:tcW w:w="0" w:type="dxa"/>
            <w:vAlign w:val="bottom"/>
          </w:tcPr>
          <w:p>
            <w:pPr>
              <w:spacing w:after="0"/>
              <w:rPr>
                <w:sz w:val="1"/>
                <w:szCs w:val="1"/>
                <w:color w:val="auto"/>
              </w:rPr>
            </w:pPr>
          </w:p>
        </w:tc>
      </w:tr>
      <w:tr>
        <w:trPr>
          <w:trHeight w:val="16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Eric R. Dey</w:t>
            </w:r>
          </w:p>
        </w:tc>
        <w:tc>
          <w:tcPr>
            <w:tcW w:w="92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FleetCor Technologies,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20" w:firstLine="8"/>
        <w:spacing w:after="0" w:line="266"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280" w:firstLine="8"/>
        <w:spacing w:after="0" w:line="266" w:lineRule="auto"/>
        <w:tabs>
          <w:tab w:leader="none" w:pos="1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0" w:firstLine="8"/>
        <w:spacing w:after="0" w:line="282"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80" w:firstLine="8"/>
        <w:spacing w:after="0" w:line="282" w:lineRule="auto"/>
        <w:tabs>
          <w:tab w:leader="none" w:pos="1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7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2017</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 Dey, certify that:</w:t>
      </w:r>
    </w:p>
    <w:p>
      <w:pPr>
        <w:spacing w:after="0" w:line="117"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FleetCor Technologies,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20" w:firstLine="8"/>
        <w:spacing w:after="0" w:line="266" w:lineRule="auto"/>
        <w:tabs>
          <w:tab w:leader="none" w:pos="1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280" w:firstLine="8"/>
        <w:spacing w:after="0" w:line="266" w:lineRule="auto"/>
        <w:tabs>
          <w:tab w:leader="none" w:pos="1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0" w:firstLine="8"/>
        <w:spacing w:after="0" w:line="282" w:lineRule="auto"/>
        <w:tabs>
          <w:tab w:leader="none" w:pos="1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80" w:firstLine="8"/>
        <w:spacing w:after="0" w:line="282" w:lineRule="auto"/>
        <w:tabs>
          <w:tab w:leader="none" w:pos="1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7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2017</w:t>
      </w:r>
    </w:p>
    <w:p>
      <w:pPr>
        <w:sectPr>
          <w:pgSz w:w="11900" w:h="16838" w:orient="portrait"/>
          <w:cols w:equalWidth="0" w:num="1">
            <w:col w:w="11420"/>
          </w:cols>
          <w:pgMar w:left="240" w:top="79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FleetCor Technologies, Inc., a Delaware corporation (the “Company”), on Form 10-Q for the period ended March 31, 2017, as filed with the Securities and Exchange Commission (the “Report”), Ronald F. Clarke, Chief Executive Officer of the Company, does hereby certify, pursuant to § 906 of the Sarbanes-Oxley Act of 2002 (18 U.S.C. § 1350), that to his knowledge:</w:t>
      </w:r>
    </w:p>
    <w:p>
      <w:pPr>
        <w:spacing w:after="0" w:line="68"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7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2017</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FleetCor Technologies, Inc., a Delaware corporation (the “Company”), on Form 10-Q for the period ended March 31, 2017, as filed with the Securities and Exchange Commission (the “Report”), Eric R. Dey, Chief Financial Officer of the Company, does hereby certify, pursuant to § 906 of the Sarbanes-Oxley Act of 2002 (18 U.S.C. § 1350), that to his knowledge:</w:t>
      </w:r>
    </w:p>
    <w:p>
      <w:pPr>
        <w:spacing w:after="0" w:line="68"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7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2017</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2"/>
    </w:lvl>
  </w:abstractNum>
  <w:abstractNum w:abstractNumId="7">
    <w:nsid w:val="431BD7B7"/>
    <w:multiLevelType w:val="hybridMultilevel"/>
    <w:lvl w:ilvl="0">
      <w:lvlJc w:val="left"/>
      <w:lvlText w:val="(%1)"/>
      <w:numFmt w:val="lowerRoman"/>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decimal"/>
      <w:start w:val="10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2019-12-29T06:17:17Z</dcterms:created>
  <dcterms:modified xsi:type="dcterms:W3CDTF">2019-12-29T06:17:17Z</dcterms:modified>
</cp:coreProperties>
</file>