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34.jpeg" ContentType="image/jpeg"/>
  <Override PartName="/word/media/image233.jpeg" ContentType="image/jpeg"/>
  <Override PartName="/word/media/image232.jpeg" ContentType="image/jpeg"/>
  <Override PartName="/word/media/image231.jpeg" ContentType="image/jpeg"/>
  <Override PartName="/word/media/image230.jpeg" ContentType="image/jpeg"/>
  <Override PartName="/word/media/image229.jpeg" ContentType="image/jpeg"/>
  <Override PartName="/word/media/image228.jpeg" ContentType="image/jpeg"/>
  <Override PartName="/word/media/image227.jpeg" ContentType="image/jpeg"/>
  <Override PartName="/word/media/image226.jpeg" ContentType="image/jpeg"/>
  <Override PartName="/word/media/image225.jpeg" ContentType="image/jpeg"/>
  <Override PartName="/word/media/image219.jpeg" ContentType="image/jpeg"/>
  <Override PartName="/word/media/image224.jpeg" ContentType="image/jpeg"/>
  <Override PartName="/word/media/image218.jpeg" ContentType="image/jpeg"/>
  <Override PartName="/word/media/image223.jpeg" ContentType="image/jpeg"/>
  <Override PartName="/word/media/image217.jpeg" ContentType="image/jpeg"/>
  <Override PartName="/word/media/image222.jpeg" ContentType="image/jpeg"/>
  <Override PartName="/word/media/image216.jpeg" ContentType="image/jpeg"/>
  <Override PartName="/word/media/image221.jpeg" ContentType="image/jpeg"/>
  <Override PartName="/word/media/image215.jpeg" ContentType="image/jpeg"/>
  <Override PartName="/word/media/image220.jpeg" ContentType="image/jpeg"/>
  <Override PartName="/word/media/image214.jpeg" ContentType="image/jpeg"/>
  <Override PartName="/word/media/image209.jpeg" ContentType="image/jpeg"/>
  <Override PartName="/word/media/image208.jpeg" ContentType="image/jpeg"/>
  <Override PartName="/word/media/image213.jpeg" ContentType="image/jpeg"/>
  <Override PartName="/word/media/image207.jpeg" ContentType="image/jpeg"/>
  <Override PartName="/word/media/image212.jpeg" ContentType="image/jpeg"/>
  <Override PartName="/word/media/image206.jpeg" ContentType="image/jpeg"/>
  <Override PartName="/word/media/image211.jpeg" ContentType="image/jpeg"/>
  <Override PartName="/word/media/image205.jpeg" ContentType="image/jpeg"/>
  <Override PartName="/word/media/image210.jpeg" ContentType="image/jpeg"/>
  <Override PartName="/word/media/image204.jpeg" ContentType="image/jpeg"/>
  <Override PartName="/word/media/image203.jpeg" ContentType="image/jpeg"/>
  <Override PartName="/word/media/image202.jpeg" ContentType="image/jpeg"/>
  <Override PartName="/word/media/image201.jpeg" ContentType="image/jpeg"/>
  <Override PartName="/word/media/image200.jpeg" ContentType="image/jpeg"/>
  <Override PartName="/word/media/image199.jpeg" ContentType="image/jpeg"/>
  <Override PartName="/word/media/image96.jpeg" ContentType="image/jpeg"/>
  <Override PartName="/word/media/image95.jpeg" ContentType="image/jpeg"/>
  <Override PartName="/word/media/image149.jpeg" ContentType="image/jpeg"/>
  <Override PartName="/word/media/image94.jpeg" ContentType="image/jpeg"/>
  <Override PartName="/word/media/image148.jpeg" ContentType="image/jpeg"/>
  <Override PartName="/word/media/image93.jpeg" ContentType="image/jpeg"/>
  <Override PartName="/word/media/image147.jpeg" ContentType="image/jpeg"/>
  <Override PartName="/word/media/image83.jpeg" ContentType="image/jpeg"/>
  <Override PartName="/word/media/image82.jpeg" ContentType="image/jpeg"/>
  <Override PartName="/word/media/image81.jpeg" ContentType="image/jpeg"/>
  <Override PartName="/word/media/image80.jpeg" ContentType="image/jpeg"/>
  <Override PartName="/word/media/image119.jpeg" ContentType="image/jpeg"/>
  <Override PartName="/word/media/image118.jpeg" ContentType="image/jpeg"/>
  <Override PartName="/word/media/image63.jpeg" ContentType="image/jpeg"/>
  <Override PartName="/word/media/image117.jpeg" ContentType="image/jpeg"/>
  <Override PartName="/word/media/image62.jpeg" ContentType="image/jpeg"/>
  <Override PartName="/word/media/image116.jpeg" ContentType="image/jpeg"/>
  <Override PartName="/word/media/image61.jpeg" ContentType="image/jpeg"/>
  <Override PartName="/word/media/image60.jpeg" ContentType="image/jpeg"/>
  <Override PartName="/word/media/image66.jpeg" ContentType="image/jpeg"/>
  <Override PartName="/word/media/image72.jpeg" ContentType="image/jpeg"/>
  <Override PartName="/word/media/image39.jpeg" ContentType="image/jpeg"/>
  <Override PartName="/word/media/image59.jpeg" ContentType="image/jpeg"/>
  <Override PartName="/word/media/image86.jpeg" ContentType="image/jpeg"/>
  <Override PartName="/word/media/image92.jpeg" ContentType="image/jpeg"/>
  <Override PartName="/word/media/image22.jpeg" ContentType="image/jpeg"/>
  <Override PartName="/word/media/image16.jpeg" ContentType="image/jpeg"/>
  <Override PartName="/word/media/image89.jpeg" ContentType="image/jpeg"/>
  <Override PartName="/word/media/image65.jpeg" ContentType="image/jpeg"/>
  <Override PartName="/word/media/image71.jpeg" ContentType="image/jpeg"/>
  <Override PartName="/word/media/image38.jpeg" ContentType="image/jpeg"/>
  <Override PartName="/word/media/image99.jpeg" ContentType="image/jpeg"/>
  <Override PartName="/word/media/image58.jpeg" ContentType="image/jpeg"/>
  <Override PartName="/word/media/image85.jpeg" ContentType="image/jpeg"/>
  <Override PartName="/word/media/image91.jpeg" ContentType="image/jpeg"/>
  <Override PartName="/word/media/image21.jpeg" ContentType="image/jpeg"/>
  <Override PartName="/word/media/image15.jpeg" ContentType="image/jpeg"/>
  <Override PartName="/word/media/image64.jpeg" ContentType="image/jpeg"/>
  <Override PartName="/word/media/image70.jpeg" ContentType="image/jpeg"/>
  <Override PartName="/word/media/image98.jpeg" ContentType="image/jpeg"/>
  <Override PartName="/word/media/image57.jpeg" ContentType="image/jpeg"/>
  <Override PartName="/word/media/image84.jpeg" ContentType="image/jpeg"/>
  <Override PartName="/word/media/image90.jpeg" ContentType="image/jpeg"/>
  <Override PartName="/word/media/image20.jpeg" ContentType="image/jpeg"/>
  <Override PartName="/word/media/image14.jpeg" ContentType="image/jpeg"/>
  <Override PartName="/word/media/image50.jpeg" ContentType="image/jpeg"/>
  <Override PartName="/word/media/image44.jpeg" ContentType="image/jpeg"/>
  <Override PartName="/word/media/image165.jpeg" ContentType="image/jpeg"/>
  <Override PartName="/word/media/image159.jpeg" ContentType="image/jpeg"/>
  <Override PartName="/word/media/image56.jpeg" ContentType="image/jpeg"/>
  <Override PartName="/word/media/image13.jpeg" ContentType="image/jpeg"/>
  <Override PartName="/word/media/image43.jpeg" ContentType="image/jpeg"/>
  <Override PartName="/word/media/image49.jpeg" ContentType="image/jpeg"/>
  <Override PartName="/word/media/image55.jpeg" ContentType="image/jpeg"/>
  <Override PartName="/word/media/image12.jpeg" ContentType="image/jpeg"/>
  <Override PartName="/word/media/image42.jpeg" ContentType="image/jpeg"/>
  <Override PartName="/word/media/image48.jpeg" ContentType="image/jpeg"/>
  <Override PartName="/word/media/image54.jpeg" ContentType="image/jpeg"/>
  <Override PartName="/word/media/image169.jpeg" ContentType="image/jpeg"/>
  <Override PartName="/word/media/image11.jpeg" ContentType="image/jpeg"/>
  <Override PartName="/word/media/image79.jpeg" ContentType="image/jpeg"/>
  <Override PartName="/word/media/image36.jpeg" ContentType="image/jpeg"/>
  <Override PartName="/word/media/image4.jpeg" ContentType="image/jpeg"/>
  <Override PartName="/word/media/image47.jpeg" ContentType="image/jpeg"/>
  <Override PartName="/word/media/image53.jpeg" ContentType="image/jpeg"/>
  <Override PartName="/word/media/image168.jpeg" ContentType="image/jpeg"/>
  <Override PartName="/word/media/image10.jpeg" ContentType="image/jpeg"/>
  <Override PartName="/word/media/image37.jpeg" ContentType="image/jpeg"/>
  <Override PartName="/word/media/image5.jpeg" ContentType="image/jpeg"/>
  <Override PartName="/word/media/image78.jpeg" ContentType="image/jpeg"/>
  <Override PartName="/word/media/image41.jpeg" ContentType="image/jpeg"/>
  <Override PartName="/word/media/image35.jpeg" ContentType="image/jpeg"/>
  <Override PartName="/word/media/image3.jpeg" ContentType="image/jpeg"/>
  <Override PartName="/word/media/image175.jpeg" ContentType="image/jpeg"/>
  <Override PartName="/word/media/image176.jpeg" ContentType="image/jpeg"/>
  <Override PartName="/word/media/image177.jpeg" ContentType="image/jpeg"/>
  <Override PartName="/word/media/image26.jpeg" ContentType="image/jpeg"/>
  <Override PartName="/word/media/image87.jpeg" ContentType="image/jpeg"/>
  <Override PartName="/word/media/image27.jpeg" ContentType="image/jpeg"/>
  <Override PartName="/word/media/image88.jpeg" ContentType="image/jpeg"/>
  <Override PartName="/word/media/image28.jpeg" ContentType="image/jpeg"/>
  <Override PartName="/word/media/image29.jpeg" ContentType="image/jpeg"/>
  <Override PartName="/word/media/image67.jpeg" ContentType="image/jpeg"/>
  <Override PartName="/word/media/image73.jpeg" ContentType="image/jpeg"/>
  <Override PartName="/word/media/image23.jpeg" ContentType="image/jpeg"/>
  <Override PartName="/word/media/image17.jpeg" ContentType="image/jpeg"/>
  <Override PartName="/word/media/image6.jpeg" ContentType="image/jpeg"/>
  <Override PartName="/word/media/image30.jpeg" ContentType="image/jpeg"/>
  <Override PartName="/word/media/image68.jpeg" ContentType="image/jpeg"/>
  <Override PartName="/word/media/image74.jpeg" ContentType="image/jpeg"/>
  <Override PartName="/word/media/image24.jpeg" ContentType="image/jpeg"/>
  <Override PartName="/word/media/image18.jpeg" ContentType="image/jpeg"/>
  <Override PartName="/word/media/image1.jpeg" ContentType="image/jpeg"/>
  <Override PartName="/word/media/image7.jpeg" ContentType="image/jpeg"/>
  <Override PartName="/word/media/image31.jpeg" ContentType="image/jpeg"/>
  <Override PartName="/word/media/image69.jpeg" ContentType="image/jpeg"/>
  <Override PartName="/word/media/image75.jpeg" ContentType="image/jpeg"/>
  <Override PartName="/word/media/image25.jpeg" ContentType="image/jpeg"/>
  <Override PartName="/word/media/image19.jpeg" ContentType="image/jpeg"/>
  <Override PartName="/word/media/image2.jpeg" ContentType="image/jpeg"/>
  <Override PartName="/word/media/image8.jpeg" ContentType="image/jpeg"/>
  <Override PartName="/word/media/image32.jpeg" ContentType="image/jpeg"/>
  <Override PartName="/word/media/image76.jpeg" ContentType="image/jpeg"/>
  <Override PartName="/word/media/image9.jpeg" ContentType="image/jpeg"/>
  <Override PartName="/word/media/image33.jpeg" ContentType="image/jpeg"/>
  <Override PartName="/word/media/image77.jpeg" ContentType="image/jpeg"/>
  <Override PartName="/word/media/image40.jpeg" ContentType="image/jpeg"/>
  <Override PartName="/word/media/image34.jpeg" ContentType="image/jpeg"/>
  <Override PartName="/word/media/image45.jpeg" ContentType="image/jpeg"/>
  <Override PartName="/word/media/image51.jpeg" ContentType="image/jpeg"/>
  <Override PartName="/word/media/image166.jpeg" ContentType="image/jpeg"/>
  <Override PartName="/word/media/image46.jpeg" ContentType="image/jpeg"/>
  <Override PartName="/word/media/image52.jpeg" ContentType="image/jpeg"/>
  <Override PartName="/word/media/image167.jpeg" ContentType="image/jpeg"/>
  <Override PartName="/word/media/image97.jpeg" ContentType="image/jpeg"/>
  <Override PartName="/word/media/image100.jpeg" ContentType="image/jpeg"/>
  <Override PartName="/word/media/image101.jpeg" ContentType="image/jpeg"/>
  <Override PartName="/word/media/image102.jpeg" ContentType="image/jpeg"/>
  <Override PartName="/word/media/image103.jpeg" ContentType="image/jpeg"/>
  <Override PartName="/word/media/image114.jpeg" ContentType="image/jpeg"/>
  <Override PartName="/word/media/image108.jpeg" ContentType="image/jpeg"/>
  <Override PartName="/word/media/image115.jpeg" ContentType="image/jpeg"/>
  <Override PartName="/word/media/image109.jpeg" ContentType="image/jpeg"/>
  <Override PartName="/word/media/image104.jpeg" ContentType="image/jpeg"/>
  <Override PartName="/word/media/image110.jpeg" ContentType="image/jpeg"/>
  <Override PartName="/word/media/image171.jpeg" ContentType="image/jpeg"/>
  <Override PartName="/word/media/image105.jpeg" ContentType="image/jpeg"/>
  <Override PartName="/word/media/image111.jpeg" ContentType="image/jpeg"/>
  <Override PartName="/word/media/image172.jpeg" ContentType="image/jpeg"/>
  <Override PartName="/word/media/image106.jpeg" ContentType="image/jpeg"/>
  <Override PartName="/word/media/image112.jpeg" ContentType="image/jpeg"/>
  <Override PartName="/word/media/image173.jpeg" ContentType="image/jpeg"/>
  <Override PartName="/word/media/image107.jpeg" ContentType="image/jpeg"/>
  <Override PartName="/word/media/image113.jpeg" ContentType="image/jpeg"/>
  <Override PartName="/word/media/image174.jpeg" ContentType="image/jpeg"/>
  <Override PartName="/word/media/image120.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media/image127.jpeg" ContentType="image/jpeg"/>
  <Override PartName="/word/media/image128.jpeg" ContentType="image/jpeg"/>
  <Override PartName="/word/media/image129.jpeg" ContentType="image/jpeg"/>
  <Override PartName="/word/media/image130.jpeg" ContentType="image/jpeg"/>
  <Override PartName="/word/media/image131.jpeg" ContentType="image/jpeg"/>
  <Override PartName="/word/media/image132.jpeg" ContentType="image/jpeg"/>
  <Override PartName="/word/media/image133.jpeg" ContentType="image/jpeg"/>
  <Override PartName="/word/media/image170.jpeg" ContentType="image/jpeg"/>
  <Override PartName="/word/media/image134.jpeg" ContentType="image/jpeg"/>
  <Override PartName="/word/media/image140.jpeg" ContentType="image/jpeg"/>
  <Override PartName="/word/media/image135.jpeg" ContentType="image/jpeg"/>
  <Override PartName="/word/media/image141.jpeg" ContentType="image/jpeg"/>
  <Override PartName="/word/media/image136.jpeg" ContentType="image/jpeg"/>
  <Override PartName="/word/media/image142.jpeg" ContentType="image/jpeg"/>
  <Override PartName="/word/media/image137.jpeg" ContentType="image/jpeg"/>
  <Override PartName="/word/media/image143.jpeg" ContentType="image/jpeg"/>
  <Override PartName="/word/media/image138.jpeg" ContentType="image/jpeg"/>
  <Override PartName="/word/media/image144.jpeg" ContentType="image/jpeg"/>
  <Override PartName="/word/media/image139.jpeg" ContentType="image/jpeg"/>
  <Override PartName="/word/media/image145.jpeg" ContentType="image/jpeg"/>
  <Override PartName="/word/media/image146.jpeg" ContentType="image/jpeg"/>
  <Override PartName="/word/media/image150.jpeg" ContentType="image/jpeg"/>
  <Override PartName="/word/media/image151.jpeg" ContentType="image/jpeg"/>
  <Override PartName="/word/media/image152.jpeg" ContentType="image/jpeg"/>
  <Override PartName="/word/media/image153.jpeg" ContentType="image/jpeg"/>
  <Override PartName="/word/media/image160.jpeg" ContentType="image/jpeg"/>
  <Override PartName="/word/media/image154.jpeg" ContentType="image/jpeg"/>
  <Override PartName="/word/media/image161.jpeg" ContentType="image/jpeg"/>
  <Override PartName="/word/media/image155.jpeg" ContentType="image/jpeg"/>
  <Override PartName="/word/media/image162.jpeg" ContentType="image/jpeg"/>
  <Override PartName="/word/media/image156.jpeg" ContentType="image/jpeg"/>
  <Override PartName="/word/media/image157.jpeg" ContentType="image/jpeg"/>
  <Override PartName="/word/media/image163.jpeg" ContentType="image/jpeg"/>
  <Override PartName="/word/media/image158.jpeg" ContentType="image/jpeg"/>
  <Override PartName="/word/media/image164.jpeg" ContentType="image/jpeg"/>
  <Override PartName="/word/media/image178.jpeg" ContentType="image/jpeg"/>
  <Override PartName="/word/media/image179.jpeg" ContentType="image/jpeg"/>
  <Override PartName="/word/media/image180.jpeg" ContentType="image/jpeg"/>
  <Override PartName="/word/media/image181.jpeg" ContentType="image/jpeg"/>
  <Override PartName="/word/media/image182.jpeg" ContentType="image/jpeg"/>
  <Override PartName="/word/media/image183.jpeg" ContentType="image/jpeg"/>
  <Override PartName="/word/media/image184.jpeg" ContentType="image/jpeg"/>
  <Override PartName="/word/media/image190.jpeg" ContentType="image/jpeg"/>
  <Override PartName="/word/media/image185.jpeg" ContentType="image/jpeg"/>
  <Override PartName="/word/media/image191.jpeg" ContentType="image/jpeg"/>
  <Override PartName="/word/media/image186.jpeg" ContentType="image/jpeg"/>
  <Override PartName="/word/media/image192.jpeg" ContentType="image/jpeg"/>
  <Override PartName="/word/media/image187.jpeg" ContentType="image/jpeg"/>
  <Override PartName="/word/media/image193.jpeg" ContentType="image/jpeg"/>
  <Override PartName="/word/media/image188.jpeg" ContentType="image/jpeg"/>
  <Override PartName="/word/media/image194.jpeg" ContentType="image/jpeg"/>
  <Override PartName="/word/media/image189.jpeg" ContentType="image/jpeg"/>
  <Override PartName="/word/media/image195.jpeg" ContentType="image/jpeg"/>
  <Override PartName="/word/media/image196.jpeg" ContentType="image/jpeg"/>
  <Override PartName="/word/media/image197.jpeg" ContentType="image/jpeg"/>
  <Override PartName="/word/media/image198.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rPr>
          <w:caps w:val="false"/>
          <w:smallCaps w:val="false"/>
        </w:rPr>
      </w:pPr>
      <w:r>
        <w:rPr>
          <w:caps w:val="false"/>
          <w:smallCaps w:val="false"/>
        </w:rPr>
        <w:t> </w:t>
      </w:r>
    </w:p>
    <w:p>
      <w:pPr>
        <w:pStyle w:val="TextBody"/>
        <w:spacing w:before="60" w:after="60"/>
        <w:jc w:val="left"/>
        <w:rPr>
          <w:caps w:val="false"/>
          <w:smallCaps w:val="false"/>
          <w:bdr w:val="single" w:sz="32" w:space="1" w:color="000000"/>
        </w:rPr>
      </w:pPr>
      <w:r>
        <w:rPr>
          <w:caps w:val="false"/>
          <w:smallCaps w:val="false"/>
          <w:bdr w:val="single" w:sz="32" w:space="1" w:color="000000"/>
        </w:rPr>
        <w:t> </w:t>
      </w:r>
    </w:p>
    <w:p>
      <w:pPr>
        <w:pStyle w:val="TextBody"/>
        <w:spacing w:before="0" w:after="0"/>
        <w:ind w:left="0" w:right="0" w:hanging="0"/>
        <w:rPr>
          <w:caps w:val="false"/>
          <w:smallCaps w:val="false"/>
          <w:color w:val="FF0000"/>
        </w:rPr>
      </w:pPr>
      <w:r>
        <w:rPr>
          <w:caps w:val="false"/>
          <w:smallCaps w:val="false"/>
          <w:color w:val="FF0000"/>
        </w:rPr>
        <w:t> </w:t>
      </w:r>
    </w:p>
    <w:p>
      <w:pPr>
        <w:pStyle w:val="TextBody"/>
        <w:spacing w:before="0" w:after="0"/>
        <w:jc w:val="center"/>
        <w:rPr>
          <w:rFonts w:ascii="Arial;Helvetica;Sans-Serif" w:hAnsi="Arial;Helvetica;Sans-Serif"/>
          <w:b/>
          <w:i w:val="false"/>
          <w:caps w:val="false"/>
          <w:smallCaps w:val="false"/>
          <w:sz w:val="40"/>
        </w:rPr>
      </w:pPr>
      <w:r>
        <w:rPr>
          <w:rFonts w:ascii="Arial;Helvetica;Sans-Serif" w:hAnsi="Arial;Helvetica;Sans-Serif"/>
          <w:b/>
          <w:i w:val="false"/>
          <w:caps w:val="false"/>
          <w:smallCaps w:val="false"/>
          <w:sz w:val="40"/>
        </w:rPr>
        <w:t>UNITED STATES</w:t>
      </w:r>
    </w:p>
    <w:p>
      <w:pPr>
        <w:pStyle w:val="TextBody"/>
        <w:spacing w:before="0" w:after="0"/>
        <w:jc w:val="center"/>
        <w:rPr>
          <w:rFonts w:ascii="Arial;Helvetica;Sans-Serif" w:hAnsi="Arial;Helvetica;Sans-Serif"/>
          <w:b/>
          <w:i w:val="false"/>
          <w:caps w:val="false"/>
          <w:smallCaps w:val="false"/>
          <w:sz w:val="40"/>
        </w:rPr>
      </w:pPr>
      <w:r>
        <w:rPr>
          <w:rFonts w:ascii="Arial;Helvetica;Sans-Serif" w:hAnsi="Arial;Helvetica;Sans-Serif"/>
          <w:b/>
          <w:i w:val="false"/>
          <w:caps w:val="false"/>
          <w:smallCaps w:val="false"/>
          <w:sz w:val="40"/>
        </w:rPr>
        <w:t>SECURITIES AND EXCHANGE COMMISSION</w:t>
      </w:r>
    </w:p>
    <w:p>
      <w:pPr>
        <w:pStyle w:val="TextBody"/>
        <w:spacing w:before="0" w:after="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Washington, D.C. 20549</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Arial;Helvetica;Sans-Serif" w:hAnsi="Arial;Helvetica;Sans-Serif"/>
          <w:b w:val="false"/>
          <w:i w:val="false"/>
          <w:caps w:val="false"/>
          <w:smallCaps w:val="false"/>
          <w:sz w:val="48"/>
        </w:rPr>
      </w:pPr>
      <w:r>
        <w:rPr>
          <w:rFonts w:ascii="Arial;Helvetica;Sans-Serif" w:hAnsi="Arial;Helvetica;Sans-Serif"/>
          <w:b/>
          <w:i w:val="false"/>
          <w:caps w:val="false"/>
          <w:smallCaps w:val="false"/>
          <w:sz w:val="48"/>
        </w:rPr>
        <w:t>SCHEDULE 14A</w:t>
      </w:r>
      <w:r>
        <w:rPr>
          <w:rFonts w:ascii="Arial;Helvetica;Sans-Serif" w:hAnsi="Arial;Helvetica;Sans-Serif"/>
          <w:b w:val="false"/>
          <w:i w:val="false"/>
          <w:caps w:val="false"/>
          <w:smallCaps w:val="false"/>
          <w:sz w:val="48"/>
        </w:rPr>
        <w:t> </w:t>
      </w:r>
    </w:p>
    <w:p>
      <w:pPr>
        <w:pStyle w:val="TextBody"/>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(Rule 14a-101)</w:t>
      </w:r>
    </w:p>
    <w:p>
      <w:pPr>
        <w:pStyle w:val="TextBody"/>
        <w:spacing w:before="0" w:after="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INFORMATION REQUIRED IN PROXY STATEMENT</w:t>
      </w:r>
    </w:p>
    <w:p>
      <w:pPr>
        <w:pStyle w:val="TextBody"/>
        <w:spacing w:before="0" w:after="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Proxy Statement Pursuant to Section 14(a) of the</w:t>
        <w:br/>
        <w:t>Securities Exchange Act of 1934</w:t>
      </w:r>
    </w:p>
    <w:p>
      <w:pPr>
        <w:pStyle w:val="TextBody"/>
        <w:spacing w:before="0" w:after="0"/>
        <w:jc w:val="center"/>
        <w:rPr>
          <w:rFonts w:ascii="Arial;Helvetica;Sans-Serif" w:hAnsi="Arial;Helvetica;Sans-Serif"/>
          <w:b/>
          <w:i w:val="false"/>
          <w:caps w:val="false"/>
          <w:smallCaps w:val="false"/>
          <w:sz w:val="32"/>
        </w:rPr>
      </w:pPr>
      <w:r>
        <w:rPr>
          <w:rFonts w:ascii="Arial;Helvetica;Sans-Serif" w:hAnsi="Arial;Helvetica;Sans-Serif"/>
          <w:b/>
          <w:i w:val="false"/>
          <w:caps w:val="false"/>
          <w:smallCaps w:val="false"/>
          <w:sz w:val="32"/>
        </w:rPr>
        <w:t>(Amendment No.     )</w:t>
      </w:r>
    </w:p>
    <w:p>
      <w:pPr>
        <w:pStyle w:val="TextBody"/>
        <w:spacing w:before="0" w:after="0"/>
        <w:ind w:left="0" w:right="0" w:hanging="0"/>
        <w:jc w:val="center"/>
        <w:rPr>
          <w:caps w:val="false"/>
          <w:smallCaps w:val="false"/>
        </w:rPr>
      </w:pPr>
      <w:r>
        <w:rPr>
          <w:caps w:val="false"/>
          <w:smallCaps w:val="false"/>
        </w:rPr>
        <w:t> </w:t>
      </w:r>
    </w:p>
    <w:p>
      <w:pPr>
        <w:pStyle w:val="TextBody"/>
        <w:spacing w:before="60" w:after="60"/>
        <w:jc w:val="left"/>
        <w:rPr>
          <w:caps w:val="false"/>
          <w:smallCaps w:val="false"/>
          <w:bdr w:val="single" w:sz="8" w:space="1" w:color="000000"/>
        </w:rPr>
      </w:pPr>
      <w:r>
        <w:rPr>
          <w:caps w:val="false"/>
          <w:smallCaps w:val="false"/>
          <w:bdr w:val="single" w:sz="8"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Filed by the Registrant ☒                  Filed by a party other than the Registrant ☐</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w:t>
      </w:r>
    </w:p>
    <w:p>
      <w:pPr>
        <w:pStyle w:val="TextBody"/>
        <w:spacing w:before="0" w:after="0"/>
        <w:ind w:left="115" w:right="0" w:hanging="0"/>
        <w:rPr>
          <w:caps w:val="false"/>
          <w:smallCaps w:val="false"/>
        </w:rPr>
      </w:pPr>
      <w:r>
        <w:rPr>
          <w:caps w:val="false"/>
          <w:smallCaps w:val="false"/>
        </w:rPr>
        <w:t> </w:t>
      </w:r>
    </w:p>
    <w:tbl>
      <w:tblPr>
        <w:tblW w:w="3310" w:type="dxa"/>
        <w:jc w:val="left"/>
        <w:tblInd w:w="0" w:type="dxa"/>
        <w:tblCellMar>
          <w:top w:w="0" w:type="dxa"/>
          <w:left w:w="0" w:type="dxa"/>
          <w:bottom w:w="0" w:type="dxa"/>
          <w:right w:w="0" w:type="dxa"/>
        </w:tblCellMar>
      </w:tblPr>
      <w:tblGrid>
        <w:gridCol w:w="245"/>
        <w:gridCol w:w="3065"/>
      </w:tblGrid>
      <w:tr>
        <w:trPr/>
        <w:tc>
          <w:tcPr>
            <w:tcW w:w="245" w:type="dxa"/>
            <w:tcBorders/>
            <w:shd w:fill="auto" w:val="clear"/>
            <w:vAlign w:val="center"/>
          </w:tcPr>
          <w:p>
            <w:pPr>
              <w:pStyle w:val="TableContents"/>
              <w:spacing w:before="0" w:after="283"/>
              <w:rPr/>
            </w:pPr>
            <w:r>
              <w:rPr/>
              <w:t>☐</w:t>
            </w:r>
          </w:p>
        </w:tc>
        <w:tc>
          <w:tcPr>
            <w:tcW w:w="3065" w:type="dxa"/>
            <w:tcBorders/>
            <w:shd w:fill="auto" w:val="clear"/>
            <w:vAlign w:val="center"/>
          </w:tcPr>
          <w:p>
            <w:pPr>
              <w:pStyle w:val="TableContents"/>
              <w:spacing w:before="0" w:after="283"/>
              <w:rPr>
                <w:rFonts w:ascii="Arial;Helvetica;Sans-Serif" w:hAnsi="Arial;Helvetica;Sans-Serif"/>
              </w:rPr>
            </w:pPr>
            <w:r>
              <w:rPr>
                <w:rFonts w:ascii="Arial;Helvetica;Sans-Serif" w:hAnsi="Arial;Helvetica;Sans-Serif"/>
              </w:rPr>
              <w:t>Preliminary Proxy Statement</w:t>
            </w:r>
          </w:p>
        </w:tc>
      </w:tr>
    </w:tbl>
    <w:p>
      <w:pPr>
        <w:pStyle w:val="TextBody"/>
        <w:spacing w:before="0" w:after="0"/>
        <w:rPr>
          <w:caps w:val="false"/>
          <w:smallCaps w:val="false"/>
        </w:rPr>
      </w:pPr>
      <w:r>
        <w:rPr>
          <w:caps w:val="false"/>
          <w:smallCaps w:val="false"/>
        </w:rPr>
        <w:t> </w:t>
      </w:r>
    </w:p>
    <w:tbl>
      <w:tblPr>
        <w:tblW w:w="8695" w:type="dxa"/>
        <w:jc w:val="left"/>
        <w:tblInd w:w="0" w:type="dxa"/>
        <w:tblCellMar>
          <w:top w:w="0" w:type="dxa"/>
          <w:left w:w="0" w:type="dxa"/>
          <w:bottom w:w="0" w:type="dxa"/>
          <w:right w:w="0" w:type="dxa"/>
        </w:tblCellMar>
      </w:tblPr>
      <w:tblGrid>
        <w:gridCol w:w="245"/>
        <w:gridCol w:w="8450"/>
      </w:tblGrid>
      <w:tr>
        <w:trPr/>
        <w:tc>
          <w:tcPr>
            <w:tcW w:w="245" w:type="dxa"/>
            <w:tcBorders/>
            <w:shd w:fill="auto" w:val="clear"/>
            <w:vAlign w:val="center"/>
          </w:tcPr>
          <w:p>
            <w:pPr>
              <w:pStyle w:val="TableContents"/>
              <w:spacing w:before="0" w:after="283"/>
              <w:rPr/>
            </w:pPr>
            <w:r>
              <w:rPr/>
              <w:t>☐</w:t>
            </w:r>
          </w:p>
        </w:tc>
        <w:tc>
          <w:tcPr>
            <w:tcW w:w="8450" w:type="dxa"/>
            <w:tcBorders/>
            <w:shd w:fill="auto" w:val="clear"/>
            <w:vAlign w:val="center"/>
          </w:tcPr>
          <w:p>
            <w:pPr>
              <w:pStyle w:val="TableContents"/>
              <w:spacing w:before="0" w:after="283"/>
              <w:jc w:val="left"/>
              <w:rPr>
                <w:rFonts w:ascii="Arial;Helvetica;Sans-Serif" w:hAnsi="Arial;Helvetica;Sans-Serif"/>
              </w:rPr>
            </w:pPr>
            <w:r>
              <w:rPr>
                <w:rFonts w:ascii="Arial;Helvetica;Sans-Serif" w:hAnsi="Arial;Helvetica;Sans-Serif"/>
              </w:rPr>
              <w:t>Confidential, for Use of the Commission Only (as permitted by Rule 14a-6(e)(2))</w:t>
            </w:r>
          </w:p>
        </w:tc>
      </w:tr>
    </w:tbl>
    <w:p>
      <w:pPr>
        <w:pStyle w:val="TextBody"/>
        <w:spacing w:before="0" w:after="0"/>
        <w:rPr>
          <w:caps w:val="false"/>
          <w:smallCaps w:val="false"/>
        </w:rPr>
      </w:pPr>
      <w:r>
        <w:rPr>
          <w:caps w:val="false"/>
          <w:smallCaps w:val="false"/>
        </w:rPr>
        <w:t> </w:t>
      </w:r>
    </w:p>
    <w:tbl>
      <w:tblPr>
        <w:tblW w:w="3100" w:type="dxa"/>
        <w:jc w:val="left"/>
        <w:tblInd w:w="0" w:type="dxa"/>
        <w:tblCellMar>
          <w:top w:w="0" w:type="dxa"/>
          <w:left w:w="0" w:type="dxa"/>
          <w:bottom w:w="0" w:type="dxa"/>
          <w:right w:w="0" w:type="dxa"/>
        </w:tblCellMar>
      </w:tblPr>
      <w:tblGrid>
        <w:gridCol w:w="245"/>
        <w:gridCol w:w="2855"/>
      </w:tblGrid>
      <w:tr>
        <w:trPr/>
        <w:tc>
          <w:tcPr>
            <w:tcW w:w="245" w:type="dxa"/>
            <w:tcBorders/>
            <w:shd w:fill="auto" w:val="clear"/>
            <w:vAlign w:val="center"/>
          </w:tcPr>
          <w:p>
            <w:pPr>
              <w:pStyle w:val="TableContents"/>
              <w:spacing w:before="0" w:after="283"/>
              <w:jc w:val="left"/>
              <w:rPr/>
            </w:pPr>
            <w:r>
              <w:rPr/>
              <w:t>☒</w:t>
            </w:r>
          </w:p>
        </w:tc>
        <w:tc>
          <w:tcPr>
            <w:tcW w:w="2855" w:type="dxa"/>
            <w:tcBorders/>
            <w:shd w:fill="auto" w:val="clear"/>
            <w:vAlign w:val="center"/>
          </w:tcPr>
          <w:p>
            <w:pPr>
              <w:pStyle w:val="TableContents"/>
              <w:spacing w:before="0" w:after="283"/>
              <w:rPr>
                <w:rFonts w:ascii="Arial;Helvetica;Sans-Serif" w:hAnsi="Arial;Helvetica;Sans-Serif"/>
              </w:rPr>
            </w:pPr>
            <w:r>
              <w:rPr>
                <w:rFonts w:ascii="Arial;Helvetica;Sans-Serif" w:hAnsi="Arial;Helvetica;Sans-Serif"/>
              </w:rPr>
              <w:t>Definitive Proxy Statement</w:t>
            </w:r>
          </w:p>
        </w:tc>
      </w:tr>
    </w:tbl>
    <w:p>
      <w:pPr>
        <w:pStyle w:val="TextBody"/>
        <w:spacing w:before="0" w:after="0"/>
        <w:ind w:left="115" w:right="0" w:hanging="0"/>
        <w:rPr>
          <w:caps w:val="false"/>
          <w:smallCaps w:val="false"/>
        </w:rPr>
      </w:pPr>
      <w:r>
        <w:rPr>
          <w:caps w:val="false"/>
          <w:smallCaps w:val="false"/>
        </w:rPr>
        <w:t> </w:t>
      </w:r>
    </w:p>
    <w:tbl>
      <w:tblPr>
        <w:tblW w:w="3460" w:type="dxa"/>
        <w:jc w:val="left"/>
        <w:tblInd w:w="0" w:type="dxa"/>
        <w:tblCellMar>
          <w:top w:w="0" w:type="dxa"/>
          <w:left w:w="0" w:type="dxa"/>
          <w:bottom w:w="0" w:type="dxa"/>
          <w:right w:w="0" w:type="dxa"/>
        </w:tblCellMar>
      </w:tblPr>
      <w:tblGrid>
        <w:gridCol w:w="245"/>
        <w:gridCol w:w="3215"/>
      </w:tblGrid>
      <w:tr>
        <w:trPr/>
        <w:tc>
          <w:tcPr>
            <w:tcW w:w="245" w:type="dxa"/>
            <w:tcBorders/>
            <w:shd w:fill="auto" w:val="clear"/>
            <w:vAlign w:val="center"/>
          </w:tcPr>
          <w:p>
            <w:pPr>
              <w:pStyle w:val="TableContents"/>
              <w:spacing w:before="0" w:after="283"/>
              <w:rPr/>
            </w:pPr>
            <w:r>
              <w:rPr/>
              <w:t>☐</w:t>
            </w:r>
          </w:p>
        </w:tc>
        <w:tc>
          <w:tcPr>
            <w:tcW w:w="3215" w:type="dxa"/>
            <w:tcBorders/>
            <w:shd w:fill="auto" w:val="clear"/>
            <w:vAlign w:val="center"/>
          </w:tcPr>
          <w:p>
            <w:pPr>
              <w:pStyle w:val="TableContents"/>
              <w:spacing w:before="0" w:after="283"/>
              <w:rPr>
                <w:rFonts w:ascii="Arial;Helvetica;Sans-Serif" w:hAnsi="Arial;Helvetica;Sans-Serif"/>
              </w:rPr>
            </w:pPr>
            <w:r>
              <w:rPr>
                <w:rFonts w:ascii="Arial;Helvetica;Sans-Serif" w:hAnsi="Arial;Helvetica;Sans-Serif"/>
              </w:rPr>
              <w:t>Definitive Additional Materials</w:t>
            </w:r>
          </w:p>
        </w:tc>
      </w:tr>
    </w:tbl>
    <w:p>
      <w:pPr>
        <w:pStyle w:val="TextBody"/>
        <w:spacing w:before="0" w:after="0"/>
        <w:rPr>
          <w:caps w:val="false"/>
          <w:smallCaps w:val="false"/>
        </w:rPr>
      </w:pPr>
      <w:r>
        <w:rPr>
          <w:caps w:val="false"/>
          <w:smallCaps w:val="false"/>
        </w:rPr>
        <w:t> </w:t>
      </w:r>
    </w:p>
    <w:tbl>
      <w:tblPr>
        <w:tblW w:w="4270" w:type="dxa"/>
        <w:jc w:val="left"/>
        <w:tblInd w:w="0" w:type="dxa"/>
        <w:tblCellMar>
          <w:top w:w="0" w:type="dxa"/>
          <w:left w:w="0" w:type="dxa"/>
          <w:bottom w:w="0" w:type="dxa"/>
          <w:right w:w="0" w:type="dxa"/>
        </w:tblCellMar>
      </w:tblPr>
      <w:tblGrid>
        <w:gridCol w:w="245"/>
        <w:gridCol w:w="4025"/>
      </w:tblGrid>
      <w:tr>
        <w:trPr/>
        <w:tc>
          <w:tcPr>
            <w:tcW w:w="245" w:type="dxa"/>
            <w:tcBorders/>
            <w:shd w:fill="auto" w:val="clear"/>
            <w:vAlign w:val="center"/>
          </w:tcPr>
          <w:p>
            <w:pPr>
              <w:pStyle w:val="TableContents"/>
              <w:spacing w:before="0" w:after="283"/>
              <w:rPr/>
            </w:pPr>
            <w:r>
              <w:rPr/>
              <w:t>☐</w:t>
            </w:r>
          </w:p>
        </w:tc>
        <w:tc>
          <w:tcPr>
            <w:tcW w:w="4025" w:type="dxa"/>
            <w:tcBorders/>
            <w:shd w:fill="auto" w:val="clear"/>
            <w:vAlign w:val="center"/>
          </w:tcPr>
          <w:p>
            <w:pPr>
              <w:pStyle w:val="TableContents"/>
              <w:spacing w:before="0" w:after="283"/>
              <w:rPr>
                <w:rFonts w:ascii="Arial;Helvetica;Sans-Serif" w:hAnsi="Arial;Helvetica;Sans-Serif"/>
              </w:rPr>
            </w:pPr>
            <w:r>
              <w:rPr>
                <w:rFonts w:ascii="Arial;Helvetica;Sans-Serif" w:hAnsi="Arial;Helvetica;Sans-Serif"/>
              </w:rPr>
              <w:t>Soliciting Material under §240.14a-12</w:t>
            </w:r>
          </w:p>
        </w:tc>
      </w:tr>
    </w:tbl>
    <w:p>
      <w:pPr>
        <w:pStyle w:val="TextBody"/>
        <w:spacing w:before="0" w:after="0"/>
        <w:rPr>
          <w:caps w:val="false"/>
          <w:smallCaps w:val="false"/>
        </w:rPr>
      </w:pPr>
      <w:r>
        <w:rPr>
          <w:caps w:val="false"/>
          <w:smallCaps w:val="false"/>
        </w:rPr>
        <w:t> </w:t>
      </w:r>
    </w:p>
    <w:p>
      <w:pPr>
        <w:pStyle w:val="TextBody"/>
        <w:jc w:val="left"/>
        <w:rPr>
          <w:caps w:val="false"/>
          <w:smallCaps w:val="false"/>
          <w:bdr w:val="single" w:sz="8" w:space="1" w:color="000000"/>
        </w:rPr>
      </w:pPr>
      <w:r>
        <w:rPr>
          <w:caps w:val="false"/>
          <w:smallCaps w:val="false"/>
          <w:bdr w:val="single" w:sz="8" w:space="1" w:color="000000"/>
        </w:rPr>
        <w:t> </w:t>
      </w:r>
    </w:p>
    <w:p>
      <w:pPr>
        <w:pStyle w:val="TextBody"/>
        <w:spacing w:before="0" w:after="0"/>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2009775" cy="333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09775" cy="333375"/>
                    </a:xfrm>
                    <a:prstGeom prst="rect">
                      <a:avLst/>
                    </a:prstGeom>
                  </pic:spPr>
                </pic:pic>
              </a:graphicData>
            </a:graphic>
          </wp:inline>
        </w:drawing>
      </w:r>
      <w:r>
        <w:rPr>
          <w:caps w:val="false"/>
          <w:smallCaps w:val="false"/>
        </w:rPr>
        <w:t xml:space="preserve"> </w:t>
      </w:r>
    </w:p>
    <w:p>
      <w:pPr>
        <w:pStyle w:val="TextBody"/>
        <w:spacing w:before="0" w:after="0"/>
        <w:jc w:val="center"/>
        <w:rPr>
          <w:rFonts w:ascii="Arial;Helvetica;Sans-Serif" w:hAnsi="Arial;Helvetica;Sans-Serif"/>
          <w:b/>
          <w:i w:val="false"/>
          <w:caps w:val="false"/>
          <w:smallCaps w:val="false"/>
          <w:color w:val="EE3D42"/>
          <w:sz w:val="64"/>
        </w:rPr>
      </w:pPr>
      <w:r>
        <w:rPr>
          <w:rFonts w:ascii="Arial;Helvetica;Sans-Serif" w:hAnsi="Arial;Helvetica;Sans-Serif"/>
          <w:b/>
          <w:i w:val="false"/>
          <w:caps w:val="false"/>
          <w:smallCaps w:val="false"/>
          <w:color w:val="EE3D42"/>
          <w:sz w:val="64"/>
        </w:rPr>
        <w:t>FLEETCOR TECHNOLOGIES, INC.</w:t>
      </w:r>
    </w:p>
    <w:p>
      <w:pPr>
        <w:pStyle w:val="TextBody"/>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(Name of Registrant as Specified In Its Charter) </w:t>
      </w:r>
    </w:p>
    <w:p>
      <w:pPr>
        <w:pStyle w:val="TextBody"/>
        <w:spacing w:before="0" w:after="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(Name of Person(s) Filing Proxy Statement, if other than the Registrant)</w:t>
      </w:r>
    </w:p>
    <w:p>
      <w:pPr>
        <w:pStyle w:val="TextBody"/>
        <w:spacing w:before="0" w:after="0"/>
        <w:ind w:left="3566" w:right="3558" w:hanging="0"/>
        <w:jc w:val="center"/>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sz w:val="24"/>
        </w:rPr>
      </w:pPr>
      <w:r>
        <w:rPr>
          <w:rFonts w:ascii="Arial;Helvetica;Sans-Serif" w:hAnsi="Arial;Helvetica;Sans-Serif"/>
          <w:b w:val="false"/>
          <w:i w:val="false"/>
          <w:caps w:val="false"/>
          <w:smallCaps w:val="false"/>
          <w:sz w:val="24"/>
        </w:rPr>
        <w:t>Payment of Filing Fee (Check the appropriate box):</w:t>
      </w:r>
    </w:p>
    <w:p>
      <w:pPr>
        <w:pStyle w:val="TextBody"/>
        <w:spacing w:before="0" w:after="0"/>
        <w:ind w:left="115" w:right="0" w:hanging="0"/>
        <w:rPr>
          <w:caps w:val="false"/>
          <w:smallCaps w:val="false"/>
        </w:rPr>
      </w:pPr>
      <w:r>
        <w:rPr>
          <w:caps w:val="false"/>
          <w:smallCaps w:val="false"/>
        </w:rPr>
        <w:t> </w:t>
      </w:r>
    </w:p>
    <w:tbl>
      <w:tblPr>
        <w:tblW w:w="1990" w:type="dxa"/>
        <w:jc w:val="left"/>
        <w:tblInd w:w="0" w:type="dxa"/>
        <w:tblCellMar>
          <w:top w:w="0" w:type="dxa"/>
          <w:left w:w="0" w:type="dxa"/>
          <w:bottom w:w="0" w:type="dxa"/>
          <w:right w:w="0" w:type="dxa"/>
        </w:tblCellMar>
      </w:tblPr>
      <w:tblGrid>
        <w:gridCol w:w="245"/>
        <w:gridCol w:w="1745"/>
      </w:tblGrid>
      <w:tr>
        <w:trPr/>
        <w:tc>
          <w:tcPr>
            <w:tcW w:w="245" w:type="dxa"/>
            <w:tcBorders/>
            <w:shd w:fill="auto" w:val="clear"/>
            <w:vAlign w:val="center"/>
          </w:tcPr>
          <w:p>
            <w:pPr>
              <w:pStyle w:val="TableContents"/>
              <w:spacing w:before="0" w:after="283"/>
              <w:jc w:val="left"/>
              <w:rPr/>
            </w:pPr>
            <w:r>
              <w:rPr/>
              <w:t>☒</w:t>
            </w:r>
          </w:p>
        </w:tc>
        <w:tc>
          <w:tcPr>
            <w:tcW w:w="1745" w:type="dxa"/>
            <w:tcBorders/>
            <w:shd w:fill="auto" w:val="clear"/>
            <w:vAlign w:val="center"/>
          </w:tcPr>
          <w:p>
            <w:pPr>
              <w:pStyle w:val="TableContents"/>
              <w:spacing w:before="0" w:after="283"/>
              <w:rPr>
                <w:rFonts w:ascii="Arial;Helvetica;Sans-Serif" w:hAnsi="Arial;Helvetica;Sans-Serif"/>
                <w:sz w:val="24"/>
              </w:rPr>
            </w:pPr>
            <w:r>
              <w:rPr>
                <w:rFonts w:ascii="Arial;Helvetica;Sans-Serif" w:hAnsi="Arial;Helvetica;Sans-Serif"/>
                <w:sz w:val="24"/>
              </w:rPr>
              <w:t>No fee required.</w:t>
            </w:r>
          </w:p>
        </w:tc>
      </w:tr>
    </w:tbl>
    <w:p>
      <w:pPr>
        <w:pStyle w:val="TextBody"/>
        <w:spacing w:before="0" w:after="0"/>
        <w:rPr>
          <w:caps w:val="false"/>
          <w:smallCaps w:val="false"/>
        </w:rPr>
      </w:pPr>
      <w:r>
        <w:rPr>
          <w:caps w:val="false"/>
          <w:smallCaps w:val="false"/>
        </w:rPr>
        <w:t> </w:t>
      </w:r>
    </w:p>
    <w:tbl>
      <w:tblPr>
        <w:tblW w:w="5215" w:type="dxa"/>
        <w:jc w:val="left"/>
        <w:tblInd w:w="0" w:type="dxa"/>
        <w:tblCellMar>
          <w:top w:w="0" w:type="dxa"/>
          <w:left w:w="0" w:type="dxa"/>
          <w:bottom w:w="0" w:type="dxa"/>
          <w:right w:w="0" w:type="dxa"/>
        </w:tblCellMar>
      </w:tblPr>
      <w:tblGrid>
        <w:gridCol w:w="245"/>
        <w:gridCol w:w="4970"/>
      </w:tblGrid>
      <w:tr>
        <w:trPr/>
        <w:tc>
          <w:tcPr>
            <w:tcW w:w="245" w:type="dxa"/>
            <w:tcBorders/>
            <w:shd w:fill="auto" w:val="clear"/>
            <w:vAlign w:val="center"/>
          </w:tcPr>
          <w:p>
            <w:pPr>
              <w:pStyle w:val="TableContents"/>
              <w:spacing w:before="0" w:after="283"/>
              <w:rPr/>
            </w:pPr>
            <w:r>
              <w:rPr/>
              <w:t>☐</w:t>
            </w:r>
          </w:p>
        </w:tc>
        <w:tc>
          <w:tcPr>
            <w:tcW w:w="4970" w:type="dxa"/>
            <w:tcBorders/>
            <w:shd w:fill="auto" w:val="clear"/>
            <w:vAlign w:val="center"/>
          </w:tcPr>
          <w:p>
            <w:pPr>
              <w:pStyle w:val="TableContents"/>
              <w:spacing w:before="0" w:after="283"/>
              <w:rPr>
                <w:rFonts w:ascii="Arial;Helvetica;Sans-Serif" w:hAnsi="Arial;Helvetica;Sans-Serif"/>
                <w:sz w:val="24"/>
              </w:rPr>
            </w:pPr>
            <w:r>
              <w:rPr>
                <w:rFonts w:ascii="Arial;Helvetica;Sans-Serif" w:hAnsi="Arial;Helvetica;Sans-Serif"/>
                <w:sz w:val="24"/>
              </w:rPr>
              <w:t>Fee paid previously with preliminary materials.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5"/>
        <w:gridCol w:w="9960"/>
      </w:tblGrid>
      <w:tr>
        <w:trPr/>
        <w:tc>
          <w:tcPr>
            <w:tcW w:w="245"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rPr>
                <w:rFonts w:ascii="Arial;Helvetica;Sans-Serif" w:hAnsi="Arial;Helvetica;Sans-Serif"/>
                <w:sz w:val="24"/>
              </w:rPr>
            </w:pPr>
            <w:r>
              <w:rPr>
                <w:rFonts w:ascii="Arial;Helvetica;Sans-Serif" w:hAnsi="Arial;Helvetica;Sans-Serif"/>
                <w:sz w:val="24"/>
              </w:rPr>
              <w:t>Fee computed on table in exhibit required by Item 25 (b) per Exchange Act Rules 14a-6 (i) (1) and D-11.</w:t>
            </w:r>
          </w:p>
        </w:tc>
      </w:tr>
    </w:tbl>
    <w:p>
      <w:pPr>
        <w:pStyle w:val="TextBody"/>
        <w:spacing w:before="0" w:after="0"/>
        <w:rPr>
          <w:caps w:val="false"/>
          <w:smallCaps w:val="false"/>
        </w:rPr>
      </w:pPr>
      <w:r>
        <w:rPr>
          <w:caps w:val="false"/>
          <w:smallCaps w:val="false"/>
        </w:rPr>
        <w:t> </w:t>
      </w:r>
    </w:p>
    <w:p>
      <w:pPr>
        <w:pStyle w:val="HorizontalLine"/>
        <w:rPr/>
      </w:pPr>
      <w:r>
        <w:rPr/>
      </w:r>
    </w:p>
    <w:p>
      <w:pPr>
        <w:pStyle w:val="HorizontalLine"/>
        <w:spacing w:before="200" w:after="200"/>
        <w:rPr/>
      </w:pPr>
      <w:r>
        <w:rPr/>
      </w:r>
    </w:p>
    <w:p>
      <w:pPr>
        <w:pStyle w:val="TextBody"/>
        <w:rPr/>
      </w:pPr>
      <w:r>
        <w:rPr/>
      </w:r>
    </w:p>
    <w:p>
      <w:pPr>
        <w:pStyle w:val="TextBody"/>
        <w:jc w:val="center"/>
        <w:rPr>
          <w:caps w:val="false"/>
          <w:smallCaps w:val="false"/>
        </w:rPr>
      </w:pPr>
      <w:r>
        <w:rPr>
          <w:caps w:val="false"/>
          <w:smallCaps w:val="false"/>
        </w:rPr>
        <w:t> </w:t>
      </w:r>
    </w:p>
    <w:p>
      <w:pPr>
        <w:pStyle w:val="TextBody"/>
        <w:jc w:val="center"/>
        <w:rPr>
          <w:caps w:val="false"/>
          <w:smallCaps w:val="false"/>
        </w:rPr>
      </w:pPr>
      <w:r>
        <w:rPr>
          <w:caps w:val="false"/>
          <w:smallCaps w:val="false"/>
        </w:rPr>
        <w:drawing>
          <wp:inline distT="0" distB="0" distL="0" distR="0">
            <wp:extent cx="6667500" cy="8629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667500" cy="8629650"/>
                    </a:xfrm>
                    <a:prstGeom prst="rect">
                      <a:avLst/>
                    </a:prstGeom>
                  </pic:spPr>
                </pic:pic>
              </a:graphicData>
            </a:graphic>
          </wp:inline>
        </w:drawing>
      </w:r>
    </w:p>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color w:val="EE0027"/>
          <w:sz w:val="20"/>
        </w:rPr>
      </w:pPr>
      <w:r>
        <w:rPr>
          <w:rFonts w:ascii="Arial;Helvetica;Sans-Serif" w:hAnsi="Arial;Helvetica;Sans-Serif"/>
          <w:b w:val="false"/>
          <w:i w:val="false"/>
          <w:caps w:val="false"/>
          <w:smallCaps w:val="false"/>
          <w:color w:val="EE0027"/>
          <w:sz w:val="20"/>
        </w:rPr>
        <w:t>A LETTER FROM OUR CHIEF EXECUTIVE OFFICER</w:t>
      </w:r>
    </w:p>
    <w:p>
      <w:pPr>
        <w:pStyle w:val="TextBody"/>
        <w:spacing w:before="0" w:after="0"/>
        <w:rPr>
          <w:caps w:val="false"/>
          <w:smallCaps w:val="false"/>
          <w:color w:val="EE0027"/>
        </w:rPr>
      </w:pPr>
      <w:r>
        <w:rPr>
          <w:caps w:val="false"/>
          <w:smallCaps w:val="false"/>
          <w:color w:val="EE0027"/>
        </w:rPr>
        <w:t> </w:t>
      </w:r>
    </w:p>
    <w:tbl>
      <w:tblPr>
        <w:tblW w:w="3920" w:type="dxa"/>
        <w:jc w:val="left"/>
        <w:tblInd w:w="0" w:type="dxa"/>
        <w:tblCellMar>
          <w:top w:w="0" w:type="dxa"/>
          <w:left w:w="0" w:type="dxa"/>
          <w:bottom w:w="0" w:type="dxa"/>
          <w:right w:w="0" w:type="dxa"/>
        </w:tblCellMar>
      </w:tblPr>
      <w:tblGrid>
        <w:gridCol w:w="2265"/>
        <w:gridCol w:w="1655"/>
      </w:tblGrid>
      <w:tr>
        <w:trPr/>
        <w:tc>
          <w:tcPr>
            <w:tcW w:w="2265"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1428750" cy="14763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28750" cy="1476375"/>
                          </a:xfrm>
                          <a:prstGeom prst="rect">
                            <a:avLst/>
                          </a:prstGeom>
                        </pic:spPr>
                      </pic:pic>
                    </a:graphicData>
                  </a:graphic>
                </wp:inline>
              </w:drawing>
            </w:r>
          </w:p>
        </w:tc>
        <w:tc>
          <w:tcPr>
            <w:tcW w:w="1655" w:type="dxa"/>
            <w:tcBorders/>
            <w:shd w:fill="auto" w:val="clear"/>
            <w:vAlign w:val="center"/>
          </w:tcPr>
          <w:p>
            <w:pPr>
              <w:pStyle w:val="TableContents"/>
              <w:spacing w:before="0" w:after="0"/>
              <w:jc w:val="left"/>
              <w:rPr>
                <w:caps w:val="false"/>
                <w:smallCaps w:val="false"/>
                <w:color w:val="EE0027"/>
              </w:rPr>
            </w:pPr>
            <w:r>
              <w:rPr>
                <w:caps w:val="false"/>
                <w:smallCaps w:val="false"/>
                <w:color w:val="EE0027"/>
              </w:rPr>
              <w:t> </w:t>
            </w:r>
          </w:p>
          <w:p>
            <w:pPr>
              <w:pStyle w:val="TableContents"/>
              <w:spacing w:before="0" w:after="0"/>
              <w:jc w:val="left"/>
              <w:rPr>
                <w:caps w:val="false"/>
                <w:smallCaps w:val="false"/>
                <w:color w:val="EE0027"/>
              </w:rPr>
            </w:pPr>
            <w:r>
              <w:rPr>
                <w:caps w:val="false"/>
                <w:smallCaps w:val="false"/>
                <w:color w:val="EE0027"/>
              </w:rPr>
              <w:t> </w:t>
            </w:r>
          </w:p>
          <w:p>
            <w:pPr>
              <w:pStyle w:val="TableContents"/>
              <w:spacing w:before="0" w:after="0"/>
              <w:jc w:val="left"/>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Ronald F. Clarke </w:t>
            </w:r>
          </w:p>
          <w:p>
            <w:pPr>
              <w:pStyle w:val="TableContents"/>
              <w:spacing w:before="0" w:after="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caps w:val="false"/>
                <w:smallCaps w:val="false"/>
                <w:color w:val="231F20"/>
                <w:sz w:val="16"/>
              </w:rPr>
              <w:t>Chairman &amp;</w:t>
            </w:r>
            <w:r>
              <w:rPr>
                <w:rFonts w:ascii="Times New Roman;Times;Serif" w:hAnsi="Times New Roman;Times;Serif"/>
                <w:b w:val="false"/>
                <w:i w:val="false"/>
                <w:caps w:val="false"/>
                <w:smallCaps w:val="false"/>
                <w:color w:val="231F20"/>
                <w:sz w:val="16"/>
              </w:rPr>
              <w:t> </w:t>
            </w:r>
          </w:p>
          <w:p>
            <w:pPr>
              <w:pStyle w:val="TableContents"/>
              <w:spacing w:before="0" w:after="0"/>
              <w:jc w:val="left"/>
              <w:rPr>
                <w:rFonts w:ascii="Times New Roman;Times;Serif" w:hAnsi="Times New Roman;Times;Serif"/>
                <w:b w:val="false"/>
                <w:i w:val="false"/>
                <w:caps w:val="false"/>
                <w:smallCaps w:val="false"/>
                <w:color w:val="231F20"/>
                <w:sz w:val="16"/>
              </w:rPr>
            </w:pPr>
            <w:r>
              <w:rPr>
                <w:rFonts w:ascii="Times New Roman;Times;Serif" w:hAnsi="Times New Roman;Times;Serif"/>
                <w:b w:val="false"/>
                <w:i/>
                <w:caps w:val="false"/>
                <w:smallCaps w:val="false"/>
                <w:color w:val="231F20"/>
                <w:sz w:val="16"/>
              </w:rPr>
              <w:t>Chief Executive Officer</w:t>
            </w:r>
            <w:r>
              <w:rPr>
                <w:rFonts w:ascii="Times New Roman;Times;Serif" w:hAnsi="Times New Roman;Times;Serif"/>
                <w:b w:val="false"/>
                <w:i w:val="false"/>
                <w:caps w:val="false"/>
                <w:smallCaps w:val="false"/>
                <w:color w:val="231F20"/>
                <w:sz w:val="16"/>
              </w:rPr>
              <w:t> </w:t>
            </w:r>
          </w:p>
        </w:tc>
      </w:tr>
    </w:tbl>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EE0027"/>
          <w:sz w:val="24"/>
        </w:rPr>
      </w:pPr>
      <w:r>
        <w:rPr>
          <w:rFonts w:ascii="Arial;Helvetica;Sans-Serif" w:hAnsi="Arial;Helvetica;Sans-Serif"/>
          <w:b/>
          <w:i w:val="false"/>
          <w:caps w:val="false"/>
          <w:smallCaps w:val="false"/>
          <w:color w:val="EE0027"/>
          <w:sz w:val="24"/>
        </w:rPr>
        <w:t>My Fellow Shareholders,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Thank you for your investment in FLEETCOR.</w:t>
      </w:r>
    </w:p>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4720590"/>
                <wp:effectExtent l="0" t="0" r="0" b="0"/>
                <wp:wrapSquare wrapText="largest"/>
                <wp:docPr id="4" name="Frame1"/>
                <a:graphic xmlns:a="http://schemas.openxmlformats.org/drawingml/2006/main">
                  <a:graphicData uri="http://schemas.microsoft.com/office/word/2010/wordprocessingShape">
                    <wps:wsp>
                      <wps:cNvSpPr txBox="1"/>
                      <wps:spPr>
                        <a:xfrm>
                          <a:off x="0" y="0"/>
                          <a:ext cx="3110230" cy="4720590"/>
                        </a:xfrm>
                        <a:prstGeom prst="rect"/>
                      </wps:spPr>
                      <wps:txbx>
                        <w:txbxContent>
                          <w:p>
                            <w:pPr>
                              <w:pStyle w:val="TextBody"/>
                              <w:spacing w:before="0" w:after="0"/>
                              <w:jc w:val="left"/>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Performance &amp; Positioning</w:t>
                            </w:r>
                          </w:p>
                          <w:p>
                            <w:pPr>
                              <w:pStyle w:val="TextBody"/>
                              <w:spacing w:before="0" w:after="0"/>
                              <w:jc w:val="left"/>
                              <w:rPr>
                                <w:caps w:val="false"/>
                                <w:smallCaps w:val="false"/>
                                <w:color w:val="EE0027"/>
                              </w:rPr>
                            </w:pPr>
                            <w:r>
                              <w:rPr>
                                <w:caps w:val="false"/>
                                <w:smallCaps w:val="false"/>
                                <w:color w:val="EE0027"/>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full year 2022 financial performance was outstanding, with revenue of $3.4 billion, up 21% and adjusted earnings per share of $16.10, up 22%. Both were way ahead of our expectations heading into the year. We also closed five capability acquisitions (inclusive of the cross border deal closed on January 3), and made three minority investments to strengthen our position in our Corporate Payments and EV lines of business.</w:t>
                            </w:r>
                          </w:p>
                          <w:p>
                            <w:pPr>
                              <w:pStyle w:val="TextBody"/>
                              <w:spacing w:before="0" w:after="0"/>
                              <w:jc w:val="left"/>
                              <w:rPr>
                                <w:caps w:val="false"/>
                                <w:smallCaps w:val="false"/>
                                <w:color w:val="58595B"/>
                              </w:rPr>
                            </w:pPr>
                            <w:r>
                              <w:rPr>
                                <w:caps w:val="false"/>
                                <w:smallCaps w:val="false"/>
                                <w:color w:val="58595B"/>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Additionally, we meaningfully advanced our “beyond strategy” in 2022, extending both the product set and served customer segments in each of our major businesses. These beyond extensions increase our TAM, and better position our LOB for long term growth. Some highlights from 2022 include:</w:t>
                            </w:r>
                          </w:p>
                          <w:p>
                            <w:pPr>
                              <w:pStyle w:val="TextBody"/>
                              <w:spacing w:before="0" w:after="0"/>
                              <w:jc w:val="left"/>
                              <w:rPr>
                                <w:caps w:val="false"/>
                                <w:smallCaps w:val="false"/>
                                <w:color w:val="58595B"/>
                              </w:rPr>
                            </w:pPr>
                            <w:r>
                              <w:rPr>
                                <w:caps w:val="false"/>
                                <w:smallCaps w:val="false"/>
                                <w:color w:val="58595B"/>
                              </w:rPr>
                              <w:t> </w:t>
                            </w:r>
                          </w:p>
                          <w:tbl>
                            <w:tblPr>
                              <w:tblW w:w="10093" w:type="dxa"/>
                              <w:jc w:val="left"/>
                              <w:tblInd w:w="0" w:type="dxa"/>
                              <w:tblCellMar>
                                <w:top w:w="0" w:type="dxa"/>
                                <w:left w:w="0" w:type="dxa"/>
                                <w:bottom w:w="0" w:type="dxa"/>
                                <w:right w:w="0" w:type="dxa"/>
                              </w:tblCellMar>
                            </w:tblPr>
                            <w:tblGrid>
                              <w:gridCol w:w="38"/>
                              <w:gridCol w:w="165"/>
                              <w:gridCol w:w="98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04775" cy="85725"/>
                                                </a:xfrm>
                                                <a:prstGeom prst="rect">
                                                  <a:avLst/>
                                                </a:prstGeom>
                                              </pic:spPr>
                                            </pic:pic>
                                          </a:graphicData>
                                        </a:graphic>
                                      </wp:inline>
                                    </w:drawing>
                                  </w:r>
                                </w:p>
                              </w:tc>
                              <w:tc>
                                <w:tcPr>
                                  <w:tcW w:w="98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Global Fleet, we significantly advanced our EV capabilities, and the concept of “defensive” and “offensive” EV initiatives</w:t>
                                  </w:r>
                                </w:p>
                              </w:tc>
                            </w:tr>
                          </w:tbl>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Brazil, we expanded our tag fueling solution to more accepting sites and more users and we launched a new vehicle insurance offering, which enjoyed rapid acceptance</w:t>
                                  </w:r>
                                </w:p>
                              </w:tc>
                            </w:tr>
                          </w:tbl>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6" descr=""/>
                                                <pic:cNvPicPr>
                                                  <a:picLocks noChangeAspect="1" noChangeArrowheads="1"/>
                                                </pic:cNvPicPr>
                                              </pic:nvPicPr>
                                              <pic:blipFill>
                                                <a:blip r:embed="rId7"/>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Corporate Payments, we added AP automation workflow software to our full AP payment platform, and further scaled our cross-border footprint in Europe</w:t>
                                  </w:r>
                                </w:p>
                              </w:tc>
                            </w:tr>
                          </w:tbl>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7" descr=""/>
                                                <pic:cNvPicPr>
                                                  <a:picLocks noChangeAspect="1" noChangeArrowheads="1"/>
                                                </pic:cNvPicPr>
                                              </pic:nvPicPr>
                                              <pic:blipFill>
                                                <a:blip r:embed="rId8"/>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Lodging, we further expanded our two new verticals, airlines and insurance, with each reaching almost $100M in revenue</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1.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Performance &amp; Positioning</w:t>
                      </w:r>
                    </w:p>
                    <w:p>
                      <w:pPr>
                        <w:pStyle w:val="TextBody"/>
                        <w:spacing w:before="0" w:after="0"/>
                        <w:jc w:val="left"/>
                        <w:rPr>
                          <w:caps w:val="false"/>
                          <w:smallCaps w:val="false"/>
                          <w:color w:val="EE0027"/>
                        </w:rPr>
                      </w:pPr>
                      <w:r>
                        <w:rPr>
                          <w:caps w:val="false"/>
                          <w:smallCaps w:val="false"/>
                          <w:color w:val="EE0027"/>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full year 2022 financial performance was outstanding, with revenue of $3.4 billion, up 21% and adjusted earnings per share of $16.10, up 22%. Both were way ahead of our expectations heading into the year. We also closed five capability acquisitions (inclusive of the cross border deal closed on January 3), and made three minority investments to strengthen our position in our Corporate Payments and EV lines of business.</w:t>
                      </w:r>
                    </w:p>
                    <w:p>
                      <w:pPr>
                        <w:pStyle w:val="TextBody"/>
                        <w:spacing w:before="0" w:after="0"/>
                        <w:jc w:val="left"/>
                        <w:rPr>
                          <w:caps w:val="false"/>
                          <w:smallCaps w:val="false"/>
                          <w:color w:val="58595B"/>
                        </w:rPr>
                      </w:pPr>
                      <w:r>
                        <w:rPr>
                          <w:caps w:val="false"/>
                          <w:smallCaps w:val="false"/>
                          <w:color w:val="58595B"/>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Additionally, we meaningfully advanced our “beyond strategy” in 2022, extending both the product set and served customer segments in each of our major businesses. These beyond extensions increase our TAM, and better position our LOB for long term growth. Some highlights from 2022 include:</w:t>
                      </w:r>
                    </w:p>
                    <w:p>
                      <w:pPr>
                        <w:pStyle w:val="TextBody"/>
                        <w:spacing w:before="0" w:after="0"/>
                        <w:jc w:val="left"/>
                        <w:rPr>
                          <w:caps w:val="false"/>
                          <w:smallCaps w:val="false"/>
                          <w:color w:val="58595B"/>
                        </w:rPr>
                      </w:pPr>
                      <w:r>
                        <w:rPr>
                          <w:caps w:val="false"/>
                          <w:smallCaps w:val="false"/>
                          <w:color w:val="58595B"/>
                        </w:rPr>
                        <w:t> </w:t>
                      </w:r>
                    </w:p>
                    <w:tbl>
                      <w:tblPr>
                        <w:tblW w:w="10093" w:type="dxa"/>
                        <w:jc w:val="left"/>
                        <w:tblInd w:w="0" w:type="dxa"/>
                        <w:tblCellMar>
                          <w:top w:w="0" w:type="dxa"/>
                          <w:left w:w="0" w:type="dxa"/>
                          <w:bottom w:w="0" w:type="dxa"/>
                          <w:right w:w="0" w:type="dxa"/>
                        </w:tblCellMar>
                      </w:tblPr>
                      <w:tblGrid>
                        <w:gridCol w:w="38"/>
                        <w:gridCol w:w="165"/>
                        <w:gridCol w:w="98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4775" cy="85725"/>
                                          </a:xfrm>
                                          <a:prstGeom prst="rect">
                                            <a:avLst/>
                                          </a:prstGeom>
                                        </pic:spPr>
                                      </pic:pic>
                                    </a:graphicData>
                                  </a:graphic>
                                </wp:inline>
                              </w:drawing>
                            </w:r>
                          </w:p>
                        </w:tc>
                        <w:tc>
                          <w:tcPr>
                            <w:tcW w:w="98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Global Fleet, we significantly advanced our EV capabilities, and the concept of “defensive” and “offensive” EV initiatives</w:t>
                            </w:r>
                          </w:p>
                        </w:tc>
                      </w:tr>
                    </w:tbl>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Brazil, we expanded our tag fueling solution to more accepting sites and more users and we launched a new vehicle insurance offering, which enjoyed rapid acceptance</w:t>
                            </w:r>
                          </w:p>
                        </w:tc>
                      </w:tr>
                    </w:tbl>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Corporate Payments, we added AP automation workflow software to our full AP payment platform, and further scaled our cross-border footprint in Europe</w:t>
                            </w:r>
                          </w:p>
                        </w:tc>
                      </w:tr>
                    </w:tbl>
                    <w:p>
                      <w:pPr>
                        <w:pStyle w:val="TextBody"/>
                        <w:spacing w:before="0" w:after="0"/>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Lodging, we further expanded our two new verticals, airlines and insurance, with each reaching almost $100M in revenue</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0">
                <wp:simplePos x="0" y="0"/>
                <wp:positionH relativeFrom="column">
                  <wp:align>right</wp:align>
                </wp:positionH>
                <wp:positionV relativeFrom="line">
                  <wp:posOffset>635</wp:posOffset>
                </wp:positionV>
                <wp:extent cx="3110230" cy="3738880"/>
                <wp:effectExtent l="0" t="0" r="0" b="0"/>
                <wp:wrapSquare wrapText="largest"/>
                <wp:docPr id="13" name="Frame2"/>
                <a:graphic xmlns:a="http://schemas.openxmlformats.org/drawingml/2006/main">
                  <a:graphicData uri="http://schemas.microsoft.com/office/word/2010/wordprocessingShape">
                    <wps:wsp>
                      <wps:cNvSpPr txBox="1"/>
                      <wps:spPr>
                        <a:xfrm>
                          <a:off x="0" y="0"/>
                          <a:ext cx="3110230" cy="373888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Ultimately, we believe that excellent financial performance, combined with our strategic progress will enable us to increase shareholder returns. Our mid-term objectives are to grow revenue and adjusted net income per diluted share 10% and 15-20% annually, respectively. We expect the market to reward our performance as we deliver results.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Governance &amp; Board Oversight</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have a very experienced Board of Directors with a diverse set of skills and experience, including leading large, global public companies within our industry. Our directors provide valuable oversight regarding audit, compensation, governance and company strategy.</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We’ve made meaningful progress in refreshing and diversifying our Board over the last year, having appointed Annabelle Bexiga and Rahul Gupta to the Board in 2023. The experience in technology and fintech that they bring, will be quite additive to the company as we continue to navigate the changing landscape of the industry, and build a bigger and stronger company. We’re pleased to report that women and minorities now represent 36% of the Board.</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of Directors have been deeply involved in our shareholder engagement efforts, and have helped drive responsive enhancements to our practices.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4.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Ultimately, we believe that excellent financial performance, combined with our strategic progress will enable us to increase shareholder returns. Our mid-term objectives are to grow revenue and adjusted net income per diluted share 10% and 15-20% annually, respectively. We expect the market to reward our performance as we deliver results.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Governance &amp; Board Oversight</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have a very experienced Board of Directors with a diverse set of skills and experience, including leading large, global public companies within our industry. Our directors provide valuable oversight regarding audit, compensation, governance and company strategy.</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We’ve made meaningful progress in refreshing and diversifying our Board over the last year, having appointed Annabelle Bexiga and Rahul Gupta to the Board in 2023. The experience in technology and fintech that they bring, will be quite additive to the company as we continue to navigate the changing landscape of the industry, and build a bigger and stronger company. We’re pleased to report that women and minorities now represent 36% of the Board.</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of Directors have been deeply involved in our shareholder engagement efforts, and have helped drive responsive enhancements to our practices.</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p>
      <w:pPr>
        <w:pStyle w:val="TextBody"/>
        <w:spacing w:before="0" w:after="0"/>
        <w:rPr>
          <w:caps w:val="false"/>
          <w:smallCaps w:val="false"/>
          <w:color w:val="231F20"/>
        </w:rPr>
      </w:pPr>
      <w:r>
        <w:rPr>
          <w:caps w:val="false"/>
          <w:smallCaps w:val="false"/>
          <w:color w:val="231F20"/>
        </w:rPr>
        <w:t> </w:t>
      </w:r>
    </w:p>
    <w:tbl>
      <w:tblPr>
        <w:tblW w:w="3775" w:type="dxa"/>
        <w:jc w:val="left"/>
        <w:tblInd w:w="0" w:type="dxa"/>
        <w:tblCellMar>
          <w:top w:w="0" w:type="dxa"/>
          <w:left w:w="0" w:type="dxa"/>
          <w:bottom w:w="0" w:type="dxa"/>
          <w:right w:w="0" w:type="dxa"/>
        </w:tblCellMar>
      </w:tblPr>
      <w:tblGrid>
        <w:gridCol w:w="3650"/>
        <w:gridCol w:w="125"/>
      </w:tblGrid>
      <w:tr>
        <w:trPr/>
        <w:tc>
          <w:tcPr>
            <w:tcW w:w="3650" w:type="dxa"/>
            <w:tcBorders/>
            <w:shd w:fill="auto" w:val="clear"/>
            <w:vAlign w:val="center"/>
          </w:tcPr>
          <w:p>
            <w:pPr>
              <w:pStyle w:val="TableContents"/>
              <w:spacing w:before="0" w:after="0"/>
              <w:jc w:val="righ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2023 Notice of Annual Meeting &amp; Proxy Statement</w:t>
            </w:r>
          </w:p>
        </w:tc>
        <w:tc>
          <w:tcPr>
            <w:tcW w:w="125" w:type="dxa"/>
            <w:tcBorders/>
            <w:shd w:fill="auto" w:val="clear"/>
            <w:vAlign w:val="center"/>
          </w:tcPr>
          <w:p>
            <w:pPr>
              <w:pStyle w:val="TableContents"/>
              <w:spacing w:before="0" w:after="283"/>
              <w:jc w:val="right"/>
              <w:rPr>
                <w:rFonts w:ascii="Arial;Helvetica;Sans-Serif" w:hAnsi="Arial;Helvetica;Sans-Serif"/>
                <w:b/>
                <w:color w:val="58595B"/>
                <w:sz w:val="16"/>
              </w:rPr>
            </w:pPr>
            <w:r>
              <w:rPr>
                <w:rFonts w:ascii="Arial;Helvetica;Sans-Serif" w:hAnsi="Arial;Helvetica;Sans-Serif"/>
                <w:b/>
                <w:color w:val="58595B"/>
                <w:sz w:val="16"/>
              </w:rPr>
              <w:t>1</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caps w:val="false"/>
          <w:smallCaps w:val="false"/>
          <w:color w:val="EE0027"/>
        </w:rPr>
      </w:pPr>
      <w:r>
        <w:rPr>
          <w:caps w:val="false"/>
          <w:smallCaps w:val="false"/>
          <w:color w:val="EE0027"/>
        </w:rPr>
        <w:t> </w:t>
      </w:r>
    </w:p>
    <w:p>
      <w:pPr>
        <w:pStyle w:val="TextBody"/>
        <w:spacing w:before="0" w:after="0"/>
        <w:jc w:val="left"/>
        <w:rPr>
          <w:rFonts w:ascii="Arial;Helvetica;Sans-Serif" w:hAnsi="Arial;Helvetica;Sans-Serif"/>
          <w:b w:val="false"/>
          <w:i w:val="false"/>
          <w:caps w:val="false"/>
          <w:smallCaps w:val="false"/>
          <w:color w:val="EE0027"/>
          <w:sz w:val="20"/>
        </w:rPr>
      </w:pPr>
      <w:r>
        <w:rPr>
          <w:rFonts w:ascii="Arial;Helvetica;Sans-Serif" w:hAnsi="Arial;Helvetica;Sans-Serif"/>
          <w:b w:val="false"/>
          <w:i w:val="false"/>
          <w:caps w:val="false"/>
          <w:smallCaps w:val="false"/>
          <w:color w:val="EE0027"/>
          <w:sz w:val="20"/>
        </w:rPr>
        <w:t>A LETTER FROM OUR CHIEF EXECUTIVE OFFICER</w:t>
      </w:r>
    </w:p>
    <w:p>
      <w:pPr>
        <w:pStyle w:val="TextBody"/>
        <w:spacing w:before="0" w:after="0"/>
        <w:jc w:val="left"/>
        <w:rPr>
          <w:caps w:val="false"/>
          <w:smallCaps w:val="false"/>
          <w:color w:val="EE0027"/>
        </w:rPr>
      </w:pPr>
      <w:r>
        <w:rPr>
          <w:caps w:val="false"/>
          <w:smallCaps w:val="false"/>
          <w:color w:val="EE0027"/>
        </w:rPr>
        <w:t> </w:t>
      </w:r>
    </w:p>
    <w:p>
      <w:pPr>
        <w:pStyle w:val="TextBody"/>
        <w:spacing w:before="0" w:after="0"/>
        <w:rPr>
          <w:caps w:val="false"/>
          <w:smallCaps w:val="false"/>
          <w:color w:val="58595B"/>
        </w:rPr>
      </w:pPr>
      <w:r>
        <w:rPr>
          <w:caps w:val="false"/>
          <w:smallCaps w:val="false"/>
          <w:color w:val="58595B"/>
        </w:rPr>
        <w:t> </w:t>
      </w:r>
      <w:r>
        <mc:AlternateContent>
          <mc:Choice Requires="wps">
            <w:drawing>
              <wp:anchor behindDoc="0" distT="0" distB="0" distL="0" distR="0" simplePos="0" locked="0" layoutInCell="1" allowOverlap="1" relativeHeight="41">
                <wp:simplePos x="0" y="0"/>
                <wp:positionH relativeFrom="column">
                  <wp:align>left</wp:align>
                </wp:positionH>
                <wp:positionV relativeFrom="line">
                  <wp:posOffset>635</wp:posOffset>
                </wp:positionV>
                <wp:extent cx="3110230" cy="2468245"/>
                <wp:effectExtent l="0" t="0" r="0" b="0"/>
                <wp:wrapSquare wrapText="largest"/>
                <wp:docPr id="14" name="Frame3"/>
                <a:graphic xmlns:a="http://schemas.openxmlformats.org/drawingml/2006/main">
                  <a:graphicData uri="http://schemas.microsoft.com/office/word/2010/wordprocessingShape">
                    <wps:wsp>
                      <wps:cNvSpPr txBox="1"/>
                      <wps:spPr>
                        <a:xfrm>
                          <a:off x="0" y="0"/>
                          <a:ext cx="3110230" cy="2468245"/>
                        </a:xfrm>
                        <a:prstGeom prst="rect"/>
                      </wps:spPr>
                      <wps:txbx>
                        <w:txbxContent>
                          <w:p>
                            <w:pPr>
                              <w:pStyle w:val="TextBody"/>
                              <w:spacing w:before="0" w:after="0"/>
                              <w:jc w:val="left"/>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Environmental &amp; Social Endeavors</w:t>
                            </w:r>
                          </w:p>
                          <w:p>
                            <w:pPr>
                              <w:pStyle w:val="TextBody"/>
                              <w:spacing w:before="0" w:after="0"/>
                              <w:jc w:val="left"/>
                              <w:rPr>
                                <w:caps w:val="false"/>
                                <w:smallCaps w:val="false"/>
                                <w:color w:val="EE0027"/>
                              </w:rPr>
                            </w:pPr>
                            <w:r>
                              <w:rPr>
                                <w:caps w:val="false"/>
                                <w:smallCaps w:val="false"/>
                                <w:color w:val="EE0027"/>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comprehensive employee development and training programs, offer the tools and resources to attract and retain the best talent. Our benefits further strengthen our competitive packages. We are proud of the journey we provide our employees at all levels, and we will continue to monitor the current environment for talent, and adjust our offerings to maintain our position as an employer of choice in the payments industry.</w:t>
                            </w:r>
                          </w:p>
                          <w:p>
                            <w:pPr>
                              <w:pStyle w:val="TextBody"/>
                              <w:spacing w:before="0" w:after="0"/>
                              <w:jc w:val="left"/>
                              <w:rPr>
                                <w:caps w:val="false"/>
                                <w:smallCaps w:val="false"/>
                                <w:color w:val="58595B"/>
                              </w:rPr>
                            </w:pPr>
                            <w:r>
                              <w:rPr>
                                <w:caps w:val="false"/>
                                <w:smallCaps w:val="false"/>
                                <w:color w:val="58595B"/>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values foster an inclusive culture, and we are proud of the environment that we’ve created where women represent more than one-half of our global workforce, and less than two-thirds of our domestic employees identify as White/Caucasian. We believe this diversity enhances our personal work experiences and boosts our company’s performance.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4.3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spacing w:before="0" w:after="0"/>
                        <w:jc w:val="left"/>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Environmental &amp; Social Endeavors</w:t>
                      </w:r>
                    </w:p>
                    <w:p>
                      <w:pPr>
                        <w:pStyle w:val="TextBody"/>
                        <w:spacing w:before="0" w:after="0"/>
                        <w:jc w:val="left"/>
                        <w:rPr>
                          <w:caps w:val="false"/>
                          <w:smallCaps w:val="false"/>
                          <w:color w:val="EE0027"/>
                        </w:rPr>
                      </w:pPr>
                      <w:r>
                        <w:rPr>
                          <w:caps w:val="false"/>
                          <w:smallCaps w:val="false"/>
                          <w:color w:val="EE0027"/>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comprehensive employee development and training programs, offer the tools and resources to attract and retain the best talent. Our benefits further strengthen our competitive packages. We are proud of the journey we provide our employees at all levels, and we will continue to monitor the current environment for talent, and adjust our offerings to maintain our position as an employer of choice in the payments industry.</w:t>
                      </w:r>
                    </w:p>
                    <w:p>
                      <w:pPr>
                        <w:pStyle w:val="TextBody"/>
                        <w:spacing w:before="0" w:after="0"/>
                        <w:jc w:val="left"/>
                        <w:rPr>
                          <w:caps w:val="false"/>
                          <w:smallCaps w:val="false"/>
                          <w:color w:val="58595B"/>
                        </w:rPr>
                      </w:pPr>
                      <w:r>
                        <w:rPr>
                          <w:caps w:val="false"/>
                          <w:smallCaps w:val="false"/>
                          <w:color w:val="58595B"/>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values foster an inclusive culture, and we are proud of the environment that we’ve created where women represent more than one-half of our global workforce, and less than two-thirds of our domestic employees identify as White/Caucasian. We believe this diversity enhances our personal work experiences and boosts our company’s performance.</w:t>
                      </w:r>
                    </w:p>
                  </w:txbxContent>
                </v:textbox>
                <w10:wrap type="square" side="right"/>
              </v:rect>
            </w:pict>
          </mc:Fallback>
        </mc:AlternateContent>
      </w:r>
      <w:r>
        <mc:AlternateContent>
          <mc:Choice Requires="wps">
            <w:drawing>
              <wp:anchor behindDoc="0" distT="0" distB="0" distL="0" distR="0" simplePos="0" locked="0" layoutInCell="1" allowOverlap="1" relativeHeight="42">
                <wp:simplePos x="0" y="0"/>
                <wp:positionH relativeFrom="column">
                  <wp:align>right</wp:align>
                </wp:positionH>
                <wp:positionV relativeFrom="line">
                  <wp:posOffset>635</wp:posOffset>
                </wp:positionV>
                <wp:extent cx="3110230" cy="2242185"/>
                <wp:effectExtent l="0" t="0" r="0" b="0"/>
                <wp:wrapSquare wrapText="largest"/>
                <wp:docPr id="15" name="Frame4"/>
                <a:graphic xmlns:a="http://schemas.openxmlformats.org/drawingml/2006/main">
                  <a:graphicData uri="http://schemas.microsoft.com/office/word/2010/wordprocessingShape">
                    <wps:wsp>
                      <wps:cNvSpPr txBox="1"/>
                      <wps:spPr>
                        <a:xfrm>
                          <a:off x="0" y="0"/>
                          <a:ext cx="3110230" cy="2242185"/>
                        </a:xfrm>
                        <a:prstGeom prst="rect"/>
                      </wps:spPr>
                      <wps:txbx>
                        <w:txbxContent>
                          <w:p>
                            <w:pPr>
                              <w:pStyle w:val="TextBody"/>
                              <w:spacing w:before="0" w:after="0"/>
                              <w:jc w:val="left"/>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Your Support</w:t>
                            </w:r>
                          </w:p>
                          <w:p>
                            <w:pPr>
                              <w:pStyle w:val="TextBody"/>
                              <w:spacing w:before="0" w:after="0"/>
                              <w:jc w:val="left"/>
                              <w:rPr>
                                <w:caps w:val="false"/>
                                <w:smallCaps w:val="false"/>
                                <w:color w:val="EE0027"/>
                              </w:rPr>
                            </w:pPr>
                            <w:r>
                              <w:rPr>
                                <w:caps w:val="false"/>
                                <w:smallCaps w:val="false"/>
                                <w:color w:val="EE0027"/>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On behalf of our Board of Directors, we sincerely ask that you vote with our recommendations. We appreciate our shareholders’ support and feedback, and we will continue to reach out on a regular basis to gain further insights and perspectives.</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Sincerely,</w:t>
                            </w:r>
                          </w:p>
                          <w:p>
                            <w:pPr>
                              <w:pStyle w:val="TextBody"/>
                              <w:spacing w:before="0" w:after="0"/>
                              <w:rPr>
                                <w:caps w:val="false"/>
                                <w:smallCaps w:val="false"/>
                                <w:color w:val="58595B"/>
                              </w:rPr>
                            </w:pPr>
                            <w:r>
                              <w:rPr>
                                <w:caps w:val="false"/>
                                <w:smallCaps w:val="false"/>
                                <w:color w:val="58595B"/>
                              </w:rPr>
                              <w:t> </w:t>
                            </w:r>
                          </w:p>
                          <w:p>
                            <w:pPr>
                              <w:pStyle w:val="TextBody"/>
                              <w:spacing w:before="0" w:after="0"/>
                              <w:rPr>
                                <w:caps w:val="false"/>
                                <w:smallCaps w:val="false"/>
                                <w:color w:val="58595B"/>
                              </w:rPr>
                            </w:pPr>
                            <w:r>
                              <w:rPr>
                                <w:caps w:val="false"/>
                                <w:smallCaps w:val="false"/>
                                <w:color w:val="58595B"/>
                              </w:rPr>
                              <w:drawing>
                                <wp:inline distT="0" distB="0" distL="0" distR="0">
                                  <wp:extent cx="1905000" cy="485775"/>
                                  <wp:effectExtent l="0" t="0" r="0" b="0"/>
                                  <wp:docPr id="1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 descr=""/>
                                          <pic:cNvPicPr>
                                            <a:picLocks noChangeAspect="1" noChangeArrowheads="1"/>
                                          </pic:cNvPicPr>
                                        </pic:nvPicPr>
                                        <pic:blipFill>
                                          <a:blip r:embed="rId9"/>
                                          <a:stretch>
                                            <a:fillRect/>
                                          </a:stretch>
                                        </pic:blipFill>
                                        <pic:spPr bwMode="auto">
                                          <a:xfrm>
                                            <a:off x="0" y="0"/>
                                            <a:ext cx="1905000" cy="485775"/>
                                          </a:xfrm>
                                          <a:prstGeom prst="rect">
                                            <a:avLst/>
                                          </a:prstGeom>
                                        </pic:spPr>
                                      </pic:pic>
                                    </a:graphicData>
                                  </a:graphic>
                                </wp:inline>
                              </w:drawing>
                            </w:r>
                            <w:r>
                              <w:rPr>
                                <w:caps w:val="false"/>
                                <w:smallCaps w:val="false"/>
                                <w:color w:val="58595B"/>
                              </w:rPr>
                              <w:t> </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Ronald F. Clarke</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Chairman &amp; Chief Executive Officer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6.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jc w:val="left"/>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Your Support</w:t>
                      </w:r>
                    </w:p>
                    <w:p>
                      <w:pPr>
                        <w:pStyle w:val="TextBody"/>
                        <w:spacing w:before="0" w:after="0"/>
                        <w:jc w:val="left"/>
                        <w:rPr>
                          <w:caps w:val="false"/>
                          <w:smallCaps w:val="false"/>
                          <w:color w:val="EE0027"/>
                        </w:rPr>
                      </w:pPr>
                      <w:r>
                        <w:rPr>
                          <w:caps w:val="false"/>
                          <w:smallCaps w:val="false"/>
                          <w:color w:val="EE0027"/>
                        </w:rPr>
                        <w:t> </w:t>
                      </w:r>
                    </w:p>
                    <w:p>
                      <w:pPr>
                        <w:pStyle w:val="TextBody"/>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On behalf of our Board of Directors, we sincerely ask that you vote with our recommendations. We appreciate our shareholders’ support and feedback, and we will continue to reach out on a regular basis to gain further insights and perspectives.</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Sincerely,</w:t>
                      </w:r>
                    </w:p>
                    <w:p>
                      <w:pPr>
                        <w:pStyle w:val="TextBody"/>
                        <w:spacing w:before="0" w:after="0"/>
                        <w:rPr>
                          <w:caps w:val="false"/>
                          <w:smallCaps w:val="false"/>
                          <w:color w:val="58595B"/>
                        </w:rPr>
                      </w:pPr>
                      <w:r>
                        <w:rPr>
                          <w:caps w:val="false"/>
                          <w:smallCaps w:val="false"/>
                          <w:color w:val="58595B"/>
                        </w:rPr>
                        <w:t> </w:t>
                      </w:r>
                    </w:p>
                    <w:p>
                      <w:pPr>
                        <w:pStyle w:val="TextBody"/>
                        <w:spacing w:before="0" w:after="0"/>
                        <w:rPr>
                          <w:caps w:val="false"/>
                          <w:smallCaps w:val="false"/>
                          <w:color w:val="58595B"/>
                        </w:rPr>
                      </w:pPr>
                      <w:r>
                        <w:rPr>
                          <w:caps w:val="false"/>
                          <w:smallCaps w:val="false"/>
                          <w:color w:val="58595B"/>
                        </w:rPr>
                        <w:drawing>
                          <wp:inline distT="0" distB="0" distL="0" distR="0">
                            <wp:extent cx="1905000" cy="485775"/>
                            <wp:effectExtent l="0" t="0" r="0" b="0"/>
                            <wp:docPr id="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 descr=""/>
                                    <pic:cNvPicPr>
                                      <a:picLocks noChangeAspect="1" noChangeArrowheads="1"/>
                                    </pic:cNvPicPr>
                                  </pic:nvPicPr>
                                  <pic:blipFill>
                                    <a:blip r:embed="rId9"/>
                                    <a:stretch>
                                      <a:fillRect/>
                                    </a:stretch>
                                  </pic:blipFill>
                                  <pic:spPr bwMode="auto">
                                    <a:xfrm>
                                      <a:off x="0" y="0"/>
                                      <a:ext cx="1905000" cy="485775"/>
                                    </a:xfrm>
                                    <a:prstGeom prst="rect">
                                      <a:avLst/>
                                    </a:prstGeom>
                                  </pic:spPr>
                                </pic:pic>
                              </a:graphicData>
                            </a:graphic>
                          </wp:inline>
                        </w:drawing>
                      </w:r>
                      <w:r>
                        <w:rPr>
                          <w:caps w:val="false"/>
                          <w:smallCaps w:val="false"/>
                          <w:color w:val="58595B"/>
                        </w:rPr>
                        <w:t> </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Ronald F. Clarke</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Chairman &amp; Chief Executive Officer</w:t>
                      </w:r>
                    </w:p>
                  </w:txbxContent>
                </v:textbox>
                <w10:wrap type="square" side="left"/>
              </v:rect>
            </w:pict>
          </mc:Fallback>
        </mc:AlternateContent>
      </w:r>
    </w:p>
    <w:tbl>
      <w:tblPr>
        <w:tblW w:w="5945" w:type="dxa"/>
        <w:jc w:val="left"/>
        <w:tblInd w:w="0" w:type="dxa"/>
        <w:tblCellMar>
          <w:top w:w="0" w:type="dxa"/>
          <w:left w:w="0" w:type="dxa"/>
          <w:bottom w:w="0" w:type="dxa"/>
          <w:right w:w="0" w:type="dxa"/>
        </w:tblCellMar>
      </w:tblPr>
      <w:tblGrid>
        <w:gridCol w:w="5945"/>
      </w:tblGrid>
      <w:tr>
        <w:trPr/>
        <w:tc>
          <w:tcPr>
            <w:tcW w:w="5945" w:type="dxa"/>
            <w:tcBorders/>
            <w:shd w:fill="59CBE8" w:val="clear"/>
            <w:vAlign w:val="center"/>
          </w:tcPr>
          <w:p>
            <w:pPr>
              <w:pStyle w:val="TableContents"/>
              <w:spacing w:before="0" w:after="283"/>
              <w:rPr/>
            </w:pPr>
            <w:r>
              <w:rPr/>
              <w:t> </w:t>
            </w:r>
          </w:p>
        </w:tc>
      </w:tr>
      <w:tr>
        <w:trPr/>
        <w:tc>
          <w:tcPr>
            <w:tcW w:w="5945" w:type="dxa"/>
            <w:tcBorders/>
            <w:shd w:fill="59CBE8" w:val="clear"/>
            <w:vAlign w:val="center"/>
          </w:tcPr>
          <w:p>
            <w:pPr>
              <w:pStyle w:val="TableContents"/>
              <w:spacing w:before="0" w:after="0"/>
              <w:ind w:left="360" w:right="0" w:hanging="0"/>
              <w:rPr>
                <w:rFonts w:ascii="Arial;Helvetica;Sans-Serif" w:hAnsi="Arial;Helvetica;Sans-Serif"/>
                <w:b/>
                <w:i w:val="false"/>
                <w:caps w:val="false"/>
                <w:smallCaps w:val="false"/>
                <w:color w:val="FFFFFF"/>
                <w:sz w:val="24"/>
              </w:rPr>
            </w:pPr>
            <w:r>
              <w:rPr>
                <w:rFonts w:ascii="Arial;Helvetica;Sans-Serif" w:hAnsi="Arial;Helvetica;Sans-Serif"/>
                <w:b/>
                <w:i w:val="false"/>
                <w:caps w:val="false"/>
                <w:smallCaps w:val="false"/>
                <w:color w:val="FFFFFF"/>
                <w:sz w:val="24"/>
              </w:rPr>
              <w:t>Annual Meeting of Shareholders</w:t>
            </w:r>
          </w:p>
          <w:p>
            <w:pPr>
              <w:pStyle w:val="TableContents"/>
              <w:spacing w:before="0" w:after="0"/>
              <w:ind w:left="360" w:right="0" w:hanging="0"/>
              <w:rPr>
                <w:caps w:val="false"/>
                <w:smallCaps w:val="false"/>
                <w:color w:val="FFFFFF"/>
              </w:rPr>
            </w:pPr>
            <w:r>
              <w:rPr>
                <w:caps w:val="false"/>
                <w:smallCaps w:val="false"/>
                <w:color w:val="FFFFFF"/>
              </w:rPr>
              <w:t> </w:t>
            </w:r>
          </w:p>
          <w:p>
            <w:pPr>
              <w:pStyle w:val="TableContents"/>
              <w:spacing w:before="0" w:after="0"/>
              <w:ind w:left="360" w:right="0" w:hanging="0"/>
              <w:rPr>
                <w:rFonts w:ascii="Arial;Helvetica;Sans-Serif" w:hAnsi="Arial;Helvetica;Sans-Serif"/>
                <w:b w:val="false"/>
                <w:i w:val="false"/>
                <w:caps w:val="false"/>
                <w:smallCaps w:val="false"/>
                <w:color w:val="FFFFFF"/>
                <w:sz w:val="22"/>
              </w:rPr>
            </w:pPr>
            <w:r>
              <w:rPr>
                <w:rFonts w:ascii="Arial;Helvetica;Sans-Serif" w:hAnsi="Arial;Helvetica;Sans-Serif"/>
                <w:b w:val="false"/>
                <w:i w:val="false"/>
                <w:caps w:val="false"/>
                <w:smallCaps w:val="false"/>
                <w:color w:val="FFFFFF"/>
                <w:sz w:val="22"/>
              </w:rPr>
              <w:t xml:space="preserve">The Company’s Annual Meeting of Shareholders will be held </w:t>
              <w:br/>
              <w:t xml:space="preserve">at 3280 Peachtree Road, Suite 2400 Atlanta, Georgia 30305 </w:t>
              <w:br/>
              <w:t>on June 9, 2023 at 10:00 a.m.</w:t>
            </w:r>
          </w:p>
        </w:tc>
      </w:tr>
      <w:tr>
        <w:trPr/>
        <w:tc>
          <w:tcPr>
            <w:tcW w:w="5945" w:type="dxa"/>
            <w:tcBorders/>
            <w:shd w:fill="59CBE8" w:val="clear"/>
            <w:vAlign w:val="center"/>
          </w:tcPr>
          <w:p>
            <w:pPr>
              <w:pStyle w:val="TableContents"/>
              <w:spacing w:before="0" w:after="283"/>
              <w:rPr/>
            </w:pPr>
            <w:r>
              <w:rPr/>
              <w:t> </w:t>
            </w:r>
          </w:p>
        </w:tc>
      </w:tr>
    </w:tbl>
    <w:p>
      <w:pPr>
        <w:pStyle w:val="TextBody"/>
        <w:spacing w:before="0" w:after="0"/>
        <w:rPr>
          <w:caps w:val="false"/>
          <w:smallCaps w:val="false"/>
          <w:color w:val="58595B"/>
        </w:rPr>
      </w:pPr>
      <w:r>
        <w:rPr>
          <w:caps w:val="false"/>
          <w:smallCaps w:val="false"/>
          <w:color w:val="58595B"/>
        </w:rPr>
        <w:t>  </w:t>
      </w:r>
    </w:p>
    <w:tbl>
      <w:tblPr>
        <w:tblW w:w="3775" w:type="dxa"/>
        <w:jc w:val="left"/>
        <w:tblInd w:w="0" w:type="dxa"/>
        <w:tblCellMar>
          <w:top w:w="0" w:type="dxa"/>
          <w:left w:w="0" w:type="dxa"/>
          <w:bottom w:w="0" w:type="dxa"/>
          <w:right w:w="0" w:type="dxa"/>
        </w:tblCellMar>
      </w:tblPr>
      <w:tblGrid>
        <w:gridCol w:w="125"/>
        <w:gridCol w:w="3650"/>
      </w:tblGrid>
      <w:tr>
        <w:trPr/>
        <w:tc>
          <w:tcPr>
            <w:tcW w:w="12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2</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EE0027"/>
          <w:sz w:val="20"/>
        </w:rPr>
      </w:pPr>
      <w:r>
        <w:rPr>
          <w:rFonts w:ascii="Arial;Helvetica;Sans-Serif" w:hAnsi="Arial;Helvetica;Sans-Serif"/>
          <w:b w:val="false"/>
          <w:i w:val="false"/>
          <w:caps w:val="false"/>
          <w:smallCaps w:val="false"/>
          <w:color w:val="EE0027"/>
          <w:sz w:val="20"/>
        </w:rPr>
        <w:t>NOTICE OF 2023 ANNUAL MEETING OF SHAREHOLDERS</w:t>
      </w:r>
    </w:p>
    <w:p>
      <w:pPr>
        <w:pStyle w:val="TextBody"/>
        <w:rPr>
          <w:caps w:val="false"/>
          <w:smallCaps w:val="false"/>
        </w:rPr>
      </w:pPr>
      <w:r>
        <w:rPr>
          <w:caps w:val="false"/>
          <w:smallCaps w:val="false"/>
        </w:rPr>
        <w:t> </w:t>
      </w:r>
    </w:p>
    <w:p>
      <w:pPr>
        <w:pStyle w:val="TextBody"/>
        <w:spacing w:before="0" w:after="0"/>
        <w:jc w:val="center"/>
        <w:rPr>
          <w:caps w:val="false"/>
          <w:smallCaps w:val="false"/>
          <w:color w:val="EE0027"/>
        </w:rPr>
      </w:pPr>
      <w:r>
        <w:rPr>
          <w:caps w:val="false"/>
          <w:smallCaps w:val="false"/>
          <w:color w:val="EE0027"/>
        </w:rPr>
        <w:drawing>
          <wp:inline distT="0" distB="0" distL="0" distR="0">
            <wp:extent cx="6667500" cy="1095375"/>
            <wp:effectExtent l="0" t="0" r="0" b="0"/>
            <wp:docPr id="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 descr=""/>
                    <pic:cNvPicPr>
                      <a:picLocks noChangeAspect="1" noChangeArrowheads="1"/>
                    </pic:cNvPicPr>
                  </pic:nvPicPr>
                  <pic:blipFill>
                    <a:blip r:embed="rId10"/>
                    <a:stretch>
                      <a:fillRect/>
                    </a:stretch>
                  </pic:blipFill>
                  <pic:spPr bwMode="auto">
                    <a:xfrm>
                      <a:off x="0" y="0"/>
                      <a:ext cx="6667500" cy="1095375"/>
                    </a:xfrm>
                    <a:prstGeom prst="rect">
                      <a:avLst/>
                    </a:prstGeom>
                  </pic:spPr>
                </pic:pic>
              </a:graphicData>
            </a:graphic>
          </wp:inline>
        </w:drawing>
      </w:r>
    </w:p>
    <w:p>
      <w:pPr>
        <w:pStyle w:val="TextBody"/>
        <w:spacing w:before="0" w:after="0"/>
        <w:rPr>
          <w:caps w:val="false"/>
          <w:smallCaps w:val="false"/>
          <w:color w:val="EE0027"/>
        </w:rPr>
      </w:pPr>
      <w:r>
        <w:rPr>
          <w:caps w:val="false"/>
          <w:smallCaps w:val="false"/>
          <w:color w:val="EE0027"/>
        </w:rPr>
        <w:t> </w:t>
      </w:r>
    </w:p>
    <w:p>
      <w:pPr>
        <w:pStyle w:val="TextBody"/>
        <w:spacing w:before="0" w:after="0"/>
        <w:ind w:left="200" w:right="0" w:hanging="0"/>
        <w:rPr>
          <w:rFonts w:ascii="Arial;Helvetica;Sans-Serif" w:hAnsi="Arial;Helvetica;Sans-Serif"/>
          <w:b/>
          <w:i w:val="false"/>
          <w:caps w:val="false"/>
          <w:smallCaps w:val="false"/>
          <w:color w:val="EE0027"/>
          <w:sz w:val="24"/>
        </w:rPr>
      </w:pPr>
      <w:r>
        <w:rPr>
          <w:rFonts w:ascii="Arial;Helvetica;Sans-Serif" w:hAnsi="Arial;Helvetica;Sans-Serif"/>
          <w:b/>
          <w:i w:val="false"/>
          <w:caps w:val="false"/>
          <w:smallCaps w:val="false"/>
          <w:color w:val="EE0027"/>
          <w:sz w:val="24"/>
        </w:rPr>
        <w:t>Agenda</w:t>
      </w:r>
    </w:p>
    <w:p>
      <w:pPr>
        <w:pStyle w:val="TextBody"/>
        <w:spacing w:before="0" w:after="0"/>
        <w:rPr>
          <w:caps w:val="false"/>
          <w:smallCaps w:val="false"/>
          <w:color w:val="EE0027"/>
        </w:rPr>
      </w:pPr>
      <w:r>
        <w:rPr>
          <w:caps w:val="false"/>
          <w:smallCaps w:val="false"/>
          <w:color w:val="EE0027"/>
        </w:rPr>
        <w:t> </w:t>
      </w:r>
    </w:p>
    <w:tbl>
      <w:tblPr>
        <w:tblW w:w="2615" w:type="dxa"/>
        <w:jc w:val="left"/>
        <w:tblInd w:w="0" w:type="dxa"/>
        <w:tblCellMar>
          <w:top w:w="0" w:type="dxa"/>
          <w:left w:w="0" w:type="dxa"/>
          <w:bottom w:w="0" w:type="dxa"/>
          <w:right w:w="0" w:type="dxa"/>
        </w:tblCellMar>
      </w:tblPr>
      <w:tblGrid>
        <w:gridCol w:w="75"/>
        <w:gridCol w:w="210"/>
        <w:gridCol w:w="2330"/>
      </w:tblGrid>
      <w:tr>
        <w:trPr/>
        <w:tc>
          <w:tcPr>
            <w:tcW w:w="7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drawing>
                <wp:inline distT="0" distB="0" distL="0" distR="0">
                  <wp:extent cx="133350" cy="133350"/>
                  <wp:effectExtent l="0" t="0" r="0" b="0"/>
                  <wp:docPr id="19"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0" descr=""/>
                          <pic:cNvPicPr>
                            <a:picLocks noChangeAspect="1" noChangeArrowheads="1"/>
                          </pic:cNvPicPr>
                        </pic:nvPicPr>
                        <pic:blipFill>
                          <a:blip r:embed="rId11"/>
                          <a:stretch>
                            <a:fillRect/>
                          </a:stretch>
                        </pic:blipFill>
                        <pic:spPr bwMode="auto">
                          <a:xfrm>
                            <a:off x="0" y="0"/>
                            <a:ext cx="133350" cy="133350"/>
                          </a:xfrm>
                          <a:prstGeom prst="rect">
                            <a:avLst/>
                          </a:prstGeom>
                        </pic:spPr>
                      </pic:pic>
                    </a:graphicData>
                  </a:graphic>
                </wp:inline>
              </w:drawing>
            </w:r>
          </w:p>
        </w:tc>
        <w:tc>
          <w:tcPr>
            <w:tcW w:w="23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To elect the eleven directors</w:t>
            </w:r>
          </w:p>
        </w:tc>
      </w:tr>
    </w:tbl>
    <w:p>
      <w:pPr>
        <w:pStyle w:val="TextBody"/>
        <w:spacing w:before="0" w:after="0"/>
        <w:rPr>
          <w:caps w:val="false"/>
          <w:smallCaps w:val="false"/>
        </w:rPr>
      </w:pPr>
      <w:r>
        <w:rPr>
          <w:caps w:val="false"/>
          <w:smallCaps w:val="false"/>
        </w:rPr>
        <w:t> </w:t>
      </w:r>
    </w:p>
    <w:tbl>
      <w:tblPr>
        <w:tblW w:w="8705" w:type="dxa"/>
        <w:jc w:val="left"/>
        <w:tblInd w:w="0" w:type="dxa"/>
        <w:tblCellMar>
          <w:top w:w="0" w:type="dxa"/>
          <w:left w:w="0" w:type="dxa"/>
          <w:bottom w:w="0" w:type="dxa"/>
          <w:right w:w="0" w:type="dxa"/>
        </w:tblCellMar>
      </w:tblPr>
      <w:tblGrid>
        <w:gridCol w:w="75"/>
        <w:gridCol w:w="210"/>
        <w:gridCol w:w="8420"/>
      </w:tblGrid>
      <w:tr>
        <w:trPr/>
        <w:tc>
          <w:tcPr>
            <w:tcW w:w="7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drawing>
                <wp:inline distT="0" distB="0" distL="0" distR="0">
                  <wp:extent cx="133350" cy="133350"/>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133350" cy="133350"/>
                          </a:xfrm>
                          <a:prstGeom prst="rect">
                            <a:avLst/>
                          </a:prstGeom>
                        </pic:spPr>
                      </pic:pic>
                    </a:graphicData>
                  </a:graphic>
                </wp:inline>
              </w:drawing>
            </w:r>
          </w:p>
        </w:tc>
        <w:tc>
          <w:tcPr>
            <w:tcW w:w="842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To ratify the reappointment of Ernst &amp; Young LLP as the Company’s independent public accounting firm</w:t>
            </w:r>
          </w:p>
        </w:tc>
      </w:tr>
    </w:tbl>
    <w:p>
      <w:pPr>
        <w:pStyle w:val="TextBody"/>
        <w:spacing w:before="0" w:after="0"/>
        <w:rPr>
          <w:caps w:val="false"/>
          <w:smallCaps w:val="false"/>
        </w:rPr>
      </w:pPr>
      <w:r>
        <w:rPr>
          <w:caps w:val="false"/>
          <w:smallCaps w:val="false"/>
        </w:rPr>
        <w:t> </w:t>
      </w:r>
    </w:p>
    <w:tbl>
      <w:tblPr>
        <w:tblW w:w="6245" w:type="dxa"/>
        <w:jc w:val="left"/>
        <w:tblInd w:w="0" w:type="dxa"/>
        <w:tblCellMar>
          <w:top w:w="0" w:type="dxa"/>
          <w:left w:w="0" w:type="dxa"/>
          <w:bottom w:w="0" w:type="dxa"/>
          <w:right w:w="0" w:type="dxa"/>
        </w:tblCellMar>
      </w:tblPr>
      <w:tblGrid>
        <w:gridCol w:w="75"/>
        <w:gridCol w:w="210"/>
        <w:gridCol w:w="5960"/>
      </w:tblGrid>
      <w:tr>
        <w:trPr/>
        <w:tc>
          <w:tcPr>
            <w:tcW w:w="7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pPr>
            <w:r>
              <w:rPr/>
              <w:drawing>
                <wp:inline distT="0" distB="0" distL="0" distR="0">
                  <wp:extent cx="133350" cy="133350"/>
                  <wp:effectExtent l="0" t="0" r="0" b="0"/>
                  <wp:docPr id="2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2" descr=""/>
                          <pic:cNvPicPr>
                            <a:picLocks noChangeAspect="1" noChangeArrowheads="1"/>
                          </pic:cNvPicPr>
                        </pic:nvPicPr>
                        <pic:blipFill>
                          <a:blip r:embed="rId13"/>
                          <a:stretch>
                            <a:fillRect/>
                          </a:stretch>
                        </pic:blipFill>
                        <pic:spPr bwMode="auto">
                          <a:xfrm>
                            <a:off x="0" y="0"/>
                            <a:ext cx="133350" cy="133350"/>
                          </a:xfrm>
                          <a:prstGeom prst="rect">
                            <a:avLst/>
                          </a:prstGeom>
                        </pic:spPr>
                      </pic:pic>
                    </a:graphicData>
                  </a:graphic>
                </wp:inline>
              </w:drawing>
            </w:r>
          </w:p>
        </w:tc>
        <w:tc>
          <w:tcPr>
            <w:tcW w:w="59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To approve, on an advisory basis, named executive officer compensation</w:t>
            </w:r>
          </w:p>
        </w:tc>
      </w:tr>
    </w:tbl>
    <w:p>
      <w:pPr>
        <w:pStyle w:val="TextBody"/>
        <w:spacing w:before="0" w:after="0"/>
        <w:rPr>
          <w:caps w:val="false"/>
          <w:smallCaps w:val="false"/>
        </w:rPr>
      </w:pPr>
      <w:r>
        <w:rPr>
          <w:caps w:val="false"/>
          <w:smallCaps w:val="false"/>
        </w:rPr>
        <w:t> </w:t>
      </w:r>
    </w:p>
    <w:tbl>
      <w:tblPr>
        <w:tblW w:w="9710" w:type="dxa"/>
        <w:jc w:val="left"/>
        <w:tblInd w:w="0" w:type="dxa"/>
        <w:tblCellMar>
          <w:top w:w="0" w:type="dxa"/>
          <w:left w:w="0" w:type="dxa"/>
          <w:bottom w:w="0" w:type="dxa"/>
          <w:right w:w="0" w:type="dxa"/>
        </w:tblCellMar>
      </w:tblPr>
      <w:tblGrid>
        <w:gridCol w:w="75"/>
        <w:gridCol w:w="210"/>
        <w:gridCol w:w="9425"/>
      </w:tblGrid>
      <w:tr>
        <w:trPr/>
        <w:tc>
          <w:tcPr>
            <w:tcW w:w="7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133350" cy="133350"/>
                  <wp:effectExtent l="0" t="0" r="0" b="0"/>
                  <wp:docPr id="22"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3" descr=""/>
                          <pic:cNvPicPr>
                            <a:picLocks noChangeAspect="1" noChangeArrowheads="1"/>
                          </pic:cNvPicPr>
                        </pic:nvPicPr>
                        <pic:blipFill>
                          <a:blip r:embed="rId14"/>
                          <a:stretch>
                            <a:fillRect/>
                          </a:stretch>
                        </pic:blipFill>
                        <pic:spPr bwMode="auto">
                          <a:xfrm>
                            <a:off x="0" y="0"/>
                            <a:ext cx="133350" cy="133350"/>
                          </a:xfrm>
                          <a:prstGeom prst="rect">
                            <a:avLst/>
                          </a:prstGeom>
                        </pic:spPr>
                      </pic:pic>
                    </a:graphicData>
                  </a:graphic>
                </wp:inline>
              </w:drawing>
            </w:r>
          </w:p>
        </w:tc>
        <w:tc>
          <w:tcPr>
            <w:tcW w:w="9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To approve, on an advisory basis, the frequency of shareholder voting on compensation of named executive officers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10"/>
        <w:gridCol w:w="9920"/>
      </w:tblGrid>
      <w:tr>
        <w:trPr/>
        <w:tc>
          <w:tcPr>
            <w:tcW w:w="75" w:type="dxa"/>
            <w:tcBorders/>
            <w:shd w:fill="auto" w:val="clear"/>
            <w:vAlign w:val="center"/>
          </w:tcPr>
          <w:p>
            <w:pPr>
              <w:pStyle w:val="TableContents"/>
              <w:spacing w:before="0" w:after="283"/>
              <w:rPr/>
            </w:pPr>
            <w:r>
              <w:rPr/>
              <w:t> </w:t>
            </w:r>
          </w:p>
        </w:tc>
        <w:tc>
          <w:tcPr>
            <w:tcW w:w="210" w:type="dxa"/>
            <w:tcBorders/>
            <w:shd w:fill="auto" w:val="clear"/>
            <w:vAlign w:val="center"/>
          </w:tcPr>
          <w:p>
            <w:pPr>
              <w:pStyle w:val="TableContents"/>
              <w:spacing w:before="0" w:after="283"/>
              <w:rPr>
                <w:caps w:val="false"/>
                <w:smallCaps w:val="false"/>
              </w:rPr>
            </w:pPr>
            <w:r>
              <w:rPr>
                <w:caps w:val="false"/>
                <w:smallCaps w:val="false"/>
              </w:rPr>
              <w:drawing>
                <wp:inline distT="0" distB="0" distL="0" distR="0">
                  <wp:extent cx="133350" cy="133350"/>
                  <wp:effectExtent l="0" t="0" r="0" b="0"/>
                  <wp:docPr id="23"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4" descr=""/>
                          <pic:cNvPicPr>
                            <a:picLocks noChangeAspect="1" noChangeArrowheads="1"/>
                          </pic:cNvPicPr>
                        </pic:nvPicPr>
                        <pic:blipFill>
                          <a:blip r:embed="rId15"/>
                          <a:stretch>
                            <a:fillRect/>
                          </a:stretch>
                        </pic:blipFill>
                        <pic:spPr bwMode="auto">
                          <a:xfrm>
                            <a:off x="0" y="0"/>
                            <a:ext cx="133350" cy="133350"/>
                          </a:xfrm>
                          <a:prstGeom prst="rect">
                            <a:avLst/>
                          </a:prstGeom>
                        </pic:spPr>
                      </pic:pic>
                    </a:graphicData>
                  </a:graphic>
                </wp:inline>
              </w:drawing>
            </w:r>
          </w:p>
        </w:tc>
        <w:tc>
          <w:tcPr>
            <w:tcW w:w="9920"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To vote on a shareholder proposal to amend the shareholders’ right to call a special meeting of shareholders, if properly presented</w:t>
            </w:r>
          </w:p>
        </w:tc>
      </w:tr>
    </w:tbl>
    <w:p>
      <w:pPr>
        <w:pStyle w:val="TextBody"/>
        <w:spacing w:before="0" w:after="0"/>
        <w:rPr>
          <w:caps w:val="false"/>
          <w:smallCaps w:val="false"/>
        </w:rPr>
      </w:pPr>
      <w:r>
        <w:rPr>
          <w:caps w:val="false"/>
          <w:smallCaps w:val="false"/>
        </w:rPr>
        <w:t> </w:t>
      </w:r>
    </w:p>
    <w:p>
      <w:pPr>
        <w:pStyle w:val="TextBody"/>
        <w:spacing w:before="0" w:after="0"/>
        <w:ind w:left="200" w:right="0" w:hanging="0"/>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We may transact other business that properly comes before the meeting.</w:t>
      </w:r>
    </w:p>
    <w:p>
      <w:pPr>
        <w:pStyle w:val="TextBody"/>
        <w:spacing w:before="0" w:after="0"/>
        <w:ind w:left="200" w:right="0" w:hanging="0"/>
        <w:rPr>
          <w:caps w:val="false"/>
          <w:smallCaps w:val="false"/>
          <w:color w:val="58595B"/>
        </w:rPr>
      </w:pPr>
      <w:r>
        <w:rPr>
          <w:caps w:val="false"/>
          <w:smallCaps w:val="false"/>
          <w:color w:val="58595B"/>
        </w:rPr>
        <w:t> </w:t>
      </w:r>
    </w:p>
    <w:p>
      <w:pPr>
        <w:pStyle w:val="TextBody"/>
        <w:spacing w:before="0" w:after="0"/>
        <w:ind w:left="200" w:right="0" w:hanging="0"/>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Mailing Date and Availability of Proxy Materials</w:t>
      </w:r>
    </w:p>
    <w:p>
      <w:pPr>
        <w:pStyle w:val="TextBody"/>
        <w:spacing w:before="0" w:after="0"/>
        <w:ind w:left="200" w:right="0" w:hanging="0"/>
        <w:rPr>
          <w:caps w:val="false"/>
          <w:smallCaps w:val="false"/>
          <w:color w:val="EE0027"/>
        </w:rPr>
      </w:pPr>
      <w:r>
        <w:rPr>
          <w:caps w:val="false"/>
          <w:smallCaps w:val="false"/>
          <w:color w:val="EE0027"/>
        </w:rPr>
        <w:t> </w:t>
      </w:r>
    </w:p>
    <w:p>
      <w:pPr>
        <w:pStyle w:val="TextBody"/>
        <w:spacing w:before="0" w:after="0"/>
        <w:ind w:left="200" w:right="0" w:hanging="0"/>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On or about April 27, 2023, we mailed a notice of electronic availability of proxy materials to shareholders. Shareholders of record at the close of business on April 17, 2023 are entitled to receive notice of, and to vote at, the meeting.</w:t>
      </w:r>
    </w:p>
    <w:p>
      <w:pPr>
        <w:pStyle w:val="TextBody"/>
        <w:spacing w:before="0" w:after="0"/>
        <w:ind w:left="200" w:right="0" w:hanging="0"/>
        <w:rPr>
          <w:caps w:val="false"/>
          <w:smallCaps w:val="false"/>
          <w:color w:val="58595B"/>
        </w:rPr>
      </w:pPr>
      <w:r>
        <w:rPr>
          <w:caps w:val="false"/>
          <w:smallCaps w:val="false"/>
          <w:color w:val="58595B"/>
        </w:rPr>
        <w:t> </w:t>
      </w:r>
    </w:p>
    <w:p>
      <w:pPr>
        <w:pStyle w:val="TextBody"/>
        <w:spacing w:before="0" w:after="0"/>
        <w:ind w:left="200" w:right="0" w:hanging="0"/>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YOUR VOTE IS IMPORTANT</w:t>
      </w:r>
    </w:p>
    <w:p>
      <w:pPr>
        <w:pStyle w:val="TextBody"/>
        <w:spacing w:before="0" w:after="0"/>
        <w:ind w:left="200" w:right="0" w:hanging="0"/>
        <w:rPr>
          <w:caps w:val="false"/>
          <w:smallCaps w:val="false"/>
          <w:color w:val="EE0027"/>
        </w:rPr>
      </w:pPr>
      <w:r>
        <w:rPr>
          <w:caps w:val="false"/>
          <w:smallCaps w:val="false"/>
          <w:color w:val="EE0027"/>
        </w:rPr>
        <w:t> </w:t>
      </w:r>
    </w:p>
    <w:p>
      <w:pPr>
        <w:pStyle w:val="TextBody"/>
        <w:spacing w:before="0" w:after="0"/>
        <w:ind w:left="200" w:right="0" w:hanging="0"/>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Please vote as soon as possible by one of the methods shown below, whether or not you expect to attend the annual meeting. Be sure to have your proxy card, voting instruction form or Notice of Internet Availability of Proxy Materials in hand and follow the instructions below. Vote by 11:59 P.M. ET the day before the meeting (June 8, 2023).</w:t>
      </w:r>
    </w:p>
    <w:p>
      <w:pPr>
        <w:pStyle w:val="TextBody"/>
        <w:spacing w:before="0" w:after="0"/>
        <w:rPr>
          <w:caps w:val="false"/>
          <w:smallCaps w:val="false"/>
          <w:color w:val="58595B"/>
        </w:rPr>
      </w:pPr>
      <w:r>
        <w:rPr>
          <w:caps w:val="false"/>
          <w:smallCaps w:val="false"/>
          <w:color w:val="58595B"/>
        </w:rPr>
        <w:t> </w:t>
      </w:r>
    </w:p>
    <w:tbl>
      <w:tblPr>
        <w:tblW w:w="8940" w:type="dxa"/>
        <w:jc w:val="left"/>
        <w:tblInd w:w="0" w:type="dxa"/>
        <w:tblCellMar>
          <w:top w:w="0" w:type="dxa"/>
          <w:left w:w="0" w:type="dxa"/>
          <w:bottom w:w="0" w:type="dxa"/>
          <w:right w:w="0" w:type="dxa"/>
        </w:tblCellMar>
      </w:tblPr>
      <w:tblGrid>
        <w:gridCol w:w="2915"/>
        <w:gridCol w:w="2705"/>
        <w:gridCol w:w="3320"/>
      </w:tblGrid>
      <w:tr>
        <w:trPr/>
        <w:tc>
          <w:tcPr>
            <w:tcW w:w="2915" w:type="dxa"/>
            <w:tcBorders/>
            <w:shd w:fill="DCDDDE" w:val="clear"/>
            <w:vAlign w:val="center"/>
          </w:tcPr>
          <w:p>
            <w:pPr>
              <w:pStyle w:val="TableContents"/>
              <w:spacing w:before="0" w:after="283"/>
              <w:jc w:val="left"/>
              <w:rPr>
                <w:caps w:val="false"/>
                <w:smallCaps w:val="false"/>
              </w:rPr>
            </w:pPr>
            <w:r>
              <w:rPr>
                <w:caps w:val="false"/>
                <w:smallCaps w:val="false"/>
              </w:rPr>
              <w:t> </w:t>
            </w:r>
          </w:p>
        </w:tc>
        <w:tc>
          <w:tcPr>
            <w:tcW w:w="2705" w:type="dxa"/>
            <w:tcBorders/>
            <w:shd w:fill="DCDDDE" w:val="clear"/>
            <w:vAlign w:val="center"/>
          </w:tcPr>
          <w:p>
            <w:pPr>
              <w:pStyle w:val="TableContents"/>
              <w:spacing w:before="0" w:after="283"/>
              <w:jc w:val="left"/>
              <w:rPr>
                <w:caps w:val="false"/>
                <w:smallCaps w:val="false"/>
              </w:rPr>
            </w:pPr>
            <w:r>
              <w:rPr>
                <w:caps w:val="false"/>
                <w:smallCaps w:val="false"/>
              </w:rPr>
              <w:t> </w:t>
            </w:r>
          </w:p>
        </w:tc>
        <w:tc>
          <w:tcPr>
            <w:tcW w:w="3320" w:type="dxa"/>
            <w:tcBorders/>
            <w:shd w:fill="DCDDDE" w:val="clear"/>
            <w:vAlign w:val="center"/>
          </w:tcPr>
          <w:p>
            <w:pPr>
              <w:pStyle w:val="TableContents"/>
              <w:spacing w:before="0" w:after="283"/>
              <w:jc w:val="left"/>
              <w:rPr>
                <w:caps w:val="false"/>
                <w:smallCaps w:val="false"/>
              </w:rPr>
            </w:pPr>
            <w:r>
              <w:rPr>
                <w:caps w:val="false"/>
                <w:smallCaps w:val="false"/>
              </w:rPr>
              <w:t> </w:t>
            </w:r>
          </w:p>
        </w:tc>
      </w:tr>
      <w:tr>
        <w:trPr/>
        <w:tc>
          <w:tcPr>
            <w:tcW w:w="2915" w:type="dxa"/>
            <w:tcBorders/>
            <w:shd w:fill="DCDDDE" w:val="clear"/>
            <w:vAlign w:val="center"/>
          </w:tcPr>
          <w:p>
            <w:pPr>
              <w:pStyle w:val="TableContents"/>
              <w:spacing w:before="0" w:after="0"/>
              <w:jc w:val="left"/>
              <w:rPr>
                <w:caps w:val="false"/>
                <w:smallCaps w:val="false"/>
                <w:color w:val="EE0027"/>
              </w:rPr>
            </w:pPr>
            <w:r>
              <w:rPr>
                <w:caps w:val="false"/>
                <w:smallCaps w:val="false"/>
                <w:color w:val="EE0027"/>
              </w:rPr>
              <w:drawing>
                <wp:inline distT="0" distB="0" distL="0" distR="0">
                  <wp:extent cx="114300" cy="95250"/>
                  <wp:effectExtent l="0" t="0" r="0" b="0"/>
                  <wp:docPr id="24"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5" descr=""/>
                          <pic:cNvPicPr>
                            <a:picLocks noChangeAspect="1" noChangeArrowheads="1"/>
                          </pic:cNvPicPr>
                        </pic:nvPicPr>
                        <pic:blipFill>
                          <a:blip r:embed="rId16"/>
                          <a:stretch>
                            <a:fillRect/>
                          </a:stretch>
                        </pic:blipFill>
                        <pic:spPr bwMode="auto">
                          <a:xfrm>
                            <a:off x="0" y="0"/>
                            <a:ext cx="114300" cy="95250"/>
                          </a:xfrm>
                          <a:prstGeom prst="rect">
                            <a:avLst/>
                          </a:prstGeom>
                        </pic:spPr>
                      </pic:pic>
                    </a:graphicData>
                  </a:graphic>
                </wp:inline>
              </w:drawing>
            </w:r>
            <w:r>
              <w:rPr>
                <w:caps w:val="false"/>
                <w:smallCaps w:val="false"/>
                <w:color w:val="EE0027"/>
              </w:rPr>
              <w:t> </w:t>
            </w:r>
            <w:r>
              <w:rPr>
                <w:rFonts w:ascii="Arial;Helvetica;Sans-Serif" w:hAnsi="Arial;Helvetica;Sans-Serif"/>
                <w:b/>
                <w:i w:val="false"/>
                <w:caps w:val="false"/>
                <w:smallCaps w:val="false"/>
                <w:color w:val="EE0027"/>
                <w:sz w:val="20"/>
              </w:rPr>
              <w:t>By Internet</w:t>
            </w:r>
          </w:p>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www.proxyvote.com </w:t>
            </w:r>
          </w:p>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Use the internet to transmit your </w:t>
              <w:br/>
              <w:t xml:space="preserve">voting instruction and for electronic </w:t>
              <w:br/>
              <w:t>delivery of information</w:t>
            </w:r>
          </w:p>
        </w:tc>
        <w:tc>
          <w:tcPr>
            <w:tcW w:w="2705" w:type="dxa"/>
            <w:tcBorders>
              <w:left w:val="single" w:sz="8" w:space="0" w:color="000000"/>
            </w:tcBorders>
            <w:shd w:fill="DCDDDE" w:val="clear"/>
            <w:tcMar>
              <w:left w:w="200" w:type="dxa"/>
            </w:tcMar>
            <w:vAlign w:val="center"/>
          </w:tcPr>
          <w:p>
            <w:pPr>
              <w:pStyle w:val="TableContents"/>
              <w:spacing w:before="0" w:after="0"/>
              <w:jc w:val="left"/>
              <w:rPr>
                <w:caps w:val="false"/>
                <w:smallCaps w:val="false"/>
                <w:color w:val="EE0027"/>
              </w:rPr>
            </w:pPr>
            <w:r>
              <w:rPr>
                <w:caps w:val="false"/>
                <w:smallCaps w:val="false"/>
                <w:color w:val="EE0027"/>
              </w:rPr>
              <w:drawing>
                <wp:inline distT="0" distB="0" distL="0" distR="0">
                  <wp:extent cx="114300" cy="95250"/>
                  <wp:effectExtent l="0" t="0" r="0" b="0"/>
                  <wp:docPr id="25"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6" descr=""/>
                          <pic:cNvPicPr>
                            <a:picLocks noChangeAspect="1" noChangeArrowheads="1"/>
                          </pic:cNvPicPr>
                        </pic:nvPicPr>
                        <pic:blipFill>
                          <a:blip r:embed="rId17"/>
                          <a:stretch>
                            <a:fillRect/>
                          </a:stretch>
                        </pic:blipFill>
                        <pic:spPr bwMode="auto">
                          <a:xfrm>
                            <a:off x="0" y="0"/>
                            <a:ext cx="114300" cy="95250"/>
                          </a:xfrm>
                          <a:prstGeom prst="rect">
                            <a:avLst/>
                          </a:prstGeom>
                        </pic:spPr>
                      </pic:pic>
                    </a:graphicData>
                  </a:graphic>
                </wp:inline>
              </w:drawing>
            </w:r>
            <w:r>
              <w:rPr>
                <w:caps w:val="false"/>
                <w:smallCaps w:val="false"/>
                <w:color w:val="EE0027"/>
              </w:rPr>
              <w:t> </w:t>
            </w:r>
            <w:r>
              <w:rPr>
                <w:rFonts w:ascii="Arial;Helvetica;Sans-Serif" w:hAnsi="Arial;Helvetica;Sans-Serif"/>
                <w:b/>
                <w:i w:val="false"/>
                <w:caps w:val="false"/>
                <w:smallCaps w:val="false"/>
                <w:color w:val="EE0027"/>
                <w:sz w:val="20"/>
              </w:rPr>
              <w:t>By Phone</w:t>
            </w:r>
          </w:p>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1-800-690-6903 </w:t>
            </w:r>
          </w:p>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Use any touch tone telephone to </w:t>
              <w:br/>
              <w:t>transmit your voting instructions</w:t>
            </w:r>
          </w:p>
          <w:p>
            <w:pPr>
              <w:pStyle w:val="TableContents"/>
              <w:spacing w:before="0" w:after="0"/>
              <w:jc w:val="left"/>
              <w:rPr>
                <w:caps w:val="false"/>
                <w:smallCaps w:val="false"/>
                <w:color w:val="58595B"/>
              </w:rPr>
            </w:pPr>
            <w:r>
              <w:rPr>
                <w:caps w:val="false"/>
                <w:smallCaps w:val="false"/>
                <w:color w:val="58595B"/>
              </w:rPr>
              <w:t> </w:t>
            </w:r>
          </w:p>
        </w:tc>
        <w:tc>
          <w:tcPr>
            <w:tcW w:w="3320" w:type="dxa"/>
            <w:tcBorders>
              <w:left w:val="single" w:sz="8" w:space="0" w:color="000000"/>
            </w:tcBorders>
            <w:shd w:fill="DCDDDE" w:val="clear"/>
            <w:tcMar>
              <w:left w:w="200" w:type="dxa"/>
            </w:tcMar>
            <w:vAlign w:val="center"/>
          </w:tcPr>
          <w:p>
            <w:pPr>
              <w:pStyle w:val="TableContents"/>
              <w:spacing w:before="0" w:after="0"/>
              <w:jc w:val="left"/>
              <w:rPr>
                <w:caps w:val="false"/>
                <w:smallCaps w:val="false"/>
                <w:color w:val="EE0027"/>
              </w:rPr>
            </w:pPr>
            <w:r>
              <w:rPr>
                <w:caps w:val="false"/>
                <w:smallCaps w:val="false"/>
                <w:color w:val="EE0027"/>
              </w:rPr>
              <w:drawing>
                <wp:inline distT="0" distB="0" distL="0" distR="0">
                  <wp:extent cx="114300" cy="95250"/>
                  <wp:effectExtent l="0" t="0" r="0" b="0"/>
                  <wp:docPr id="2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7" descr=""/>
                          <pic:cNvPicPr>
                            <a:picLocks noChangeAspect="1" noChangeArrowheads="1"/>
                          </pic:cNvPicPr>
                        </pic:nvPicPr>
                        <pic:blipFill>
                          <a:blip r:embed="rId18"/>
                          <a:stretch>
                            <a:fillRect/>
                          </a:stretch>
                        </pic:blipFill>
                        <pic:spPr bwMode="auto">
                          <a:xfrm>
                            <a:off x="0" y="0"/>
                            <a:ext cx="114300" cy="95250"/>
                          </a:xfrm>
                          <a:prstGeom prst="rect">
                            <a:avLst/>
                          </a:prstGeom>
                        </pic:spPr>
                      </pic:pic>
                    </a:graphicData>
                  </a:graphic>
                </wp:inline>
              </w:drawing>
            </w:r>
            <w:r>
              <w:rPr>
                <w:caps w:val="false"/>
                <w:smallCaps w:val="false"/>
                <w:color w:val="EE0027"/>
              </w:rPr>
              <w:t> </w:t>
            </w:r>
            <w:r>
              <w:rPr>
                <w:rFonts w:ascii="Arial;Helvetica;Sans-Serif" w:hAnsi="Arial;Helvetica;Sans-Serif"/>
                <w:b/>
                <w:i w:val="false"/>
                <w:caps w:val="false"/>
                <w:smallCaps w:val="false"/>
                <w:color w:val="EE0027"/>
                <w:sz w:val="20"/>
              </w:rPr>
              <w:t>By Mail</w:t>
            </w:r>
          </w:p>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Mark, sign and date your proxy card </w:t>
              <w:br/>
              <w:t xml:space="preserve">and return it in the postage-paid </w:t>
              <w:br/>
              <w:t xml:space="preserve">envelope provided with your proxy </w:t>
              <w:br/>
              <w:t xml:space="preserve">materials or return it to Vote Processing, </w:t>
              <w:br/>
              <w:t xml:space="preserve">c/o Broadridge, 51 Mercedes Way, </w:t>
              <w:br/>
              <w:t>Edgewood, NY 11717</w:t>
            </w:r>
          </w:p>
        </w:tc>
      </w:tr>
      <w:tr>
        <w:trPr/>
        <w:tc>
          <w:tcPr>
            <w:tcW w:w="2915" w:type="dxa"/>
            <w:tcBorders/>
            <w:shd w:fill="DCDDDE" w:val="clear"/>
            <w:vAlign w:val="center"/>
          </w:tcPr>
          <w:p>
            <w:pPr>
              <w:pStyle w:val="TableContents"/>
              <w:spacing w:before="0" w:after="283"/>
              <w:jc w:val="left"/>
              <w:rPr>
                <w:caps w:val="false"/>
                <w:smallCaps w:val="false"/>
              </w:rPr>
            </w:pPr>
            <w:r>
              <w:rPr>
                <w:caps w:val="false"/>
                <w:smallCaps w:val="false"/>
              </w:rPr>
              <w:t> </w:t>
            </w:r>
          </w:p>
        </w:tc>
        <w:tc>
          <w:tcPr>
            <w:tcW w:w="2705" w:type="dxa"/>
            <w:tcBorders/>
            <w:shd w:fill="DCDDDE" w:val="clear"/>
            <w:vAlign w:val="center"/>
          </w:tcPr>
          <w:p>
            <w:pPr>
              <w:pStyle w:val="TableContents"/>
              <w:spacing w:before="0" w:after="283"/>
              <w:jc w:val="left"/>
              <w:rPr>
                <w:caps w:val="false"/>
                <w:smallCaps w:val="false"/>
              </w:rPr>
            </w:pPr>
            <w:r>
              <w:rPr>
                <w:caps w:val="false"/>
                <w:smallCaps w:val="false"/>
              </w:rPr>
              <w:t> </w:t>
            </w:r>
          </w:p>
        </w:tc>
        <w:tc>
          <w:tcPr>
            <w:tcW w:w="3320" w:type="dxa"/>
            <w:tcBorders/>
            <w:shd w:fill="DCDDDE"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ind w:left="20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Sincerely,</w:t>
      </w:r>
    </w:p>
    <w:p>
      <w:pPr>
        <w:pStyle w:val="TextBody"/>
        <w:spacing w:before="0" w:after="0"/>
        <w:ind w:left="20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Board of Directors</w:t>
      </w:r>
    </w:p>
    <w:p>
      <w:pPr>
        <w:pStyle w:val="TextBody"/>
        <w:spacing w:before="0" w:after="0"/>
        <w:ind w:left="200" w:right="0" w:hanging="0"/>
        <w:jc w:val="left"/>
        <w:rPr>
          <w:caps w:val="false"/>
          <w:smallCaps w:val="false"/>
          <w:color w:val="58595B"/>
        </w:rPr>
      </w:pPr>
      <w:r>
        <w:rPr>
          <w:caps w:val="false"/>
          <w:smallCaps w:val="false"/>
          <w:color w:val="58595B"/>
        </w:rPr>
        <w:t> </w:t>
      </w:r>
    </w:p>
    <w:p>
      <w:pPr>
        <w:pStyle w:val="TextBody"/>
        <w:spacing w:before="0" w:after="0"/>
        <w:ind w:left="20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Important Notice Regarding the Availability of Proxy Materials for the Shareholder Meeting to Be Held on June 9, 2023: Our Proxy Statement and Annual Report to Shareholders are available at https://investor.FLEETCOR.com.</w:t>
      </w:r>
    </w:p>
    <w:p>
      <w:pPr>
        <w:pStyle w:val="TextBody"/>
        <w:spacing w:before="0" w:after="0"/>
        <w:rPr>
          <w:caps w:val="false"/>
          <w:smallCaps w:val="false"/>
          <w:color w:val="58595B"/>
        </w:rPr>
      </w:pPr>
      <w:r>
        <w:rPr>
          <w:caps w:val="false"/>
          <w:smallCaps w:val="false"/>
          <w:color w:val="58595B"/>
        </w:rPr>
        <w:t> </w:t>
      </w:r>
    </w:p>
    <w:tbl>
      <w:tblPr>
        <w:tblW w:w="3790" w:type="dxa"/>
        <w:jc w:val="left"/>
        <w:tblInd w:w="0" w:type="dxa"/>
        <w:tblCellMar>
          <w:top w:w="0" w:type="dxa"/>
          <w:left w:w="0" w:type="dxa"/>
          <w:bottom w:w="0" w:type="dxa"/>
          <w:right w:w="0" w:type="dxa"/>
        </w:tblCellMar>
      </w:tblPr>
      <w:tblGrid>
        <w:gridCol w:w="3680"/>
        <w:gridCol w:w="110"/>
      </w:tblGrid>
      <w:tr>
        <w:trPr/>
        <w:tc>
          <w:tcPr>
            <w:tcW w:w="368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 xml:space="preserve">2023 Notice of Annual Meeting &amp; Proxy Statement </w:t>
            </w:r>
          </w:p>
        </w:tc>
        <w:tc>
          <w:tcPr>
            <w:tcW w:w="110"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3</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EC0928"/>
          <w:sz w:val="20"/>
        </w:rPr>
      </w:pPr>
      <w:r>
        <w:rPr>
          <w:rFonts w:ascii="Arial;Helvetica;Sans-Serif" w:hAnsi="Arial;Helvetica;Sans-Serif"/>
          <w:b w:val="false"/>
          <w:i w:val="false"/>
          <w:caps w:val="false"/>
          <w:smallCaps w:val="false"/>
          <w:color w:val="EC0928"/>
          <w:sz w:val="20"/>
        </w:rPr>
        <w:t>TABLE OF CONTENTS</w:t>
      </w:r>
    </w:p>
    <w:p>
      <w:pPr>
        <w:pStyle w:val="TextBody"/>
        <w:rPr>
          <w:caps w:val="false"/>
          <w:smallCaps w:val="false"/>
        </w:rPr>
      </w:pPr>
      <w:r>
        <w:rPr>
          <w:caps w:val="false"/>
          <w:smallCaps w:val="false"/>
        </w:rPr>
        <w:t> </w:t>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olumn">
                  <wp:align>left</wp:align>
                </wp:positionH>
                <wp:positionV relativeFrom="line">
                  <wp:posOffset>635</wp:posOffset>
                </wp:positionV>
                <wp:extent cx="3110230" cy="9972040"/>
                <wp:effectExtent l="0" t="0" r="0" b="0"/>
                <wp:wrapSquare wrapText="largest"/>
                <wp:docPr id="27" name="Frame5"/>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10205" w:type="dxa"/>
                              <w:jc w:val="left"/>
                              <w:tblInd w:w="0" w:type="dxa"/>
                              <w:tblCellMar>
                                <w:top w:w="0" w:type="dxa"/>
                                <w:left w:w="0" w:type="dxa"/>
                                <w:bottom w:w="0" w:type="dxa"/>
                                <w:right w:w="0" w:type="dxa"/>
                              </w:tblCellMar>
                            </w:tblPr>
                            <w:tblGrid>
                              <w:gridCol w:w="9960"/>
                              <w:gridCol w:w="245"/>
                            </w:tblGrid>
                            <w:tr>
                              <w:trPr/>
                              <w:tc>
                                <w:tcPr>
                                  <w:tcW w:w="9960" w:type="dxa"/>
                                  <w:tcBorders/>
                                  <w:shd w:fill="auto" w:val="clear"/>
                                  <w:vAlign w:val="center"/>
                                </w:tcPr>
                                <w:p>
                                  <w:pPr>
                                    <w:pStyle w:val="TableContents"/>
                                    <w:spacing w:before="0" w:after="283"/>
                                    <w:rPr/>
                                  </w:pPr>
                                  <w:hyperlink w:anchor="a001">
                                    <w:r>
                                      <w:rPr>
                                        <w:rStyle w:val="InternetLink"/>
                                      </w:rPr>
                                      <w:t>01.</w:t>
                                    </w:r>
                                  </w:hyperlink>
                                  <w:r>
                                    <w:rPr>
                                      <w:rFonts w:ascii="Arial;Helvetica;Sans-Serif" w:hAnsi="Arial;Helvetica;Sans-Serif"/>
                                      <w:b/>
                                      <w:color w:val="EE0027"/>
                                      <w:sz w:val="18"/>
                                    </w:rPr>
                                    <w:t xml:space="preserve"> </w:t>
                                  </w:r>
                                  <w:hyperlink w:anchor="a001">
                                    <w:r>
                                      <w:rPr>
                                        <w:rStyle w:val="InternetLink"/>
                                        <w:rFonts w:ascii="Arial;Helvetica;Sans-Serif" w:hAnsi="Arial;Helvetica;Sans-Serif"/>
                                        <w:b w:val="false"/>
                                        <w:color w:val="EE0027"/>
                                        <w:sz w:val="18"/>
                                      </w:rPr>
                                      <w:t>SUMMARY</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02">
                                    <w:r>
                                      <w:rPr>
                                        <w:rStyle w:val="InternetLink"/>
                                        <w:rFonts w:ascii="Arial;Helvetica;Sans-Serif" w:hAnsi="Arial;Helvetica;Sans-Serif"/>
                                        <w:color w:val="58595B"/>
                                        <w:sz w:val="18"/>
                                      </w:rPr>
                                      <w:t>Proposals and Board Recommendations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03">
                                    <w:r>
                                      <w:rPr>
                                        <w:rStyle w:val="InternetLink"/>
                                      </w:rPr>
                                      <w:t>02.</w:t>
                                    </w:r>
                                  </w:hyperlink>
                                  <w:r>
                                    <w:rPr>
                                      <w:rFonts w:ascii="Arial;Helvetica;Sans-Serif" w:hAnsi="Arial;Helvetica;Sans-Serif"/>
                                      <w:b/>
                                      <w:color w:val="EE0027"/>
                                      <w:sz w:val="18"/>
                                    </w:rPr>
                                    <w:t xml:space="preserve"> </w:t>
                                  </w:r>
                                  <w:hyperlink w:anchor="a003">
                                    <w:r>
                                      <w:rPr>
                                        <w:rStyle w:val="InternetLink"/>
                                        <w:rFonts w:ascii="Arial;Helvetica;Sans-Serif" w:hAnsi="Arial;Helvetica;Sans-Serif"/>
                                        <w:b w:val="false"/>
                                        <w:color w:val="EE0027"/>
                                        <w:sz w:val="18"/>
                                      </w:rPr>
                                      <w:t>FLEETCOR AT A GLANCE</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04">
                                    <w:r>
                                      <w:rPr>
                                        <w:rStyle w:val="InternetLink"/>
                                        <w:rFonts w:ascii="Arial;Helvetica;Sans-Serif" w:hAnsi="Arial;Helvetica;Sans-Serif"/>
                                        <w:color w:val="58595B"/>
                                        <w:sz w:val="18"/>
                                      </w:rPr>
                                      <w:t>Our Vision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w:t>
                                  </w:r>
                                </w:p>
                              </w:tc>
                            </w:tr>
                            <w:tr>
                              <w:trPr/>
                              <w:tc>
                                <w:tcPr>
                                  <w:tcW w:w="9960" w:type="dxa"/>
                                  <w:tcBorders/>
                                  <w:shd w:fill="auto" w:val="clear"/>
                                  <w:vAlign w:val="center"/>
                                </w:tcPr>
                                <w:p>
                                  <w:pPr>
                                    <w:pStyle w:val="TableContents"/>
                                    <w:spacing w:before="0" w:after="283"/>
                                    <w:rPr/>
                                  </w:pPr>
                                  <w:hyperlink w:anchor="a005">
                                    <w:r>
                                      <w:rPr>
                                        <w:rStyle w:val="InternetLink"/>
                                        <w:rFonts w:ascii="Arial;Helvetica;Sans-Serif" w:hAnsi="Arial;Helvetica;Sans-Serif"/>
                                        <w:color w:val="58595B"/>
                                        <w:sz w:val="18"/>
                                      </w:rPr>
                                      <w:t>Our Mission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w:t>
                                  </w:r>
                                </w:p>
                              </w:tc>
                            </w:tr>
                            <w:tr>
                              <w:trPr/>
                              <w:tc>
                                <w:tcPr>
                                  <w:tcW w:w="9960" w:type="dxa"/>
                                  <w:tcBorders/>
                                  <w:shd w:fill="auto" w:val="clear"/>
                                  <w:vAlign w:val="center"/>
                                </w:tcPr>
                                <w:p>
                                  <w:pPr>
                                    <w:pStyle w:val="TableContents"/>
                                    <w:spacing w:before="0" w:after="283"/>
                                    <w:rPr/>
                                  </w:pPr>
                                  <w:hyperlink w:anchor="a006">
                                    <w:r>
                                      <w:rPr>
                                        <w:rStyle w:val="InternetLink"/>
                                        <w:rFonts w:ascii="Arial;Helvetica;Sans-Serif" w:hAnsi="Arial;Helvetica;Sans-Serif"/>
                                        <w:color w:val="58595B"/>
                                        <w:sz w:val="18"/>
                                      </w:rPr>
                                      <w:t>Our Strategy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7</w:t>
                                  </w:r>
                                </w:p>
                              </w:tc>
                            </w:tr>
                            <w:tr>
                              <w:trPr/>
                              <w:tc>
                                <w:tcPr>
                                  <w:tcW w:w="9960" w:type="dxa"/>
                                  <w:tcBorders/>
                                  <w:shd w:fill="auto" w:val="clear"/>
                                  <w:vAlign w:val="center"/>
                                </w:tcPr>
                                <w:p>
                                  <w:pPr>
                                    <w:pStyle w:val="TableContents"/>
                                    <w:spacing w:before="0" w:after="283"/>
                                    <w:rPr/>
                                  </w:pPr>
                                  <w:hyperlink w:anchor="a007">
                                    <w:r>
                                      <w:rPr>
                                        <w:rStyle w:val="InternetLink"/>
                                        <w:rFonts w:ascii="Arial;Helvetica;Sans-Serif" w:hAnsi="Arial;Helvetica;Sans-Serif"/>
                                        <w:color w:val="58595B"/>
                                        <w:sz w:val="18"/>
                                      </w:rPr>
                                      <w:t>Our Performance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7</w:t>
                                  </w:r>
                                </w:p>
                              </w:tc>
                            </w:tr>
                            <w:tr>
                              <w:trPr/>
                              <w:tc>
                                <w:tcPr>
                                  <w:tcW w:w="9960" w:type="dxa"/>
                                  <w:tcBorders/>
                                  <w:shd w:fill="auto" w:val="clear"/>
                                  <w:vAlign w:val="center"/>
                                </w:tcPr>
                                <w:p>
                                  <w:pPr>
                                    <w:pStyle w:val="TableContents"/>
                                    <w:spacing w:before="0" w:after="283"/>
                                    <w:rPr/>
                                  </w:pPr>
                                  <w:hyperlink w:anchor="a008">
                                    <w:r>
                                      <w:rPr>
                                        <w:rStyle w:val="InternetLink"/>
                                        <w:rFonts w:ascii="Arial;Helvetica;Sans-Serif" w:hAnsi="Arial;Helvetica;Sans-Serif"/>
                                        <w:color w:val="58595B"/>
                                        <w:sz w:val="18"/>
                                      </w:rPr>
                                      <w:t>Our Board of Directors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8</w:t>
                                  </w:r>
                                </w:p>
                              </w:tc>
                            </w:tr>
                            <w:tr>
                              <w:trPr/>
                              <w:tc>
                                <w:tcPr>
                                  <w:tcW w:w="9960" w:type="dxa"/>
                                  <w:tcBorders/>
                                  <w:shd w:fill="auto" w:val="clear"/>
                                  <w:vAlign w:val="center"/>
                                </w:tcPr>
                                <w:p>
                                  <w:pPr>
                                    <w:pStyle w:val="TableContents"/>
                                    <w:spacing w:before="0" w:after="283"/>
                                    <w:rPr/>
                                  </w:pPr>
                                  <w:hyperlink w:anchor="a009">
                                    <w:r>
                                      <w:rPr>
                                        <w:rStyle w:val="InternetLink"/>
                                        <w:rFonts w:ascii="Arial;Helvetica;Sans-Serif" w:hAnsi="Arial;Helvetica;Sans-Serif"/>
                                        <w:color w:val="58595B"/>
                                        <w:sz w:val="18"/>
                                      </w:rPr>
                                      <w:t>Forward-Leaning Corporate Governance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8</w:t>
                                  </w:r>
                                </w:p>
                              </w:tc>
                            </w:tr>
                            <w:tr>
                              <w:trPr/>
                              <w:tc>
                                <w:tcPr>
                                  <w:tcW w:w="9960" w:type="dxa"/>
                                  <w:tcBorders/>
                                  <w:shd w:fill="auto" w:val="clear"/>
                                  <w:vAlign w:val="center"/>
                                </w:tcPr>
                                <w:p>
                                  <w:pPr>
                                    <w:pStyle w:val="TableContents"/>
                                    <w:spacing w:before="0" w:after="283"/>
                                    <w:rPr/>
                                  </w:pPr>
                                  <w:hyperlink w:anchor="a010">
                                    <w:r>
                                      <w:rPr>
                                        <w:rStyle w:val="InternetLink"/>
                                        <w:rFonts w:ascii="Arial;Helvetica;Sans-Serif" w:hAnsi="Arial;Helvetica;Sans-Serif"/>
                                        <w:color w:val="58595B"/>
                                        <w:sz w:val="18"/>
                                      </w:rPr>
                                      <w:t>Forward-Leaning Compensation Practices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8</w:t>
                                  </w:r>
                                </w:p>
                              </w:tc>
                            </w:tr>
                            <w:tr>
                              <w:trPr/>
                              <w:tc>
                                <w:tcPr>
                                  <w:tcW w:w="9960" w:type="dxa"/>
                                  <w:tcBorders/>
                                  <w:shd w:fill="auto" w:val="clear"/>
                                  <w:vAlign w:val="center"/>
                                </w:tcPr>
                                <w:p>
                                  <w:pPr>
                                    <w:pStyle w:val="TableContents"/>
                                    <w:spacing w:before="0" w:after="283"/>
                                    <w:rPr/>
                                  </w:pPr>
                                  <w:hyperlink w:anchor="a011">
                                    <w:r>
                                      <w:rPr>
                                        <w:rStyle w:val="InternetLink"/>
                                        <w:rFonts w:ascii="Arial;Helvetica;Sans-Serif" w:hAnsi="Arial;Helvetica;Sans-Serif"/>
                                        <w:color w:val="58595B"/>
                                        <w:sz w:val="18"/>
                                      </w:rPr>
                                      <w:t>Shareholder Engagement Results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8</w:t>
                                  </w:r>
                                </w:p>
                              </w:tc>
                            </w:tr>
                            <w:tr>
                              <w:trPr/>
                              <w:tc>
                                <w:tcPr>
                                  <w:tcW w:w="9960" w:type="dxa"/>
                                  <w:tcBorders/>
                                  <w:shd w:fill="auto" w:val="clear"/>
                                  <w:vAlign w:val="center"/>
                                </w:tcPr>
                                <w:p>
                                  <w:pPr>
                                    <w:pStyle w:val="TableContents"/>
                                    <w:spacing w:before="0" w:after="283"/>
                                    <w:rPr/>
                                  </w:pPr>
                                  <w:hyperlink w:anchor="a012">
                                    <w:r>
                                      <w:rPr>
                                        <w:rStyle w:val="InternetLink"/>
                                        <w:rFonts w:ascii="Arial;Helvetica;Sans-Serif" w:hAnsi="Arial;Helvetica;Sans-Serif"/>
                                        <w:color w:val="58595B"/>
                                        <w:sz w:val="18"/>
                                      </w:rPr>
                                      <w:t>Our Commitment to Culture, Diversity Inclusion, Belonging and Sustainability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9</w:t>
                                  </w:r>
                                </w:p>
                              </w:tc>
                            </w:tr>
                            <w:tr>
                              <w:trPr/>
                              <w:tc>
                                <w:tcPr>
                                  <w:tcW w:w="9960" w:type="dxa"/>
                                  <w:tcBorders/>
                                  <w:shd w:fill="auto" w:val="clear"/>
                                  <w:vAlign w:val="center"/>
                                </w:tcPr>
                                <w:p>
                                  <w:pPr>
                                    <w:pStyle w:val="TableContents"/>
                                    <w:spacing w:before="0" w:after="283"/>
                                    <w:rPr/>
                                  </w:pPr>
                                  <w:hyperlink w:anchor="a013">
                                    <w:r>
                                      <w:rPr>
                                        <w:rStyle w:val="InternetLink"/>
                                        <w:rFonts w:ascii="Arial;Helvetica;Sans-Serif" w:hAnsi="Arial;Helvetica;Sans-Serif"/>
                                        <w:color w:val="58595B"/>
                                        <w:sz w:val="18"/>
                                      </w:rPr>
                                      <w:t>Human Capital</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9</w:t>
                                  </w:r>
                                </w:p>
                              </w:tc>
                            </w:tr>
                            <w:tr>
                              <w:trPr/>
                              <w:tc>
                                <w:tcPr>
                                  <w:tcW w:w="9960" w:type="dxa"/>
                                  <w:tcBorders/>
                                  <w:shd w:fill="auto" w:val="clear"/>
                                  <w:vAlign w:val="center"/>
                                </w:tcPr>
                                <w:p>
                                  <w:pPr>
                                    <w:pStyle w:val="TableContents"/>
                                    <w:spacing w:before="0" w:after="283"/>
                                    <w:rPr/>
                                  </w:pPr>
                                  <w:hyperlink w:anchor="a014">
                                    <w:r>
                                      <w:rPr>
                                        <w:rStyle w:val="InternetLink"/>
                                        <w:rFonts w:ascii="Arial;Helvetica;Sans-Serif" w:hAnsi="Arial;Helvetica;Sans-Serif"/>
                                        <w:color w:val="58595B"/>
                                        <w:sz w:val="18"/>
                                      </w:rPr>
                                      <w:t>Culture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9</w:t>
                                  </w:r>
                                </w:p>
                              </w:tc>
                            </w:tr>
                            <w:tr>
                              <w:trPr/>
                              <w:tc>
                                <w:tcPr>
                                  <w:tcW w:w="9960" w:type="dxa"/>
                                  <w:tcBorders/>
                                  <w:shd w:fill="auto" w:val="clear"/>
                                  <w:vAlign w:val="center"/>
                                </w:tcPr>
                                <w:p>
                                  <w:pPr>
                                    <w:pStyle w:val="TableContents"/>
                                    <w:spacing w:before="0" w:after="283"/>
                                    <w:rPr/>
                                  </w:pPr>
                                  <w:hyperlink w:anchor="a015">
                                    <w:r>
                                      <w:rPr>
                                        <w:rStyle w:val="InternetLink"/>
                                        <w:rFonts w:ascii="Arial;Helvetica;Sans-Serif" w:hAnsi="Arial;Helvetica;Sans-Serif"/>
                                        <w:color w:val="58595B"/>
                                        <w:sz w:val="18"/>
                                      </w:rPr>
                                      <w:t>Diversity, Inclusion &amp; Belonging</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9</w:t>
                                  </w:r>
                                </w:p>
                              </w:tc>
                            </w:tr>
                            <w:tr>
                              <w:trPr/>
                              <w:tc>
                                <w:tcPr>
                                  <w:tcW w:w="9960" w:type="dxa"/>
                                  <w:tcBorders/>
                                  <w:shd w:fill="auto" w:val="clear"/>
                                  <w:vAlign w:val="center"/>
                                </w:tcPr>
                                <w:p>
                                  <w:pPr>
                                    <w:pStyle w:val="TableContents"/>
                                    <w:spacing w:before="0" w:after="283"/>
                                    <w:rPr/>
                                  </w:pPr>
                                  <w:hyperlink w:anchor="a016">
                                    <w:r>
                                      <w:rPr>
                                        <w:rStyle w:val="InternetLink"/>
                                        <w:rFonts w:ascii="Arial;Helvetica;Sans-Serif" w:hAnsi="Arial;Helvetica;Sans-Serif"/>
                                        <w:color w:val="58595B"/>
                                        <w:sz w:val="18"/>
                                      </w:rPr>
                                      <w:t>Employee Wellness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10</w:t>
                                  </w:r>
                                </w:p>
                              </w:tc>
                            </w:tr>
                            <w:tr>
                              <w:trPr/>
                              <w:tc>
                                <w:tcPr>
                                  <w:tcW w:w="9960" w:type="dxa"/>
                                  <w:tcBorders/>
                                  <w:shd w:fill="auto" w:val="clear"/>
                                  <w:vAlign w:val="center"/>
                                </w:tcPr>
                                <w:p>
                                  <w:pPr>
                                    <w:pStyle w:val="TableContents"/>
                                    <w:spacing w:before="0" w:after="283"/>
                                    <w:rPr/>
                                  </w:pPr>
                                  <w:hyperlink w:anchor="a017">
                                    <w:r>
                                      <w:rPr>
                                        <w:rStyle w:val="InternetLink"/>
                                        <w:rFonts w:ascii="Arial;Helvetica;Sans-Serif" w:hAnsi="Arial;Helvetica;Sans-Serif"/>
                                        <w:color w:val="58595B"/>
                                        <w:sz w:val="18"/>
                                      </w:rPr>
                                      <w:t>Talent Development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10</w:t>
                                  </w:r>
                                </w:p>
                              </w:tc>
                            </w:tr>
                            <w:tr>
                              <w:trPr/>
                              <w:tc>
                                <w:tcPr>
                                  <w:tcW w:w="9960" w:type="dxa"/>
                                  <w:tcBorders/>
                                  <w:shd w:fill="auto" w:val="clear"/>
                                  <w:vAlign w:val="center"/>
                                </w:tcPr>
                                <w:p>
                                  <w:pPr>
                                    <w:pStyle w:val="TableContents"/>
                                    <w:spacing w:before="0" w:after="283"/>
                                    <w:rPr/>
                                  </w:pPr>
                                  <w:hyperlink w:anchor="a018">
                                    <w:r>
                                      <w:rPr>
                                        <w:rStyle w:val="InternetLink"/>
                                        <w:rFonts w:ascii="Arial;Helvetica;Sans-Serif" w:hAnsi="Arial;Helvetica;Sans-Serif"/>
                                        <w:color w:val="58595B"/>
                                        <w:sz w:val="18"/>
                                      </w:rPr>
                                      <w:t>Voice of the Employee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10</w:t>
                                  </w:r>
                                </w:p>
                              </w:tc>
                            </w:tr>
                            <w:tr>
                              <w:trPr/>
                              <w:tc>
                                <w:tcPr>
                                  <w:tcW w:w="9960" w:type="dxa"/>
                                  <w:tcBorders/>
                                  <w:shd w:fill="auto" w:val="clear"/>
                                  <w:vAlign w:val="center"/>
                                </w:tcPr>
                                <w:p>
                                  <w:pPr>
                                    <w:pStyle w:val="TableContents"/>
                                    <w:spacing w:before="0" w:after="283"/>
                                    <w:rPr/>
                                  </w:pPr>
                                  <w:hyperlink w:anchor="a019">
                                    <w:r>
                                      <w:rPr>
                                        <w:rStyle w:val="InternetLink"/>
                                        <w:rFonts w:ascii="Arial;Helvetica;Sans-Serif" w:hAnsi="Arial;Helvetica;Sans-Serif"/>
                                        <w:color w:val="58595B"/>
                                        <w:sz w:val="18"/>
                                      </w:rPr>
                                      <w:t>Sustainability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11</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20">
                                    <w:r>
                                      <w:rPr>
                                        <w:rStyle w:val="InternetLink"/>
                                      </w:rPr>
                                      <w:t>03.</w:t>
                                    </w:r>
                                  </w:hyperlink>
                                  <w:r>
                                    <w:rPr>
                                      <w:rFonts w:ascii="Arial;Helvetica;Sans-Serif" w:hAnsi="Arial;Helvetica;Sans-Serif"/>
                                      <w:b/>
                                      <w:color w:val="EE0027"/>
                                      <w:sz w:val="18"/>
                                    </w:rPr>
                                    <w:t xml:space="preserve"> </w:t>
                                  </w:r>
                                  <w:hyperlink w:anchor="a020">
                                    <w:r>
                                      <w:rPr>
                                        <w:rStyle w:val="InternetLink"/>
                                        <w:rFonts w:ascii="Arial;Helvetica;Sans-Serif" w:hAnsi="Arial;Helvetica;Sans-Serif"/>
                                        <w:b w:val="false"/>
                                        <w:color w:val="EE0027"/>
                                        <w:sz w:val="18"/>
                                      </w:rPr>
                                      <w:t>CORPORATE GOVERNANCE AND BOARD MATTERS</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21">
                                    <w:r>
                                      <w:rPr>
                                        <w:rStyle w:val="InternetLink"/>
                                        <w:rFonts w:ascii="Arial;Helvetica;Sans-Serif" w:hAnsi="Arial;Helvetica;Sans-Serif"/>
                                        <w:color w:val="58595B"/>
                                        <w:sz w:val="18"/>
                                      </w:rPr>
                                      <w:t>Our Board of Directors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12</w:t>
                                  </w:r>
                                </w:p>
                              </w:tc>
                            </w:tr>
                            <w:tr>
                              <w:trPr/>
                              <w:tc>
                                <w:tcPr>
                                  <w:tcW w:w="9960" w:type="dxa"/>
                                  <w:tcBorders/>
                                  <w:shd w:fill="auto" w:val="clear"/>
                                  <w:vAlign w:val="center"/>
                                </w:tcPr>
                                <w:p>
                                  <w:pPr>
                                    <w:pStyle w:val="TableContents"/>
                                    <w:spacing w:before="0" w:after="283"/>
                                    <w:rPr/>
                                  </w:pPr>
                                  <w:hyperlink w:anchor="a022">
                                    <w:r>
                                      <w:rPr>
                                        <w:rStyle w:val="InternetLink"/>
                                        <w:rFonts w:ascii="Arial;Helvetica;Sans-Serif" w:hAnsi="Arial;Helvetica;Sans-Serif"/>
                                        <w:color w:val="58595B"/>
                                        <w:sz w:val="18"/>
                                      </w:rPr>
                                      <w:t>Director Nominees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13</w:t>
                                  </w:r>
                                </w:p>
                              </w:tc>
                            </w:tr>
                            <w:tr>
                              <w:trPr/>
                              <w:tc>
                                <w:tcPr>
                                  <w:tcW w:w="9960" w:type="dxa"/>
                                  <w:tcBorders/>
                                  <w:shd w:fill="auto" w:val="clear"/>
                                  <w:vAlign w:val="center"/>
                                </w:tcPr>
                                <w:p>
                                  <w:pPr>
                                    <w:pStyle w:val="TableContents"/>
                                    <w:spacing w:before="0" w:after="283"/>
                                    <w:rPr/>
                                  </w:pPr>
                                  <w:hyperlink w:anchor="a023">
                                    <w:r>
                                      <w:rPr>
                                        <w:rStyle w:val="InternetLink"/>
                                        <w:rFonts w:ascii="Arial;Helvetica;Sans-Serif" w:hAnsi="Arial;Helvetica;Sans-Serif"/>
                                        <w:color w:val="58595B"/>
                                        <w:sz w:val="18"/>
                                      </w:rPr>
                                      <w:t>Evaluation and Evolution of Our Board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17</w:t>
                                  </w:r>
                                </w:p>
                              </w:tc>
                            </w:tr>
                            <w:tr>
                              <w:trPr/>
                              <w:tc>
                                <w:tcPr>
                                  <w:tcW w:w="9960" w:type="dxa"/>
                                  <w:tcBorders/>
                                  <w:shd w:fill="auto" w:val="clear"/>
                                  <w:vAlign w:val="center"/>
                                </w:tcPr>
                                <w:p>
                                  <w:pPr>
                                    <w:pStyle w:val="TableContents"/>
                                    <w:spacing w:before="0" w:after="283"/>
                                    <w:rPr/>
                                  </w:pPr>
                                  <w:hyperlink w:anchor="a024">
                                    <w:r>
                                      <w:rPr>
                                        <w:rStyle w:val="InternetLink"/>
                                        <w:rFonts w:ascii="Arial;Helvetica;Sans-Serif" w:hAnsi="Arial;Helvetica;Sans-Serif"/>
                                        <w:color w:val="58595B"/>
                                        <w:sz w:val="18"/>
                                      </w:rPr>
                                      <w:t>Board Meetings and Committees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17</w:t>
                                  </w:r>
                                </w:p>
                              </w:tc>
                            </w:tr>
                            <w:tr>
                              <w:trPr/>
                              <w:tc>
                                <w:tcPr>
                                  <w:tcW w:w="9960" w:type="dxa"/>
                                  <w:tcBorders/>
                                  <w:shd w:fill="auto" w:val="clear"/>
                                  <w:vAlign w:val="center"/>
                                </w:tcPr>
                                <w:p>
                                  <w:pPr>
                                    <w:pStyle w:val="TableContents"/>
                                    <w:spacing w:before="0" w:after="283"/>
                                    <w:rPr/>
                                  </w:pPr>
                                  <w:hyperlink w:anchor="a025">
                                    <w:r>
                                      <w:rPr>
                                        <w:rStyle w:val="InternetLink"/>
                                        <w:rFonts w:ascii="Arial;Helvetica;Sans-Serif" w:hAnsi="Arial;Helvetica;Sans-Serif"/>
                                        <w:color w:val="58595B"/>
                                        <w:sz w:val="18"/>
                                      </w:rPr>
                                      <w:t>Audit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18</w:t>
                                  </w:r>
                                </w:p>
                              </w:tc>
                            </w:tr>
                            <w:tr>
                              <w:trPr/>
                              <w:tc>
                                <w:tcPr>
                                  <w:tcW w:w="9960" w:type="dxa"/>
                                  <w:tcBorders/>
                                  <w:shd w:fill="auto" w:val="clear"/>
                                  <w:vAlign w:val="center"/>
                                </w:tcPr>
                                <w:p>
                                  <w:pPr>
                                    <w:pStyle w:val="TableContents"/>
                                    <w:spacing w:before="0" w:after="283"/>
                                    <w:rPr/>
                                  </w:pPr>
                                  <w:hyperlink w:anchor="a026">
                                    <w:r>
                                      <w:rPr>
                                        <w:rStyle w:val="InternetLink"/>
                                        <w:rFonts w:ascii="Arial;Helvetica;Sans-Serif" w:hAnsi="Arial;Helvetica;Sans-Serif"/>
                                        <w:color w:val="58595B"/>
                                        <w:sz w:val="18"/>
                                      </w:rPr>
                                      <w:t>Compensation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18</w:t>
                                  </w:r>
                                </w:p>
                              </w:tc>
                            </w:tr>
                            <w:tr>
                              <w:trPr/>
                              <w:tc>
                                <w:tcPr>
                                  <w:tcW w:w="9960" w:type="dxa"/>
                                  <w:tcBorders/>
                                  <w:shd w:fill="auto" w:val="clear"/>
                                  <w:vAlign w:val="center"/>
                                </w:tcPr>
                                <w:p>
                                  <w:pPr>
                                    <w:pStyle w:val="TableContents"/>
                                    <w:spacing w:before="0" w:after="283"/>
                                    <w:rPr/>
                                  </w:pPr>
                                  <w:hyperlink w:anchor="a027">
                                    <w:r>
                                      <w:rPr>
                                        <w:rStyle w:val="InternetLink"/>
                                        <w:rFonts w:ascii="Arial;Helvetica;Sans-Serif" w:hAnsi="Arial;Helvetica;Sans-Serif"/>
                                        <w:color w:val="58595B"/>
                                        <w:sz w:val="18"/>
                                      </w:rPr>
                                      <w:t>Nomination and Governance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28">
                                    <w:r>
                                      <w:rPr>
                                        <w:rStyle w:val="InternetLink"/>
                                        <w:rFonts w:ascii="Arial;Helvetica;Sans-Serif" w:hAnsi="Arial;Helvetica;Sans-Serif"/>
                                        <w:color w:val="58595B"/>
                                        <w:sz w:val="18"/>
                                      </w:rPr>
                                      <w:t>Executive and Acquisitions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29">
                                    <w:r>
                                      <w:rPr>
                                        <w:rStyle w:val="InternetLink"/>
                                        <w:rFonts w:ascii="Arial;Helvetica;Sans-Serif" w:hAnsi="Arial;Helvetica;Sans-Serif"/>
                                        <w:color w:val="58595B"/>
                                        <w:sz w:val="18"/>
                                      </w:rPr>
                                      <w:t>Information Technology and Security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30">
                                    <w:r>
                                      <w:rPr>
                                        <w:rStyle w:val="InternetLink"/>
                                        <w:rFonts w:ascii="Arial;Helvetica;Sans-Serif" w:hAnsi="Arial;Helvetica;Sans-Serif"/>
                                        <w:color w:val="58595B"/>
                                        <w:sz w:val="18"/>
                                      </w:rPr>
                                      <w:t>Strategic Review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31">
                                    <w:r>
                                      <w:rPr>
                                        <w:rStyle w:val="InternetLink"/>
                                        <w:rFonts w:ascii="Arial;Helvetica;Sans-Serif" w:hAnsi="Arial;Helvetica;Sans-Serif"/>
                                        <w:color w:val="58595B"/>
                                        <w:sz w:val="18"/>
                                      </w:rPr>
                                      <w:t>Board Leadership</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32">
                                    <w:r>
                                      <w:rPr>
                                        <w:rStyle w:val="InternetLink"/>
                                        <w:rFonts w:ascii="Arial;Helvetica;Sans-Serif" w:hAnsi="Arial;Helvetica;Sans-Serif"/>
                                        <w:color w:val="58595B"/>
                                        <w:sz w:val="18"/>
                                      </w:rPr>
                                      <w:t>Risk Oversight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20</w:t>
                                  </w:r>
                                </w:p>
                              </w:tc>
                            </w:tr>
                            <w:tr>
                              <w:trPr/>
                              <w:tc>
                                <w:tcPr>
                                  <w:tcW w:w="9960" w:type="dxa"/>
                                  <w:tcBorders/>
                                  <w:shd w:fill="auto" w:val="clear"/>
                                  <w:vAlign w:val="center"/>
                                </w:tcPr>
                                <w:p>
                                  <w:pPr>
                                    <w:pStyle w:val="TableContents"/>
                                    <w:spacing w:before="0" w:after="283"/>
                                    <w:rPr/>
                                  </w:pPr>
                                  <w:hyperlink w:anchor="a033">
                                    <w:r>
                                      <w:rPr>
                                        <w:rStyle w:val="InternetLink"/>
                                        <w:rFonts w:ascii="Arial;Helvetica;Sans-Serif" w:hAnsi="Arial;Helvetica;Sans-Serif"/>
                                        <w:color w:val="58595B"/>
                                        <w:sz w:val="18"/>
                                      </w:rPr>
                                      <w:t>Director Independence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21</w:t>
                                  </w:r>
                                </w:p>
                              </w:tc>
                            </w:tr>
                            <w:tr>
                              <w:trPr/>
                              <w:tc>
                                <w:tcPr>
                                  <w:tcW w:w="9960" w:type="dxa"/>
                                  <w:tcBorders/>
                                  <w:shd w:fill="auto" w:val="clear"/>
                                  <w:vAlign w:val="center"/>
                                </w:tcPr>
                                <w:p>
                                  <w:pPr>
                                    <w:pStyle w:val="TableContents"/>
                                    <w:spacing w:before="0" w:after="283"/>
                                    <w:rPr/>
                                  </w:pPr>
                                  <w:hyperlink w:anchor="a034">
                                    <w:r>
                                      <w:rPr>
                                        <w:rStyle w:val="InternetLink"/>
                                        <w:rFonts w:ascii="Arial;Helvetica;Sans-Serif" w:hAnsi="Arial;Helvetica;Sans-Serif"/>
                                        <w:color w:val="58595B"/>
                                        <w:sz w:val="18"/>
                                      </w:rPr>
                                      <w:t>2022 Director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21</w:t>
                                  </w:r>
                                </w:p>
                              </w:tc>
                            </w:tr>
                            <w:tr>
                              <w:trPr/>
                              <w:tc>
                                <w:tcPr>
                                  <w:tcW w:w="9960" w:type="dxa"/>
                                  <w:tcBorders/>
                                  <w:shd w:fill="auto" w:val="clear"/>
                                  <w:vAlign w:val="center"/>
                                </w:tcPr>
                                <w:p>
                                  <w:pPr>
                                    <w:pStyle w:val="TableContents"/>
                                    <w:spacing w:before="0" w:after="283"/>
                                    <w:rPr/>
                                  </w:pPr>
                                  <w:hyperlink w:anchor="a035">
                                    <w:r>
                                      <w:rPr>
                                        <w:rStyle w:val="InternetLink"/>
                                        <w:rFonts w:ascii="Arial;Helvetica;Sans-Serif" w:hAnsi="Arial;Helvetica;Sans-Serif"/>
                                        <w:color w:val="58595B"/>
                                        <w:sz w:val="18"/>
                                      </w:rPr>
                                      <w:t>Director Qualifications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22</w:t>
                                  </w:r>
                                </w:p>
                              </w:tc>
                            </w:tr>
                            <w:tr>
                              <w:trPr/>
                              <w:tc>
                                <w:tcPr>
                                  <w:tcW w:w="9960" w:type="dxa"/>
                                  <w:tcBorders/>
                                  <w:shd w:fill="auto" w:val="clear"/>
                                  <w:vAlign w:val="center"/>
                                </w:tcPr>
                                <w:p>
                                  <w:pPr>
                                    <w:pStyle w:val="TableContents"/>
                                    <w:spacing w:before="0" w:after="283"/>
                                    <w:rPr/>
                                  </w:pPr>
                                  <w:hyperlink w:anchor="a036">
                                    <w:r>
                                      <w:rPr>
                                        <w:rStyle w:val="InternetLink"/>
                                        <w:rFonts w:ascii="Arial;Helvetica;Sans-Serif" w:hAnsi="Arial;Helvetica;Sans-Serif"/>
                                        <w:color w:val="58595B"/>
                                        <w:sz w:val="18"/>
                                      </w:rPr>
                                      <w:t>Director Nomination Process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22</w:t>
                                  </w:r>
                                </w:p>
                              </w:tc>
                            </w:tr>
                            <w:tr>
                              <w:trPr/>
                              <w:tc>
                                <w:tcPr>
                                  <w:tcW w:w="9960" w:type="dxa"/>
                                  <w:tcBorders/>
                                  <w:shd w:fill="auto" w:val="clear"/>
                                  <w:vAlign w:val="center"/>
                                </w:tcPr>
                                <w:p>
                                  <w:pPr>
                                    <w:pStyle w:val="TableContents"/>
                                    <w:spacing w:before="0" w:after="283"/>
                                    <w:rPr/>
                                  </w:pPr>
                                  <w:hyperlink w:anchor="a037">
                                    <w:r>
                                      <w:rPr>
                                        <w:rStyle w:val="InternetLink"/>
                                        <w:rFonts w:ascii="Arial;Helvetica;Sans-Serif" w:hAnsi="Arial;Helvetica;Sans-Serif"/>
                                        <w:color w:val="58595B"/>
                                        <w:sz w:val="18"/>
                                      </w:rPr>
                                      <w:t>Governance Policies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38">
                                    <w:r>
                                      <w:rPr>
                                        <w:rStyle w:val="InternetLink"/>
                                      </w:rPr>
                                      <w:t>04.</w:t>
                                    </w:r>
                                  </w:hyperlink>
                                  <w:r>
                                    <w:rPr>
                                      <w:rFonts w:ascii="Arial;Helvetica;Sans-Serif" w:hAnsi="Arial;Helvetica;Sans-Serif"/>
                                      <w:b/>
                                      <w:color w:val="EE0027"/>
                                      <w:sz w:val="18"/>
                                    </w:rPr>
                                    <w:t xml:space="preserve"> </w:t>
                                  </w:r>
                                  <w:hyperlink w:anchor="a038">
                                    <w:r>
                                      <w:rPr>
                                        <w:rStyle w:val="InternetLink"/>
                                        <w:rFonts w:ascii="Arial;Helvetica;Sans-Serif" w:hAnsi="Arial;Helvetica;Sans-Serif"/>
                                        <w:b w:val="false"/>
                                        <w:color w:val="EE0027"/>
                                        <w:sz w:val="18"/>
                                      </w:rPr>
                                      <w:t>INFORMATION REGARDING BENEFICIAL OWNERSHIP OF PRINCIPAL SHAREHOLDERS, DIRECTORS, AND MANAGEMENT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24</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39">
                                    <w:r>
                                      <w:rPr>
                                        <w:rStyle w:val="InternetLink"/>
                                      </w:rPr>
                                      <w:t>05.</w:t>
                                    </w:r>
                                  </w:hyperlink>
                                  <w:r>
                                    <w:rPr>
                                      <w:rFonts w:ascii="Arial;Helvetica;Sans-Serif" w:hAnsi="Arial;Helvetica;Sans-Serif"/>
                                      <w:b/>
                                      <w:color w:val="EE0027"/>
                                      <w:sz w:val="18"/>
                                    </w:rPr>
                                    <w:t xml:space="preserve"> </w:t>
                                  </w:r>
                                  <w:hyperlink w:anchor="a039">
                                    <w:r>
                                      <w:rPr>
                                        <w:rStyle w:val="InternetLink"/>
                                        <w:rFonts w:ascii="Arial;Helvetica;Sans-Serif" w:hAnsi="Arial;Helvetica;Sans-Serif"/>
                                        <w:b w:val="false"/>
                                        <w:color w:val="EE0027"/>
                                        <w:sz w:val="18"/>
                                      </w:rPr>
                                      <w:t>COMPENSATION DISCUSSION AND ANALYSIS</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40">
                                    <w:r>
                                      <w:rPr>
                                        <w:rStyle w:val="InternetLink"/>
                                        <w:rFonts w:ascii="Arial;Helvetica;Sans-Serif" w:hAnsi="Arial;Helvetica;Sans-Serif"/>
                                        <w:color w:val="58595B"/>
                                        <w:sz w:val="18"/>
                                      </w:rPr>
                                      <w:t>Leadership Transitions in 2022</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26</w:t>
                                  </w:r>
                                </w:p>
                              </w:tc>
                            </w:tr>
                            <w:tr>
                              <w:trPr/>
                              <w:tc>
                                <w:tcPr>
                                  <w:tcW w:w="9960" w:type="dxa"/>
                                  <w:tcBorders/>
                                  <w:shd w:fill="auto" w:val="clear"/>
                                  <w:vAlign w:val="center"/>
                                </w:tcPr>
                                <w:p>
                                  <w:pPr>
                                    <w:pStyle w:val="TableContents"/>
                                    <w:spacing w:before="0" w:after="283"/>
                                    <w:rPr/>
                                  </w:pPr>
                                  <w:hyperlink w:anchor="a041">
                                    <w:r>
                                      <w:rPr>
                                        <w:rStyle w:val="InternetLink"/>
                                        <w:rFonts w:ascii="Arial;Helvetica;Sans-Serif" w:hAnsi="Arial;Helvetica;Sans-Serif"/>
                                        <w:color w:val="58595B"/>
                                        <w:sz w:val="18"/>
                                      </w:rPr>
                                      <w:t>Navigating the Opportunities of 2022</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27</w:t>
                                  </w:r>
                                </w:p>
                              </w:tc>
                            </w:tr>
                            <w:tr>
                              <w:trPr/>
                              <w:tc>
                                <w:tcPr>
                                  <w:tcW w:w="9960" w:type="dxa"/>
                                  <w:tcBorders/>
                                  <w:shd w:fill="auto" w:val="clear"/>
                                  <w:vAlign w:val="center"/>
                                </w:tcPr>
                                <w:p>
                                  <w:pPr>
                                    <w:pStyle w:val="TableContents"/>
                                    <w:spacing w:before="0" w:after="283"/>
                                    <w:rPr/>
                                  </w:pPr>
                                  <w:hyperlink w:anchor="a042">
                                    <w:r>
                                      <w:rPr>
                                        <w:rStyle w:val="InternetLink"/>
                                        <w:rFonts w:ascii="Arial;Helvetica;Sans-Serif" w:hAnsi="Arial;Helvetica;Sans-Serif"/>
                                        <w:color w:val="58595B"/>
                                        <w:sz w:val="18"/>
                                      </w:rPr>
                                      <w:t>2022 Performance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27</w:t>
                                  </w:r>
                                </w:p>
                              </w:tc>
                            </w:tr>
                            <w:tr>
                              <w:trPr/>
                              <w:tc>
                                <w:tcPr>
                                  <w:tcW w:w="9960" w:type="dxa"/>
                                  <w:tcBorders/>
                                  <w:shd w:fill="auto" w:val="clear"/>
                                  <w:vAlign w:val="center"/>
                                </w:tcPr>
                                <w:p>
                                  <w:pPr>
                                    <w:pStyle w:val="TableContents"/>
                                    <w:spacing w:before="0" w:after="283"/>
                                    <w:rPr/>
                                  </w:pPr>
                                  <w:hyperlink w:anchor="a043">
                                    <w:r>
                                      <w:rPr>
                                        <w:rStyle w:val="InternetLink"/>
                                        <w:rFonts w:ascii="Arial;Helvetica;Sans-Serif" w:hAnsi="Arial;Helvetica;Sans-Serif"/>
                                        <w:color w:val="58595B"/>
                                        <w:sz w:val="18"/>
                                      </w:rPr>
                                      <w:t>Responsiveness to 2022 Say-On-Pay Vote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28</w:t>
                                  </w:r>
                                </w:p>
                              </w:tc>
                            </w:tr>
                            <w:tr>
                              <w:trPr/>
                              <w:tc>
                                <w:tcPr>
                                  <w:tcW w:w="9960" w:type="dxa"/>
                                  <w:tcBorders/>
                                  <w:shd w:fill="auto" w:val="clear"/>
                                  <w:vAlign w:val="center"/>
                                </w:tcPr>
                                <w:p>
                                  <w:pPr>
                                    <w:pStyle w:val="TableContents"/>
                                    <w:spacing w:before="0" w:after="283"/>
                                    <w:rPr/>
                                  </w:pPr>
                                  <w:hyperlink w:anchor="a044">
                                    <w:r>
                                      <w:rPr>
                                        <w:rStyle w:val="InternetLink"/>
                                        <w:rFonts w:ascii="Arial;Helvetica;Sans-Serif" w:hAnsi="Arial;Helvetica;Sans-Serif"/>
                                        <w:color w:val="58595B"/>
                                        <w:sz w:val="18"/>
                                      </w:rPr>
                                      <w:t>Shareholder Outreach Generally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29</w:t>
                                  </w:r>
                                </w:p>
                              </w:tc>
                            </w:tr>
                            <w:tr>
                              <w:trPr/>
                              <w:tc>
                                <w:tcPr>
                                  <w:tcW w:w="9960" w:type="dxa"/>
                                  <w:tcBorders/>
                                  <w:shd w:fill="auto" w:val="clear"/>
                                  <w:vAlign w:val="center"/>
                                </w:tcPr>
                                <w:p>
                                  <w:pPr>
                                    <w:pStyle w:val="TableContents"/>
                                    <w:spacing w:before="0" w:after="283"/>
                                    <w:rPr/>
                                  </w:pPr>
                                  <w:hyperlink w:anchor="a045">
                                    <w:r>
                                      <w:rPr>
                                        <w:rStyle w:val="InternetLink"/>
                                        <w:rFonts w:ascii="Arial;Helvetica;Sans-Serif" w:hAnsi="Arial;Helvetica;Sans-Serif"/>
                                        <w:color w:val="58595B"/>
                                        <w:sz w:val="18"/>
                                      </w:rPr>
                                      <w:t>Forward-Leaning Compensation Practices Components of Compensation and Target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29</w:t>
                                  </w:r>
                                </w:p>
                              </w:tc>
                            </w:tr>
                            <w:tr>
                              <w:trPr/>
                              <w:tc>
                                <w:tcPr>
                                  <w:tcW w:w="9960" w:type="dxa"/>
                                  <w:tcBorders/>
                                  <w:shd w:fill="auto" w:val="clear"/>
                                  <w:vAlign w:val="center"/>
                                </w:tcPr>
                                <w:p>
                                  <w:pPr>
                                    <w:pStyle w:val="TableContents"/>
                                    <w:spacing w:before="0" w:after="283"/>
                                    <w:rPr/>
                                  </w:pPr>
                                  <w:hyperlink w:anchor="a046">
                                    <w:r>
                                      <w:rPr>
                                        <w:rStyle w:val="InternetLink"/>
                                        <w:rFonts w:ascii="Arial;Helvetica;Sans-Serif" w:hAnsi="Arial;Helvetica;Sans-Serif"/>
                                        <w:color w:val="58595B"/>
                                        <w:sz w:val="18"/>
                                      </w:rPr>
                                      <w:t>Direct Compensation Mix</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30</w:t>
                                  </w:r>
                                </w:p>
                              </w:tc>
                            </w:tr>
                            <w:tr>
                              <w:trPr/>
                              <w:tc>
                                <w:tcPr>
                                  <w:tcW w:w="9960" w:type="dxa"/>
                                  <w:tcBorders/>
                                  <w:shd w:fill="auto" w:val="clear"/>
                                  <w:vAlign w:val="center"/>
                                </w:tcPr>
                                <w:p>
                                  <w:pPr>
                                    <w:pStyle w:val="TableContents"/>
                                    <w:spacing w:before="0" w:after="283"/>
                                    <w:rPr/>
                                  </w:pPr>
                                  <w:hyperlink w:anchor="a047">
                                    <w:r>
                                      <w:rPr>
                                        <w:rStyle w:val="InternetLink"/>
                                        <w:rFonts w:ascii="Arial;Helvetica;Sans-Serif" w:hAnsi="Arial;Helvetica;Sans-Serif"/>
                                        <w:color w:val="58595B"/>
                                        <w:sz w:val="18"/>
                                      </w:rPr>
                                      <w:t>Target Mix of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32</w:t>
                                  </w:r>
                                </w:p>
                              </w:tc>
                            </w:tr>
                            <w:tr>
                              <w:trPr/>
                              <w:tc>
                                <w:tcPr>
                                  <w:tcW w:w="9960" w:type="dxa"/>
                                  <w:tcBorders/>
                                  <w:shd w:fill="auto" w:val="clear"/>
                                  <w:vAlign w:val="center"/>
                                </w:tcPr>
                                <w:p>
                                  <w:pPr>
                                    <w:pStyle w:val="TableContents"/>
                                    <w:spacing w:before="0" w:after="283"/>
                                    <w:rPr/>
                                  </w:pPr>
                                  <w:hyperlink w:anchor="a048">
                                    <w:r>
                                      <w:rPr>
                                        <w:rStyle w:val="InternetLink"/>
                                        <w:rFonts w:ascii="Arial;Helvetica;Sans-Serif" w:hAnsi="Arial;Helvetica;Sans-Serif"/>
                                        <w:color w:val="58595B"/>
                                        <w:sz w:val="18"/>
                                      </w:rPr>
                                      <w:t>Equity Compensation in Prior Fiscal Years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33</w:t>
                                  </w:r>
                                </w:p>
                              </w:tc>
                            </w:tr>
                            <w:tr>
                              <w:trPr/>
                              <w:tc>
                                <w:tcPr>
                                  <w:tcW w:w="9960" w:type="dxa"/>
                                  <w:tcBorders/>
                                  <w:shd w:fill="auto" w:val="clear"/>
                                  <w:vAlign w:val="center"/>
                                </w:tcPr>
                                <w:p>
                                  <w:pPr>
                                    <w:pStyle w:val="TableContents"/>
                                    <w:spacing w:before="0" w:after="283"/>
                                    <w:rPr/>
                                  </w:pPr>
                                  <w:hyperlink w:anchor="a049">
                                    <w:r>
                                      <w:rPr>
                                        <w:rStyle w:val="InternetLink"/>
                                        <w:rFonts w:ascii="Arial;Helvetica;Sans-Serif" w:hAnsi="Arial;Helvetica;Sans-Serif"/>
                                        <w:color w:val="58595B"/>
                                        <w:sz w:val="18"/>
                                      </w:rPr>
                                      <w:t>Key Elements of 2022 Named Executive Officer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34</w:t>
                                  </w:r>
                                </w:p>
                              </w:tc>
                            </w:tr>
                            <w:tr>
                              <w:trPr/>
                              <w:tc>
                                <w:tcPr>
                                  <w:tcW w:w="9960" w:type="dxa"/>
                                  <w:tcBorders/>
                                  <w:shd w:fill="auto" w:val="clear"/>
                                  <w:vAlign w:val="center"/>
                                </w:tcPr>
                                <w:p>
                                  <w:pPr>
                                    <w:pStyle w:val="TableContents"/>
                                    <w:spacing w:before="0" w:after="283"/>
                                    <w:rPr/>
                                  </w:pPr>
                                  <w:hyperlink w:anchor="a050">
                                    <w:r>
                                      <w:rPr>
                                        <w:rStyle w:val="InternetLink"/>
                                        <w:rFonts w:ascii="Arial;Helvetica;Sans-Serif" w:hAnsi="Arial;Helvetica;Sans-Serif"/>
                                        <w:color w:val="58595B"/>
                                        <w:sz w:val="18"/>
                                      </w:rPr>
                                      <w:t>Base Salary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34</w:t>
                                  </w:r>
                                </w:p>
                              </w:tc>
                            </w:tr>
                            <w:tr>
                              <w:trPr/>
                              <w:tc>
                                <w:tcPr>
                                  <w:tcW w:w="9960" w:type="dxa"/>
                                  <w:tcBorders/>
                                  <w:shd w:fill="auto" w:val="clear"/>
                                  <w:vAlign w:val="center"/>
                                </w:tcPr>
                                <w:p>
                                  <w:pPr>
                                    <w:pStyle w:val="TableContents"/>
                                    <w:spacing w:before="0" w:after="283"/>
                                    <w:rPr/>
                                  </w:pPr>
                                  <w:hyperlink w:anchor="a051">
                                    <w:r>
                                      <w:rPr>
                                        <w:rStyle w:val="InternetLink"/>
                                        <w:rFonts w:ascii="Arial;Helvetica;Sans-Serif" w:hAnsi="Arial;Helvetica;Sans-Serif"/>
                                        <w:color w:val="58595B"/>
                                        <w:sz w:val="18"/>
                                      </w:rPr>
                                      <w:t>Annual Cash Incentive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34</w:t>
                                  </w:r>
                                </w:p>
                              </w:tc>
                            </w:tr>
                            <w:tr>
                              <w:trPr/>
                              <w:tc>
                                <w:tcPr>
                                  <w:tcW w:w="9960" w:type="dxa"/>
                                  <w:tcBorders/>
                                  <w:shd w:fill="auto" w:val="clear"/>
                                  <w:vAlign w:val="center"/>
                                </w:tcPr>
                                <w:p>
                                  <w:pPr>
                                    <w:pStyle w:val="TableContents"/>
                                    <w:spacing w:before="0" w:after="283"/>
                                    <w:rPr/>
                                  </w:pPr>
                                  <w:hyperlink w:anchor="a052">
                                    <w:r>
                                      <w:rPr>
                                        <w:rStyle w:val="InternetLink"/>
                                        <w:rFonts w:ascii="Arial;Helvetica;Sans-Serif" w:hAnsi="Arial;Helvetica;Sans-Serif"/>
                                        <w:color w:val="58595B"/>
                                        <w:sz w:val="18"/>
                                      </w:rPr>
                                      <w:t>2022 Performance Goals and Results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35</w:t>
                                  </w:r>
                                </w:p>
                              </w:tc>
                            </w:tr>
                            <w:tr>
                              <w:trPr/>
                              <w:tc>
                                <w:tcPr>
                                  <w:tcW w:w="9960" w:type="dxa"/>
                                  <w:tcBorders/>
                                  <w:shd w:fill="auto" w:val="clear"/>
                                  <w:vAlign w:val="center"/>
                                </w:tcPr>
                                <w:p>
                                  <w:pPr>
                                    <w:pStyle w:val="TableContents"/>
                                    <w:spacing w:before="0" w:after="283"/>
                                    <w:rPr/>
                                  </w:pPr>
                                  <w:hyperlink w:anchor="a053">
                                    <w:r>
                                      <w:rPr>
                                        <w:rStyle w:val="InternetLink"/>
                                        <w:rFonts w:ascii="Arial;Helvetica;Sans-Serif" w:hAnsi="Arial;Helvetica;Sans-Serif"/>
                                        <w:color w:val="58595B"/>
                                        <w:sz w:val="18"/>
                                      </w:rPr>
                                      <w:t>Equity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4">
                                    <w:r>
                                      <w:rPr>
                                        <w:rStyle w:val="InternetLink"/>
                                        <w:rFonts w:ascii="Arial;Helvetica;Sans-Serif" w:hAnsi="Arial;Helvetica;Sans-Serif"/>
                                        <w:color w:val="58595B"/>
                                        <w:sz w:val="18"/>
                                      </w:rPr>
                                      <w:t>2021 Performance Stock Option Award for CEO</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5">
                                    <w:r>
                                      <w:rPr>
                                        <w:rStyle w:val="InternetLink"/>
                                        <w:rFonts w:ascii="Arial;Helvetica;Sans-Serif" w:hAnsi="Arial;Helvetica;Sans-Serif"/>
                                        <w:color w:val="58595B"/>
                                        <w:sz w:val="18"/>
                                      </w:rPr>
                                      <w:t>Other NEOs’ 2022 Equity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6">
                                    <w:r>
                                      <w:rPr>
                                        <w:rStyle w:val="InternetLink"/>
                                        <w:rFonts w:ascii="Arial;Helvetica;Sans-Serif" w:hAnsi="Arial;Helvetica;Sans-Serif"/>
                                        <w:color w:val="58595B"/>
                                        <w:sz w:val="18"/>
                                      </w:rPr>
                                      <w:t>Performance Share Grants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7">
                                    <w:r>
                                      <w:rPr>
                                        <w:rStyle w:val="InternetLink"/>
                                        <w:rFonts w:ascii="Arial;Helvetica;Sans-Serif" w:hAnsi="Arial;Helvetica;Sans-Serif"/>
                                        <w:color w:val="58595B"/>
                                        <w:sz w:val="18"/>
                                      </w:rPr>
                                      <w:t>Performance-Based Restricted Stock Unit (RSU) Grants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8">
                                    <w:r>
                                      <w:rPr>
                                        <w:rStyle w:val="InternetLink"/>
                                        <w:rFonts w:ascii="Arial;Helvetica;Sans-Serif" w:hAnsi="Arial;Helvetica;Sans-Serif"/>
                                        <w:color w:val="58595B"/>
                                        <w:sz w:val="18"/>
                                      </w:rPr>
                                      <w:t>Stock Option Grants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40</w:t>
                                  </w:r>
                                </w:p>
                              </w:tc>
                            </w:tr>
                            <w:tr>
                              <w:trPr/>
                              <w:tc>
                                <w:tcPr>
                                  <w:tcW w:w="9960" w:type="dxa"/>
                                  <w:tcBorders/>
                                  <w:shd w:fill="auto" w:val="clear"/>
                                  <w:vAlign w:val="center"/>
                                </w:tcPr>
                                <w:p>
                                  <w:pPr>
                                    <w:pStyle w:val="TableContents"/>
                                    <w:spacing w:before="0" w:after="283"/>
                                    <w:rPr/>
                                  </w:pPr>
                                  <w:hyperlink w:anchor="a059">
                                    <w:r>
                                      <w:rPr>
                                        <w:rStyle w:val="InternetLink"/>
                                        <w:rFonts w:ascii="Arial;Helvetica;Sans-Serif" w:hAnsi="Arial;Helvetica;Sans-Serif"/>
                                        <w:color w:val="58595B"/>
                                        <w:sz w:val="18"/>
                                      </w:rPr>
                                      <w:t>Prior-Year Equity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40</w:t>
                                  </w:r>
                                </w:p>
                              </w:tc>
                            </w:tr>
                            <w:tr>
                              <w:trPr/>
                              <w:tc>
                                <w:tcPr>
                                  <w:tcW w:w="9960" w:type="dxa"/>
                                  <w:tcBorders/>
                                  <w:shd w:fill="auto" w:val="clear"/>
                                  <w:vAlign w:val="center"/>
                                </w:tcPr>
                                <w:p>
                                  <w:pPr>
                                    <w:pStyle w:val="TableContents"/>
                                    <w:spacing w:before="0" w:after="283"/>
                                    <w:rPr/>
                                  </w:pPr>
                                  <w:hyperlink w:anchor="a060">
                                    <w:r>
                                      <w:rPr>
                                        <w:rStyle w:val="InternetLink"/>
                                        <w:rFonts w:ascii="Arial;Helvetica;Sans-Serif" w:hAnsi="Arial;Helvetica;Sans-Serif"/>
                                        <w:color w:val="58595B"/>
                                        <w:sz w:val="18"/>
                                      </w:rPr>
                                      <w:t>Omission of Certain Goal Levels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41</w:t>
                                  </w:r>
                                </w:p>
                              </w:tc>
                            </w:tr>
                            <w:tr>
                              <w:trPr/>
                              <w:tc>
                                <w:tcPr>
                                  <w:tcW w:w="9960" w:type="dxa"/>
                                  <w:tcBorders/>
                                  <w:shd w:fill="auto" w:val="clear"/>
                                  <w:vAlign w:val="center"/>
                                </w:tcPr>
                                <w:p>
                                  <w:pPr>
                                    <w:pStyle w:val="TableContents"/>
                                    <w:spacing w:before="0" w:after="283"/>
                                    <w:rPr/>
                                  </w:pPr>
                                  <w:hyperlink w:anchor="a061">
                                    <w:r>
                                      <w:rPr>
                                        <w:rStyle w:val="InternetLink"/>
                                        <w:rFonts w:ascii="Arial;Helvetica;Sans-Serif" w:hAnsi="Arial;Helvetica;Sans-Serif"/>
                                        <w:color w:val="58595B"/>
                                        <w:sz w:val="18"/>
                                      </w:rPr>
                                      <w:t>Other Compensation and Benefits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41</w:t>
                                  </w:r>
                                </w:p>
                              </w:tc>
                            </w:tr>
                            <w:tr>
                              <w:trPr/>
                              <w:tc>
                                <w:tcPr>
                                  <w:tcW w:w="9960" w:type="dxa"/>
                                  <w:tcBorders/>
                                  <w:shd w:fill="auto" w:val="clear"/>
                                  <w:vAlign w:val="center"/>
                                </w:tcPr>
                                <w:p>
                                  <w:pPr>
                                    <w:pStyle w:val="TableContents"/>
                                    <w:spacing w:before="0" w:after="283"/>
                                    <w:rPr/>
                                  </w:pPr>
                                  <w:hyperlink w:anchor="a062">
                                    <w:r>
                                      <w:rPr>
                                        <w:rStyle w:val="InternetLink"/>
                                        <w:rFonts w:ascii="Arial;Helvetica;Sans-Serif" w:hAnsi="Arial;Helvetica;Sans-Serif"/>
                                        <w:color w:val="58595B"/>
                                        <w:sz w:val="18"/>
                                      </w:rPr>
                                      <w:t>Process to Review, Revise, and Set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41</w:t>
                                  </w:r>
                                </w:p>
                              </w:tc>
                            </w:tr>
                            <w:tr>
                              <w:trPr/>
                              <w:tc>
                                <w:tcPr>
                                  <w:tcW w:w="9960" w:type="dxa"/>
                                  <w:tcBorders/>
                                  <w:shd w:fill="auto" w:val="clear"/>
                                  <w:vAlign w:val="center"/>
                                </w:tcPr>
                                <w:p>
                                  <w:pPr>
                                    <w:pStyle w:val="TableContents"/>
                                    <w:spacing w:before="0" w:after="283"/>
                                    <w:rPr/>
                                  </w:pPr>
                                  <w:hyperlink w:anchor="a063">
                                    <w:r>
                                      <w:rPr>
                                        <w:rStyle w:val="InternetLink"/>
                                        <w:rFonts w:ascii="Arial;Helvetica;Sans-Serif" w:hAnsi="Arial;Helvetica;Sans-Serif"/>
                                        <w:color w:val="58595B"/>
                                        <w:sz w:val="18"/>
                                      </w:rPr>
                                      <w:t>Compensation Peer Group</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42</w:t>
                                  </w:r>
                                </w:p>
                              </w:tc>
                            </w:tr>
                            <w:tr>
                              <w:trPr/>
                              <w:tc>
                                <w:tcPr>
                                  <w:tcW w:w="9960" w:type="dxa"/>
                                  <w:tcBorders/>
                                  <w:shd w:fill="auto" w:val="clear"/>
                                  <w:vAlign w:val="center"/>
                                </w:tcPr>
                                <w:p>
                                  <w:pPr>
                                    <w:pStyle w:val="TableContents"/>
                                    <w:spacing w:before="0" w:after="283"/>
                                    <w:rPr/>
                                  </w:pPr>
                                  <w:hyperlink w:anchor="a064">
                                    <w:r>
                                      <w:rPr>
                                        <w:rStyle w:val="InternetLink"/>
                                        <w:rFonts w:ascii="Arial;Helvetica;Sans-Serif" w:hAnsi="Arial;Helvetica;Sans-Serif"/>
                                        <w:color w:val="58595B"/>
                                        <w:sz w:val="18"/>
                                      </w:rPr>
                                      <w:t>Information on Other Compensation-Related Topics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43</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10205" w:type="dxa"/>
                        <w:jc w:val="left"/>
                        <w:tblInd w:w="0" w:type="dxa"/>
                        <w:tblCellMar>
                          <w:top w:w="0" w:type="dxa"/>
                          <w:left w:w="0" w:type="dxa"/>
                          <w:bottom w:w="0" w:type="dxa"/>
                          <w:right w:w="0" w:type="dxa"/>
                        </w:tblCellMar>
                      </w:tblPr>
                      <w:tblGrid>
                        <w:gridCol w:w="9960"/>
                        <w:gridCol w:w="245"/>
                      </w:tblGrid>
                      <w:tr>
                        <w:trPr/>
                        <w:tc>
                          <w:tcPr>
                            <w:tcW w:w="9960" w:type="dxa"/>
                            <w:tcBorders/>
                            <w:shd w:fill="auto" w:val="clear"/>
                            <w:vAlign w:val="center"/>
                          </w:tcPr>
                          <w:p>
                            <w:pPr>
                              <w:pStyle w:val="TableContents"/>
                              <w:spacing w:before="0" w:after="283"/>
                              <w:rPr/>
                            </w:pPr>
                            <w:hyperlink w:anchor="a001">
                              <w:r>
                                <w:rPr>
                                  <w:rStyle w:val="InternetLink"/>
                                </w:rPr>
                                <w:t>01.</w:t>
                              </w:r>
                            </w:hyperlink>
                            <w:r>
                              <w:rPr>
                                <w:rFonts w:ascii="Arial;Helvetica;Sans-Serif" w:hAnsi="Arial;Helvetica;Sans-Serif"/>
                                <w:b/>
                                <w:color w:val="EE0027"/>
                                <w:sz w:val="18"/>
                              </w:rPr>
                              <w:t xml:space="preserve"> </w:t>
                            </w:r>
                            <w:hyperlink w:anchor="a001">
                              <w:r>
                                <w:rPr>
                                  <w:rStyle w:val="InternetLink"/>
                                  <w:rFonts w:ascii="Arial;Helvetica;Sans-Serif" w:hAnsi="Arial;Helvetica;Sans-Serif"/>
                                  <w:b w:val="false"/>
                                  <w:color w:val="EE0027"/>
                                  <w:sz w:val="18"/>
                                </w:rPr>
                                <w:t>SUMMARY</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02">
                              <w:r>
                                <w:rPr>
                                  <w:rStyle w:val="InternetLink"/>
                                  <w:rFonts w:ascii="Arial;Helvetica;Sans-Serif" w:hAnsi="Arial;Helvetica;Sans-Serif"/>
                                  <w:color w:val="58595B"/>
                                  <w:sz w:val="18"/>
                                </w:rPr>
                                <w:t>Proposals and Board Recommendations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03">
                              <w:r>
                                <w:rPr>
                                  <w:rStyle w:val="InternetLink"/>
                                </w:rPr>
                                <w:t>02.</w:t>
                              </w:r>
                            </w:hyperlink>
                            <w:r>
                              <w:rPr>
                                <w:rFonts w:ascii="Arial;Helvetica;Sans-Serif" w:hAnsi="Arial;Helvetica;Sans-Serif"/>
                                <w:b/>
                                <w:color w:val="EE0027"/>
                                <w:sz w:val="18"/>
                              </w:rPr>
                              <w:t xml:space="preserve"> </w:t>
                            </w:r>
                            <w:hyperlink w:anchor="a003">
                              <w:r>
                                <w:rPr>
                                  <w:rStyle w:val="InternetLink"/>
                                  <w:rFonts w:ascii="Arial;Helvetica;Sans-Serif" w:hAnsi="Arial;Helvetica;Sans-Serif"/>
                                  <w:b w:val="false"/>
                                  <w:color w:val="EE0027"/>
                                  <w:sz w:val="18"/>
                                </w:rPr>
                                <w:t>FLEETCOR AT A GLANCE</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04">
                              <w:r>
                                <w:rPr>
                                  <w:rStyle w:val="InternetLink"/>
                                  <w:rFonts w:ascii="Arial;Helvetica;Sans-Serif" w:hAnsi="Arial;Helvetica;Sans-Serif"/>
                                  <w:color w:val="58595B"/>
                                  <w:sz w:val="18"/>
                                </w:rPr>
                                <w:t>Our Vision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w:t>
                            </w:r>
                          </w:p>
                        </w:tc>
                      </w:tr>
                      <w:tr>
                        <w:trPr/>
                        <w:tc>
                          <w:tcPr>
                            <w:tcW w:w="9960" w:type="dxa"/>
                            <w:tcBorders/>
                            <w:shd w:fill="auto" w:val="clear"/>
                            <w:vAlign w:val="center"/>
                          </w:tcPr>
                          <w:p>
                            <w:pPr>
                              <w:pStyle w:val="TableContents"/>
                              <w:spacing w:before="0" w:after="283"/>
                              <w:rPr/>
                            </w:pPr>
                            <w:hyperlink w:anchor="a005">
                              <w:r>
                                <w:rPr>
                                  <w:rStyle w:val="InternetLink"/>
                                  <w:rFonts w:ascii="Arial;Helvetica;Sans-Serif" w:hAnsi="Arial;Helvetica;Sans-Serif"/>
                                  <w:color w:val="58595B"/>
                                  <w:sz w:val="18"/>
                                </w:rPr>
                                <w:t>Our Mission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w:t>
                            </w:r>
                          </w:p>
                        </w:tc>
                      </w:tr>
                      <w:tr>
                        <w:trPr/>
                        <w:tc>
                          <w:tcPr>
                            <w:tcW w:w="9960" w:type="dxa"/>
                            <w:tcBorders/>
                            <w:shd w:fill="auto" w:val="clear"/>
                            <w:vAlign w:val="center"/>
                          </w:tcPr>
                          <w:p>
                            <w:pPr>
                              <w:pStyle w:val="TableContents"/>
                              <w:spacing w:before="0" w:after="283"/>
                              <w:rPr/>
                            </w:pPr>
                            <w:hyperlink w:anchor="a006">
                              <w:r>
                                <w:rPr>
                                  <w:rStyle w:val="InternetLink"/>
                                  <w:rFonts w:ascii="Arial;Helvetica;Sans-Serif" w:hAnsi="Arial;Helvetica;Sans-Serif"/>
                                  <w:color w:val="58595B"/>
                                  <w:sz w:val="18"/>
                                </w:rPr>
                                <w:t>Our Strategy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7</w:t>
                            </w:r>
                          </w:p>
                        </w:tc>
                      </w:tr>
                      <w:tr>
                        <w:trPr/>
                        <w:tc>
                          <w:tcPr>
                            <w:tcW w:w="9960" w:type="dxa"/>
                            <w:tcBorders/>
                            <w:shd w:fill="auto" w:val="clear"/>
                            <w:vAlign w:val="center"/>
                          </w:tcPr>
                          <w:p>
                            <w:pPr>
                              <w:pStyle w:val="TableContents"/>
                              <w:spacing w:before="0" w:after="283"/>
                              <w:rPr/>
                            </w:pPr>
                            <w:hyperlink w:anchor="a007">
                              <w:r>
                                <w:rPr>
                                  <w:rStyle w:val="InternetLink"/>
                                  <w:rFonts w:ascii="Arial;Helvetica;Sans-Serif" w:hAnsi="Arial;Helvetica;Sans-Serif"/>
                                  <w:color w:val="58595B"/>
                                  <w:sz w:val="18"/>
                                </w:rPr>
                                <w:t>Our Performance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7</w:t>
                            </w:r>
                          </w:p>
                        </w:tc>
                      </w:tr>
                      <w:tr>
                        <w:trPr/>
                        <w:tc>
                          <w:tcPr>
                            <w:tcW w:w="9960" w:type="dxa"/>
                            <w:tcBorders/>
                            <w:shd w:fill="auto" w:val="clear"/>
                            <w:vAlign w:val="center"/>
                          </w:tcPr>
                          <w:p>
                            <w:pPr>
                              <w:pStyle w:val="TableContents"/>
                              <w:spacing w:before="0" w:after="283"/>
                              <w:rPr/>
                            </w:pPr>
                            <w:hyperlink w:anchor="a008">
                              <w:r>
                                <w:rPr>
                                  <w:rStyle w:val="InternetLink"/>
                                  <w:rFonts w:ascii="Arial;Helvetica;Sans-Serif" w:hAnsi="Arial;Helvetica;Sans-Serif"/>
                                  <w:color w:val="58595B"/>
                                  <w:sz w:val="18"/>
                                </w:rPr>
                                <w:t>Our Board of Directors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8</w:t>
                            </w:r>
                          </w:p>
                        </w:tc>
                      </w:tr>
                      <w:tr>
                        <w:trPr/>
                        <w:tc>
                          <w:tcPr>
                            <w:tcW w:w="9960" w:type="dxa"/>
                            <w:tcBorders/>
                            <w:shd w:fill="auto" w:val="clear"/>
                            <w:vAlign w:val="center"/>
                          </w:tcPr>
                          <w:p>
                            <w:pPr>
                              <w:pStyle w:val="TableContents"/>
                              <w:spacing w:before="0" w:after="283"/>
                              <w:rPr/>
                            </w:pPr>
                            <w:hyperlink w:anchor="a009">
                              <w:r>
                                <w:rPr>
                                  <w:rStyle w:val="InternetLink"/>
                                  <w:rFonts w:ascii="Arial;Helvetica;Sans-Serif" w:hAnsi="Arial;Helvetica;Sans-Serif"/>
                                  <w:color w:val="58595B"/>
                                  <w:sz w:val="18"/>
                                </w:rPr>
                                <w:t>Forward-Leaning Corporate Governance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8</w:t>
                            </w:r>
                          </w:p>
                        </w:tc>
                      </w:tr>
                      <w:tr>
                        <w:trPr/>
                        <w:tc>
                          <w:tcPr>
                            <w:tcW w:w="9960" w:type="dxa"/>
                            <w:tcBorders/>
                            <w:shd w:fill="auto" w:val="clear"/>
                            <w:vAlign w:val="center"/>
                          </w:tcPr>
                          <w:p>
                            <w:pPr>
                              <w:pStyle w:val="TableContents"/>
                              <w:spacing w:before="0" w:after="283"/>
                              <w:rPr/>
                            </w:pPr>
                            <w:hyperlink w:anchor="a010">
                              <w:r>
                                <w:rPr>
                                  <w:rStyle w:val="InternetLink"/>
                                  <w:rFonts w:ascii="Arial;Helvetica;Sans-Serif" w:hAnsi="Arial;Helvetica;Sans-Serif"/>
                                  <w:color w:val="58595B"/>
                                  <w:sz w:val="18"/>
                                </w:rPr>
                                <w:t>Forward-Leaning Compensation Practices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8</w:t>
                            </w:r>
                          </w:p>
                        </w:tc>
                      </w:tr>
                      <w:tr>
                        <w:trPr/>
                        <w:tc>
                          <w:tcPr>
                            <w:tcW w:w="9960" w:type="dxa"/>
                            <w:tcBorders/>
                            <w:shd w:fill="auto" w:val="clear"/>
                            <w:vAlign w:val="center"/>
                          </w:tcPr>
                          <w:p>
                            <w:pPr>
                              <w:pStyle w:val="TableContents"/>
                              <w:spacing w:before="0" w:after="283"/>
                              <w:rPr/>
                            </w:pPr>
                            <w:hyperlink w:anchor="a011">
                              <w:r>
                                <w:rPr>
                                  <w:rStyle w:val="InternetLink"/>
                                  <w:rFonts w:ascii="Arial;Helvetica;Sans-Serif" w:hAnsi="Arial;Helvetica;Sans-Serif"/>
                                  <w:color w:val="58595B"/>
                                  <w:sz w:val="18"/>
                                </w:rPr>
                                <w:t>Shareholder Engagement Results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8</w:t>
                            </w:r>
                          </w:p>
                        </w:tc>
                      </w:tr>
                      <w:tr>
                        <w:trPr/>
                        <w:tc>
                          <w:tcPr>
                            <w:tcW w:w="9960" w:type="dxa"/>
                            <w:tcBorders/>
                            <w:shd w:fill="auto" w:val="clear"/>
                            <w:vAlign w:val="center"/>
                          </w:tcPr>
                          <w:p>
                            <w:pPr>
                              <w:pStyle w:val="TableContents"/>
                              <w:spacing w:before="0" w:after="283"/>
                              <w:rPr/>
                            </w:pPr>
                            <w:hyperlink w:anchor="a012">
                              <w:r>
                                <w:rPr>
                                  <w:rStyle w:val="InternetLink"/>
                                  <w:rFonts w:ascii="Arial;Helvetica;Sans-Serif" w:hAnsi="Arial;Helvetica;Sans-Serif"/>
                                  <w:color w:val="58595B"/>
                                  <w:sz w:val="18"/>
                                </w:rPr>
                                <w:t>Our Commitment to Culture, Diversity Inclusion, Belonging and Sustainability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9</w:t>
                            </w:r>
                          </w:p>
                        </w:tc>
                      </w:tr>
                      <w:tr>
                        <w:trPr/>
                        <w:tc>
                          <w:tcPr>
                            <w:tcW w:w="9960" w:type="dxa"/>
                            <w:tcBorders/>
                            <w:shd w:fill="auto" w:val="clear"/>
                            <w:vAlign w:val="center"/>
                          </w:tcPr>
                          <w:p>
                            <w:pPr>
                              <w:pStyle w:val="TableContents"/>
                              <w:spacing w:before="0" w:after="283"/>
                              <w:rPr/>
                            </w:pPr>
                            <w:hyperlink w:anchor="a013">
                              <w:r>
                                <w:rPr>
                                  <w:rStyle w:val="InternetLink"/>
                                  <w:rFonts w:ascii="Arial;Helvetica;Sans-Serif" w:hAnsi="Arial;Helvetica;Sans-Serif"/>
                                  <w:color w:val="58595B"/>
                                  <w:sz w:val="18"/>
                                </w:rPr>
                                <w:t>Human Capital</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9</w:t>
                            </w:r>
                          </w:p>
                        </w:tc>
                      </w:tr>
                      <w:tr>
                        <w:trPr/>
                        <w:tc>
                          <w:tcPr>
                            <w:tcW w:w="9960" w:type="dxa"/>
                            <w:tcBorders/>
                            <w:shd w:fill="auto" w:val="clear"/>
                            <w:vAlign w:val="center"/>
                          </w:tcPr>
                          <w:p>
                            <w:pPr>
                              <w:pStyle w:val="TableContents"/>
                              <w:spacing w:before="0" w:after="283"/>
                              <w:rPr/>
                            </w:pPr>
                            <w:hyperlink w:anchor="a014">
                              <w:r>
                                <w:rPr>
                                  <w:rStyle w:val="InternetLink"/>
                                  <w:rFonts w:ascii="Arial;Helvetica;Sans-Serif" w:hAnsi="Arial;Helvetica;Sans-Serif"/>
                                  <w:color w:val="58595B"/>
                                  <w:sz w:val="18"/>
                                </w:rPr>
                                <w:t>Culture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9</w:t>
                            </w:r>
                          </w:p>
                        </w:tc>
                      </w:tr>
                      <w:tr>
                        <w:trPr/>
                        <w:tc>
                          <w:tcPr>
                            <w:tcW w:w="9960" w:type="dxa"/>
                            <w:tcBorders/>
                            <w:shd w:fill="auto" w:val="clear"/>
                            <w:vAlign w:val="center"/>
                          </w:tcPr>
                          <w:p>
                            <w:pPr>
                              <w:pStyle w:val="TableContents"/>
                              <w:spacing w:before="0" w:after="283"/>
                              <w:rPr/>
                            </w:pPr>
                            <w:hyperlink w:anchor="a015">
                              <w:r>
                                <w:rPr>
                                  <w:rStyle w:val="InternetLink"/>
                                  <w:rFonts w:ascii="Arial;Helvetica;Sans-Serif" w:hAnsi="Arial;Helvetica;Sans-Serif"/>
                                  <w:color w:val="58595B"/>
                                  <w:sz w:val="18"/>
                                </w:rPr>
                                <w:t>Diversity, Inclusion &amp; Belonging</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9</w:t>
                            </w:r>
                          </w:p>
                        </w:tc>
                      </w:tr>
                      <w:tr>
                        <w:trPr/>
                        <w:tc>
                          <w:tcPr>
                            <w:tcW w:w="9960" w:type="dxa"/>
                            <w:tcBorders/>
                            <w:shd w:fill="auto" w:val="clear"/>
                            <w:vAlign w:val="center"/>
                          </w:tcPr>
                          <w:p>
                            <w:pPr>
                              <w:pStyle w:val="TableContents"/>
                              <w:spacing w:before="0" w:after="283"/>
                              <w:rPr/>
                            </w:pPr>
                            <w:hyperlink w:anchor="a016">
                              <w:r>
                                <w:rPr>
                                  <w:rStyle w:val="InternetLink"/>
                                  <w:rFonts w:ascii="Arial;Helvetica;Sans-Serif" w:hAnsi="Arial;Helvetica;Sans-Serif"/>
                                  <w:color w:val="58595B"/>
                                  <w:sz w:val="18"/>
                                </w:rPr>
                                <w:t>Employee Wellness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10</w:t>
                            </w:r>
                          </w:p>
                        </w:tc>
                      </w:tr>
                      <w:tr>
                        <w:trPr/>
                        <w:tc>
                          <w:tcPr>
                            <w:tcW w:w="9960" w:type="dxa"/>
                            <w:tcBorders/>
                            <w:shd w:fill="auto" w:val="clear"/>
                            <w:vAlign w:val="center"/>
                          </w:tcPr>
                          <w:p>
                            <w:pPr>
                              <w:pStyle w:val="TableContents"/>
                              <w:spacing w:before="0" w:after="283"/>
                              <w:rPr/>
                            </w:pPr>
                            <w:hyperlink w:anchor="a017">
                              <w:r>
                                <w:rPr>
                                  <w:rStyle w:val="InternetLink"/>
                                  <w:rFonts w:ascii="Arial;Helvetica;Sans-Serif" w:hAnsi="Arial;Helvetica;Sans-Serif"/>
                                  <w:color w:val="58595B"/>
                                  <w:sz w:val="18"/>
                                </w:rPr>
                                <w:t>Talent Development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10</w:t>
                            </w:r>
                          </w:p>
                        </w:tc>
                      </w:tr>
                      <w:tr>
                        <w:trPr/>
                        <w:tc>
                          <w:tcPr>
                            <w:tcW w:w="9960" w:type="dxa"/>
                            <w:tcBorders/>
                            <w:shd w:fill="auto" w:val="clear"/>
                            <w:vAlign w:val="center"/>
                          </w:tcPr>
                          <w:p>
                            <w:pPr>
                              <w:pStyle w:val="TableContents"/>
                              <w:spacing w:before="0" w:after="283"/>
                              <w:rPr/>
                            </w:pPr>
                            <w:hyperlink w:anchor="a018">
                              <w:r>
                                <w:rPr>
                                  <w:rStyle w:val="InternetLink"/>
                                  <w:rFonts w:ascii="Arial;Helvetica;Sans-Serif" w:hAnsi="Arial;Helvetica;Sans-Serif"/>
                                  <w:color w:val="58595B"/>
                                  <w:sz w:val="18"/>
                                </w:rPr>
                                <w:t>Voice of the Employee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10</w:t>
                            </w:r>
                          </w:p>
                        </w:tc>
                      </w:tr>
                      <w:tr>
                        <w:trPr/>
                        <w:tc>
                          <w:tcPr>
                            <w:tcW w:w="9960" w:type="dxa"/>
                            <w:tcBorders/>
                            <w:shd w:fill="auto" w:val="clear"/>
                            <w:vAlign w:val="center"/>
                          </w:tcPr>
                          <w:p>
                            <w:pPr>
                              <w:pStyle w:val="TableContents"/>
                              <w:spacing w:before="0" w:after="283"/>
                              <w:rPr/>
                            </w:pPr>
                            <w:hyperlink w:anchor="a019">
                              <w:r>
                                <w:rPr>
                                  <w:rStyle w:val="InternetLink"/>
                                  <w:rFonts w:ascii="Arial;Helvetica;Sans-Serif" w:hAnsi="Arial;Helvetica;Sans-Serif"/>
                                  <w:color w:val="58595B"/>
                                  <w:sz w:val="18"/>
                                </w:rPr>
                                <w:t>Sustainability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11</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20">
                              <w:r>
                                <w:rPr>
                                  <w:rStyle w:val="InternetLink"/>
                                </w:rPr>
                                <w:t>03.</w:t>
                              </w:r>
                            </w:hyperlink>
                            <w:r>
                              <w:rPr>
                                <w:rFonts w:ascii="Arial;Helvetica;Sans-Serif" w:hAnsi="Arial;Helvetica;Sans-Serif"/>
                                <w:b/>
                                <w:color w:val="EE0027"/>
                                <w:sz w:val="18"/>
                              </w:rPr>
                              <w:t xml:space="preserve"> </w:t>
                            </w:r>
                            <w:hyperlink w:anchor="a020">
                              <w:r>
                                <w:rPr>
                                  <w:rStyle w:val="InternetLink"/>
                                  <w:rFonts w:ascii="Arial;Helvetica;Sans-Serif" w:hAnsi="Arial;Helvetica;Sans-Serif"/>
                                  <w:b w:val="false"/>
                                  <w:color w:val="EE0027"/>
                                  <w:sz w:val="18"/>
                                </w:rPr>
                                <w:t>CORPORATE GOVERNANCE AND BOARD MATTERS</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21">
                              <w:r>
                                <w:rPr>
                                  <w:rStyle w:val="InternetLink"/>
                                  <w:rFonts w:ascii="Arial;Helvetica;Sans-Serif" w:hAnsi="Arial;Helvetica;Sans-Serif"/>
                                  <w:color w:val="58595B"/>
                                  <w:sz w:val="18"/>
                                </w:rPr>
                                <w:t>Our Board of Directors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12</w:t>
                            </w:r>
                          </w:p>
                        </w:tc>
                      </w:tr>
                      <w:tr>
                        <w:trPr/>
                        <w:tc>
                          <w:tcPr>
                            <w:tcW w:w="9960" w:type="dxa"/>
                            <w:tcBorders/>
                            <w:shd w:fill="auto" w:val="clear"/>
                            <w:vAlign w:val="center"/>
                          </w:tcPr>
                          <w:p>
                            <w:pPr>
                              <w:pStyle w:val="TableContents"/>
                              <w:spacing w:before="0" w:after="283"/>
                              <w:rPr/>
                            </w:pPr>
                            <w:hyperlink w:anchor="a022">
                              <w:r>
                                <w:rPr>
                                  <w:rStyle w:val="InternetLink"/>
                                  <w:rFonts w:ascii="Arial;Helvetica;Sans-Serif" w:hAnsi="Arial;Helvetica;Sans-Serif"/>
                                  <w:color w:val="58595B"/>
                                  <w:sz w:val="18"/>
                                </w:rPr>
                                <w:t>Director Nominees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13</w:t>
                            </w:r>
                          </w:p>
                        </w:tc>
                      </w:tr>
                      <w:tr>
                        <w:trPr/>
                        <w:tc>
                          <w:tcPr>
                            <w:tcW w:w="9960" w:type="dxa"/>
                            <w:tcBorders/>
                            <w:shd w:fill="auto" w:val="clear"/>
                            <w:vAlign w:val="center"/>
                          </w:tcPr>
                          <w:p>
                            <w:pPr>
                              <w:pStyle w:val="TableContents"/>
                              <w:spacing w:before="0" w:after="283"/>
                              <w:rPr/>
                            </w:pPr>
                            <w:hyperlink w:anchor="a023">
                              <w:r>
                                <w:rPr>
                                  <w:rStyle w:val="InternetLink"/>
                                  <w:rFonts w:ascii="Arial;Helvetica;Sans-Serif" w:hAnsi="Arial;Helvetica;Sans-Serif"/>
                                  <w:color w:val="58595B"/>
                                  <w:sz w:val="18"/>
                                </w:rPr>
                                <w:t>Evaluation and Evolution of Our Board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17</w:t>
                            </w:r>
                          </w:p>
                        </w:tc>
                      </w:tr>
                      <w:tr>
                        <w:trPr/>
                        <w:tc>
                          <w:tcPr>
                            <w:tcW w:w="9960" w:type="dxa"/>
                            <w:tcBorders/>
                            <w:shd w:fill="auto" w:val="clear"/>
                            <w:vAlign w:val="center"/>
                          </w:tcPr>
                          <w:p>
                            <w:pPr>
                              <w:pStyle w:val="TableContents"/>
                              <w:spacing w:before="0" w:after="283"/>
                              <w:rPr/>
                            </w:pPr>
                            <w:hyperlink w:anchor="a024">
                              <w:r>
                                <w:rPr>
                                  <w:rStyle w:val="InternetLink"/>
                                  <w:rFonts w:ascii="Arial;Helvetica;Sans-Serif" w:hAnsi="Arial;Helvetica;Sans-Serif"/>
                                  <w:color w:val="58595B"/>
                                  <w:sz w:val="18"/>
                                </w:rPr>
                                <w:t>Board Meetings and Committees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17</w:t>
                            </w:r>
                          </w:p>
                        </w:tc>
                      </w:tr>
                      <w:tr>
                        <w:trPr/>
                        <w:tc>
                          <w:tcPr>
                            <w:tcW w:w="9960" w:type="dxa"/>
                            <w:tcBorders/>
                            <w:shd w:fill="auto" w:val="clear"/>
                            <w:vAlign w:val="center"/>
                          </w:tcPr>
                          <w:p>
                            <w:pPr>
                              <w:pStyle w:val="TableContents"/>
                              <w:spacing w:before="0" w:after="283"/>
                              <w:rPr/>
                            </w:pPr>
                            <w:hyperlink w:anchor="a025">
                              <w:r>
                                <w:rPr>
                                  <w:rStyle w:val="InternetLink"/>
                                  <w:rFonts w:ascii="Arial;Helvetica;Sans-Serif" w:hAnsi="Arial;Helvetica;Sans-Serif"/>
                                  <w:color w:val="58595B"/>
                                  <w:sz w:val="18"/>
                                </w:rPr>
                                <w:t>Audit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18</w:t>
                            </w:r>
                          </w:p>
                        </w:tc>
                      </w:tr>
                      <w:tr>
                        <w:trPr/>
                        <w:tc>
                          <w:tcPr>
                            <w:tcW w:w="9960" w:type="dxa"/>
                            <w:tcBorders/>
                            <w:shd w:fill="auto" w:val="clear"/>
                            <w:vAlign w:val="center"/>
                          </w:tcPr>
                          <w:p>
                            <w:pPr>
                              <w:pStyle w:val="TableContents"/>
                              <w:spacing w:before="0" w:after="283"/>
                              <w:rPr/>
                            </w:pPr>
                            <w:hyperlink w:anchor="a026">
                              <w:r>
                                <w:rPr>
                                  <w:rStyle w:val="InternetLink"/>
                                  <w:rFonts w:ascii="Arial;Helvetica;Sans-Serif" w:hAnsi="Arial;Helvetica;Sans-Serif"/>
                                  <w:color w:val="58595B"/>
                                  <w:sz w:val="18"/>
                                </w:rPr>
                                <w:t>Compensation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18</w:t>
                            </w:r>
                          </w:p>
                        </w:tc>
                      </w:tr>
                      <w:tr>
                        <w:trPr/>
                        <w:tc>
                          <w:tcPr>
                            <w:tcW w:w="9960" w:type="dxa"/>
                            <w:tcBorders/>
                            <w:shd w:fill="auto" w:val="clear"/>
                            <w:vAlign w:val="center"/>
                          </w:tcPr>
                          <w:p>
                            <w:pPr>
                              <w:pStyle w:val="TableContents"/>
                              <w:spacing w:before="0" w:after="283"/>
                              <w:rPr/>
                            </w:pPr>
                            <w:hyperlink w:anchor="a027">
                              <w:r>
                                <w:rPr>
                                  <w:rStyle w:val="InternetLink"/>
                                  <w:rFonts w:ascii="Arial;Helvetica;Sans-Serif" w:hAnsi="Arial;Helvetica;Sans-Serif"/>
                                  <w:color w:val="58595B"/>
                                  <w:sz w:val="18"/>
                                </w:rPr>
                                <w:t>Nomination and Governance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28">
                              <w:r>
                                <w:rPr>
                                  <w:rStyle w:val="InternetLink"/>
                                  <w:rFonts w:ascii="Arial;Helvetica;Sans-Serif" w:hAnsi="Arial;Helvetica;Sans-Serif"/>
                                  <w:color w:val="58595B"/>
                                  <w:sz w:val="18"/>
                                </w:rPr>
                                <w:t>Executive and Acquisitions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29">
                              <w:r>
                                <w:rPr>
                                  <w:rStyle w:val="InternetLink"/>
                                  <w:rFonts w:ascii="Arial;Helvetica;Sans-Serif" w:hAnsi="Arial;Helvetica;Sans-Serif"/>
                                  <w:color w:val="58595B"/>
                                  <w:sz w:val="18"/>
                                </w:rPr>
                                <w:t>Information Technology and Security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30">
                              <w:r>
                                <w:rPr>
                                  <w:rStyle w:val="InternetLink"/>
                                  <w:rFonts w:ascii="Arial;Helvetica;Sans-Serif" w:hAnsi="Arial;Helvetica;Sans-Serif"/>
                                  <w:color w:val="58595B"/>
                                  <w:sz w:val="18"/>
                                </w:rPr>
                                <w:t>Strategic Review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31">
                              <w:r>
                                <w:rPr>
                                  <w:rStyle w:val="InternetLink"/>
                                  <w:rFonts w:ascii="Arial;Helvetica;Sans-Serif" w:hAnsi="Arial;Helvetica;Sans-Serif"/>
                                  <w:color w:val="58595B"/>
                                  <w:sz w:val="18"/>
                                </w:rPr>
                                <w:t>Board Leadership</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19</w:t>
                            </w:r>
                          </w:p>
                        </w:tc>
                      </w:tr>
                      <w:tr>
                        <w:trPr/>
                        <w:tc>
                          <w:tcPr>
                            <w:tcW w:w="9960" w:type="dxa"/>
                            <w:tcBorders/>
                            <w:shd w:fill="auto" w:val="clear"/>
                            <w:vAlign w:val="center"/>
                          </w:tcPr>
                          <w:p>
                            <w:pPr>
                              <w:pStyle w:val="TableContents"/>
                              <w:spacing w:before="0" w:after="283"/>
                              <w:rPr/>
                            </w:pPr>
                            <w:hyperlink w:anchor="a032">
                              <w:r>
                                <w:rPr>
                                  <w:rStyle w:val="InternetLink"/>
                                  <w:rFonts w:ascii="Arial;Helvetica;Sans-Serif" w:hAnsi="Arial;Helvetica;Sans-Serif"/>
                                  <w:color w:val="58595B"/>
                                  <w:sz w:val="18"/>
                                </w:rPr>
                                <w:t>Risk Oversight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20</w:t>
                            </w:r>
                          </w:p>
                        </w:tc>
                      </w:tr>
                      <w:tr>
                        <w:trPr/>
                        <w:tc>
                          <w:tcPr>
                            <w:tcW w:w="9960" w:type="dxa"/>
                            <w:tcBorders/>
                            <w:shd w:fill="auto" w:val="clear"/>
                            <w:vAlign w:val="center"/>
                          </w:tcPr>
                          <w:p>
                            <w:pPr>
                              <w:pStyle w:val="TableContents"/>
                              <w:spacing w:before="0" w:after="283"/>
                              <w:rPr/>
                            </w:pPr>
                            <w:hyperlink w:anchor="a033">
                              <w:r>
                                <w:rPr>
                                  <w:rStyle w:val="InternetLink"/>
                                  <w:rFonts w:ascii="Arial;Helvetica;Sans-Serif" w:hAnsi="Arial;Helvetica;Sans-Serif"/>
                                  <w:color w:val="58595B"/>
                                  <w:sz w:val="18"/>
                                </w:rPr>
                                <w:t>Director Independence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21</w:t>
                            </w:r>
                          </w:p>
                        </w:tc>
                      </w:tr>
                      <w:tr>
                        <w:trPr/>
                        <w:tc>
                          <w:tcPr>
                            <w:tcW w:w="9960" w:type="dxa"/>
                            <w:tcBorders/>
                            <w:shd w:fill="auto" w:val="clear"/>
                            <w:vAlign w:val="center"/>
                          </w:tcPr>
                          <w:p>
                            <w:pPr>
                              <w:pStyle w:val="TableContents"/>
                              <w:spacing w:before="0" w:after="283"/>
                              <w:rPr/>
                            </w:pPr>
                            <w:hyperlink w:anchor="a034">
                              <w:r>
                                <w:rPr>
                                  <w:rStyle w:val="InternetLink"/>
                                  <w:rFonts w:ascii="Arial;Helvetica;Sans-Serif" w:hAnsi="Arial;Helvetica;Sans-Serif"/>
                                  <w:color w:val="58595B"/>
                                  <w:sz w:val="18"/>
                                </w:rPr>
                                <w:t>2022 Director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21</w:t>
                            </w:r>
                          </w:p>
                        </w:tc>
                      </w:tr>
                      <w:tr>
                        <w:trPr/>
                        <w:tc>
                          <w:tcPr>
                            <w:tcW w:w="9960" w:type="dxa"/>
                            <w:tcBorders/>
                            <w:shd w:fill="auto" w:val="clear"/>
                            <w:vAlign w:val="center"/>
                          </w:tcPr>
                          <w:p>
                            <w:pPr>
                              <w:pStyle w:val="TableContents"/>
                              <w:spacing w:before="0" w:after="283"/>
                              <w:rPr/>
                            </w:pPr>
                            <w:hyperlink w:anchor="a035">
                              <w:r>
                                <w:rPr>
                                  <w:rStyle w:val="InternetLink"/>
                                  <w:rFonts w:ascii="Arial;Helvetica;Sans-Serif" w:hAnsi="Arial;Helvetica;Sans-Serif"/>
                                  <w:color w:val="58595B"/>
                                  <w:sz w:val="18"/>
                                </w:rPr>
                                <w:t>Director Qualifications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22</w:t>
                            </w:r>
                          </w:p>
                        </w:tc>
                      </w:tr>
                      <w:tr>
                        <w:trPr/>
                        <w:tc>
                          <w:tcPr>
                            <w:tcW w:w="9960" w:type="dxa"/>
                            <w:tcBorders/>
                            <w:shd w:fill="auto" w:val="clear"/>
                            <w:vAlign w:val="center"/>
                          </w:tcPr>
                          <w:p>
                            <w:pPr>
                              <w:pStyle w:val="TableContents"/>
                              <w:spacing w:before="0" w:after="283"/>
                              <w:rPr/>
                            </w:pPr>
                            <w:hyperlink w:anchor="a036">
                              <w:r>
                                <w:rPr>
                                  <w:rStyle w:val="InternetLink"/>
                                  <w:rFonts w:ascii="Arial;Helvetica;Sans-Serif" w:hAnsi="Arial;Helvetica;Sans-Serif"/>
                                  <w:color w:val="58595B"/>
                                  <w:sz w:val="18"/>
                                </w:rPr>
                                <w:t>Director Nomination Process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22</w:t>
                            </w:r>
                          </w:p>
                        </w:tc>
                      </w:tr>
                      <w:tr>
                        <w:trPr/>
                        <w:tc>
                          <w:tcPr>
                            <w:tcW w:w="9960" w:type="dxa"/>
                            <w:tcBorders/>
                            <w:shd w:fill="auto" w:val="clear"/>
                            <w:vAlign w:val="center"/>
                          </w:tcPr>
                          <w:p>
                            <w:pPr>
                              <w:pStyle w:val="TableContents"/>
                              <w:spacing w:before="0" w:after="283"/>
                              <w:rPr/>
                            </w:pPr>
                            <w:hyperlink w:anchor="a037">
                              <w:r>
                                <w:rPr>
                                  <w:rStyle w:val="InternetLink"/>
                                  <w:rFonts w:ascii="Arial;Helvetica;Sans-Serif" w:hAnsi="Arial;Helvetica;Sans-Serif"/>
                                  <w:color w:val="58595B"/>
                                  <w:sz w:val="18"/>
                                </w:rPr>
                                <w:t>Governance Policies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38">
                              <w:r>
                                <w:rPr>
                                  <w:rStyle w:val="InternetLink"/>
                                </w:rPr>
                                <w:t>04.</w:t>
                              </w:r>
                            </w:hyperlink>
                            <w:r>
                              <w:rPr>
                                <w:rFonts w:ascii="Arial;Helvetica;Sans-Serif" w:hAnsi="Arial;Helvetica;Sans-Serif"/>
                                <w:b/>
                                <w:color w:val="EE0027"/>
                                <w:sz w:val="18"/>
                              </w:rPr>
                              <w:t xml:space="preserve"> </w:t>
                            </w:r>
                            <w:hyperlink w:anchor="a038">
                              <w:r>
                                <w:rPr>
                                  <w:rStyle w:val="InternetLink"/>
                                  <w:rFonts w:ascii="Arial;Helvetica;Sans-Serif" w:hAnsi="Arial;Helvetica;Sans-Serif"/>
                                  <w:b w:val="false"/>
                                  <w:color w:val="EE0027"/>
                                  <w:sz w:val="18"/>
                                </w:rPr>
                                <w:t>INFORMATION REGARDING BENEFICIAL OWNERSHIP OF PRINCIPAL SHAREHOLDERS, DIRECTORS, AND MANAGEMENT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24</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39">
                              <w:r>
                                <w:rPr>
                                  <w:rStyle w:val="InternetLink"/>
                                </w:rPr>
                                <w:t>05.</w:t>
                              </w:r>
                            </w:hyperlink>
                            <w:r>
                              <w:rPr>
                                <w:rFonts w:ascii="Arial;Helvetica;Sans-Serif" w:hAnsi="Arial;Helvetica;Sans-Serif"/>
                                <w:b/>
                                <w:color w:val="EE0027"/>
                                <w:sz w:val="18"/>
                              </w:rPr>
                              <w:t xml:space="preserve"> </w:t>
                            </w:r>
                            <w:hyperlink w:anchor="a039">
                              <w:r>
                                <w:rPr>
                                  <w:rStyle w:val="InternetLink"/>
                                  <w:rFonts w:ascii="Arial;Helvetica;Sans-Serif" w:hAnsi="Arial;Helvetica;Sans-Serif"/>
                                  <w:b w:val="false"/>
                                  <w:color w:val="EE0027"/>
                                  <w:sz w:val="18"/>
                                </w:rPr>
                                <w:t>COMPENSATION DISCUSSION AND ANALYSIS</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40">
                              <w:r>
                                <w:rPr>
                                  <w:rStyle w:val="InternetLink"/>
                                  <w:rFonts w:ascii="Arial;Helvetica;Sans-Serif" w:hAnsi="Arial;Helvetica;Sans-Serif"/>
                                  <w:color w:val="58595B"/>
                                  <w:sz w:val="18"/>
                                </w:rPr>
                                <w:t>Leadership Transitions in 2022</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26</w:t>
                            </w:r>
                          </w:p>
                        </w:tc>
                      </w:tr>
                      <w:tr>
                        <w:trPr/>
                        <w:tc>
                          <w:tcPr>
                            <w:tcW w:w="9960" w:type="dxa"/>
                            <w:tcBorders/>
                            <w:shd w:fill="auto" w:val="clear"/>
                            <w:vAlign w:val="center"/>
                          </w:tcPr>
                          <w:p>
                            <w:pPr>
                              <w:pStyle w:val="TableContents"/>
                              <w:spacing w:before="0" w:after="283"/>
                              <w:rPr/>
                            </w:pPr>
                            <w:hyperlink w:anchor="a041">
                              <w:r>
                                <w:rPr>
                                  <w:rStyle w:val="InternetLink"/>
                                  <w:rFonts w:ascii="Arial;Helvetica;Sans-Serif" w:hAnsi="Arial;Helvetica;Sans-Serif"/>
                                  <w:color w:val="58595B"/>
                                  <w:sz w:val="18"/>
                                </w:rPr>
                                <w:t>Navigating the Opportunities of 2022</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27</w:t>
                            </w:r>
                          </w:p>
                        </w:tc>
                      </w:tr>
                      <w:tr>
                        <w:trPr/>
                        <w:tc>
                          <w:tcPr>
                            <w:tcW w:w="9960" w:type="dxa"/>
                            <w:tcBorders/>
                            <w:shd w:fill="auto" w:val="clear"/>
                            <w:vAlign w:val="center"/>
                          </w:tcPr>
                          <w:p>
                            <w:pPr>
                              <w:pStyle w:val="TableContents"/>
                              <w:spacing w:before="0" w:after="283"/>
                              <w:rPr/>
                            </w:pPr>
                            <w:hyperlink w:anchor="a042">
                              <w:r>
                                <w:rPr>
                                  <w:rStyle w:val="InternetLink"/>
                                  <w:rFonts w:ascii="Arial;Helvetica;Sans-Serif" w:hAnsi="Arial;Helvetica;Sans-Serif"/>
                                  <w:color w:val="58595B"/>
                                  <w:sz w:val="18"/>
                                </w:rPr>
                                <w:t>2022 Performance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27</w:t>
                            </w:r>
                          </w:p>
                        </w:tc>
                      </w:tr>
                      <w:tr>
                        <w:trPr/>
                        <w:tc>
                          <w:tcPr>
                            <w:tcW w:w="9960" w:type="dxa"/>
                            <w:tcBorders/>
                            <w:shd w:fill="auto" w:val="clear"/>
                            <w:vAlign w:val="center"/>
                          </w:tcPr>
                          <w:p>
                            <w:pPr>
                              <w:pStyle w:val="TableContents"/>
                              <w:spacing w:before="0" w:after="283"/>
                              <w:rPr/>
                            </w:pPr>
                            <w:hyperlink w:anchor="a043">
                              <w:r>
                                <w:rPr>
                                  <w:rStyle w:val="InternetLink"/>
                                  <w:rFonts w:ascii="Arial;Helvetica;Sans-Serif" w:hAnsi="Arial;Helvetica;Sans-Serif"/>
                                  <w:color w:val="58595B"/>
                                  <w:sz w:val="18"/>
                                </w:rPr>
                                <w:t>Responsiveness to 2022 Say-On-Pay Vote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28</w:t>
                            </w:r>
                          </w:p>
                        </w:tc>
                      </w:tr>
                      <w:tr>
                        <w:trPr/>
                        <w:tc>
                          <w:tcPr>
                            <w:tcW w:w="9960" w:type="dxa"/>
                            <w:tcBorders/>
                            <w:shd w:fill="auto" w:val="clear"/>
                            <w:vAlign w:val="center"/>
                          </w:tcPr>
                          <w:p>
                            <w:pPr>
                              <w:pStyle w:val="TableContents"/>
                              <w:spacing w:before="0" w:after="283"/>
                              <w:rPr/>
                            </w:pPr>
                            <w:hyperlink w:anchor="a044">
                              <w:r>
                                <w:rPr>
                                  <w:rStyle w:val="InternetLink"/>
                                  <w:rFonts w:ascii="Arial;Helvetica;Sans-Serif" w:hAnsi="Arial;Helvetica;Sans-Serif"/>
                                  <w:color w:val="58595B"/>
                                  <w:sz w:val="18"/>
                                </w:rPr>
                                <w:t>Shareholder Outreach Generally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29</w:t>
                            </w:r>
                          </w:p>
                        </w:tc>
                      </w:tr>
                      <w:tr>
                        <w:trPr/>
                        <w:tc>
                          <w:tcPr>
                            <w:tcW w:w="9960" w:type="dxa"/>
                            <w:tcBorders/>
                            <w:shd w:fill="auto" w:val="clear"/>
                            <w:vAlign w:val="center"/>
                          </w:tcPr>
                          <w:p>
                            <w:pPr>
                              <w:pStyle w:val="TableContents"/>
                              <w:spacing w:before="0" w:after="283"/>
                              <w:rPr/>
                            </w:pPr>
                            <w:hyperlink w:anchor="a045">
                              <w:r>
                                <w:rPr>
                                  <w:rStyle w:val="InternetLink"/>
                                  <w:rFonts w:ascii="Arial;Helvetica;Sans-Serif" w:hAnsi="Arial;Helvetica;Sans-Serif"/>
                                  <w:color w:val="58595B"/>
                                  <w:sz w:val="18"/>
                                </w:rPr>
                                <w:t>Forward-Leaning Compensation Practices Components of Compensation and Target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29</w:t>
                            </w:r>
                          </w:p>
                        </w:tc>
                      </w:tr>
                      <w:tr>
                        <w:trPr/>
                        <w:tc>
                          <w:tcPr>
                            <w:tcW w:w="9960" w:type="dxa"/>
                            <w:tcBorders/>
                            <w:shd w:fill="auto" w:val="clear"/>
                            <w:vAlign w:val="center"/>
                          </w:tcPr>
                          <w:p>
                            <w:pPr>
                              <w:pStyle w:val="TableContents"/>
                              <w:spacing w:before="0" w:after="283"/>
                              <w:rPr/>
                            </w:pPr>
                            <w:hyperlink w:anchor="a046">
                              <w:r>
                                <w:rPr>
                                  <w:rStyle w:val="InternetLink"/>
                                  <w:rFonts w:ascii="Arial;Helvetica;Sans-Serif" w:hAnsi="Arial;Helvetica;Sans-Serif"/>
                                  <w:color w:val="58595B"/>
                                  <w:sz w:val="18"/>
                                </w:rPr>
                                <w:t>Direct Compensation Mix</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30</w:t>
                            </w:r>
                          </w:p>
                        </w:tc>
                      </w:tr>
                      <w:tr>
                        <w:trPr/>
                        <w:tc>
                          <w:tcPr>
                            <w:tcW w:w="9960" w:type="dxa"/>
                            <w:tcBorders/>
                            <w:shd w:fill="auto" w:val="clear"/>
                            <w:vAlign w:val="center"/>
                          </w:tcPr>
                          <w:p>
                            <w:pPr>
                              <w:pStyle w:val="TableContents"/>
                              <w:spacing w:before="0" w:after="283"/>
                              <w:rPr/>
                            </w:pPr>
                            <w:hyperlink w:anchor="a047">
                              <w:r>
                                <w:rPr>
                                  <w:rStyle w:val="InternetLink"/>
                                  <w:rFonts w:ascii="Arial;Helvetica;Sans-Serif" w:hAnsi="Arial;Helvetica;Sans-Serif"/>
                                  <w:color w:val="58595B"/>
                                  <w:sz w:val="18"/>
                                </w:rPr>
                                <w:t>Target Mix of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32</w:t>
                            </w:r>
                          </w:p>
                        </w:tc>
                      </w:tr>
                      <w:tr>
                        <w:trPr/>
                        <w:tc>
                          <w:tcPr>
                            <w:tcW w:w="9960" w:type="dxa"/>
                            <w:tcBorders/>
                            <w:shd w:fill="auto" w:val="clear"/>
                            <w:vAlign w:val="center"/>
                          </w:tcPr>
                          <w:p>
                            <w:pPr>
                              <w:pStyle w:val="TableContents"/>
                              <w:spacing w:before="0" w:after="283"/>
                              <w:rPr/>
                            </w:pPr>
                            <w:hyperlink w:anchor="a048">
                              <w:r>
                                <w:rPr>
                                  <w:rStyle w:val="InternetLink"/>
                                  <w:rFonts w:ascii="Arial;Helvetica;Sans-Serif" w:hAnsi="Arial;Helvetica;Sans-Serif"/>
                                  <w:color w:val="58595B"/>
                                  <w:sz w:val="18"/>
                                </w:rPr>
                                <w:t>Equity Compensation in Prior Fiscal Years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33</w:t>
                            </w:r>
                          </w:p>
                        </w:tc>
                      </w:tr>
                      <w:tr>
                        <w:trPr/>
                        <w:tc>
                          <w:tcPr>
                            <w:tcW w:w="9960" w:type="dxa"/>
                            <w:tcBorders/>
                            <w:shd w:fill="auto" w:val="clear"/>
                            <w:vAlign w:val="center"/>
                          </w:tcPr>
                          <w:p>
                            <w:pPr>
                              <w:pStyle w:val="TableContents"/>
                              <w:spacing w:before="0" w:after="283"/>
                              <w:rPr/>
                            </w:pPr>
                            <w:hyperlink w:anchor="a049">
                              <w:r>
                                <w:rPr>
                                  <w:rStyle w:val="InternetLink"/>
                                  <w:rFonts w:ascii="Arial;Helvetica;Sans-Serif" w:hAnsi="Arial;Helvetica;Sans-Serif"/>
                                  <w:color w:val="58595B"/>
                                  <w:sz w:val="18"/>
                                </w:rPr>
                                <w:t>Key Elements of 2022 Named Executive Officer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34</w:t>
                            </w:r>
                          </w:p>
                        </w:tc>
                      </w:tr>
                      <w:tr>
                        <w:trPr/>
                        <w:tc>
                          <w:tcPr>
                            <w:tcW w:w="9960" w:type="dxa"/>
                            <w:tcBorders/>
                            <w:shd w:fill="auto" w:val="clear"/>
                            <w:vAlign w:val="center"/>
                          </w:tcPr>
                          <w:p>
                            <w:pPr>
                              <w:pStyle w:val="TableContents"/>
                              <w:spacing w:before="0" w:after="283"/>
                              <w:rPr/>
                            </w:pPr>
                            <w:hyperlink w:anchor="a050">
                              <w:r>
                                <w:rPr>
                                  <w:rStyle w:val="InternetLink"/>
                                  <w:rFonts w:ascii="Arial;Helvetica;Sans-Serif" w:hAnsi="Arial;Helvetica;Sans-Serif"/>
                                  <w:color w:val="58595B"/>
                                  <w:sz w:val="18"/>
                                </w:rPr>
                                <w:t>Base Salary</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34</w:t>
                            </w:r>
                          </w:p>
                        </w:tc>
                      </w:tr>
                      <w:tr>
                        <w:trPr/>
                        <w:tc>
                          <w:tcPr>
                            <w:tcW w:w="9960" w:type="dxa"/>
                            <w:tcBorders/>
                            <w:shd w:fill="auto" w:val="clear"/>
                            <w:vAlign w:val="center"/>
                          </w:tcPr>
                          <w:p>
                            <w:pPr>
                              <w:pStyle w:val="TableContents"/>
                              <w:spacing w:before="0" w:after="283"/>
                              <w:rPr/>
                            </w:pPr>
                            <w:hyperlink w:anchor="a051">
                              <w:r>
                                <w:rPr>
                                  <w:rStyle w:val="InternetLink"/>
                                  <w:rFonts w:ascii="Arial;Helvetica;Sans-Serif" w:hAnsi="Arial;Helvetica;Sans-Serif"/>
                                  <w:color w:val="58595B"/>
                                  <w:sz w:val="18"/>
                                </w:rPr>
                                <w:t>Annual Cash Incentive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34</w:t>
                            </w:r>
                          </w:p>
                        </w:tc>
                      </w:tr>
                      <w:tr>
                        <w:trPr/>
                        <w:tc>
                          <w:tcPr>
                            <w:tcW w:w="9960" w:type="dxa"/>
                            <w:tcBorders/>
                            <w:shd w:fill="auto" w:val="clear"/>
                            <w:vAlign w:val="center"/>
                          </w:tcPr>
                          <w:p>
                            <w:pPr>
                              <w:pStyle w:val="TableContents"/>
                              <w:spacing w:before="0" w:after="283"/>
                              <w:rPr/>
                            </w:pPr>
                            <w:hyperlink w:anchor="a052">
                              <w:r>
                                <w:rPr>
                                  <w:rStyle w:val="InternetLink"/>
                                  <w:rFonts w:ascii="Arial;Helvetica;Sans-Serif" w:hAnsi="Arial;Helvetica;Sans-Serif"/>
                                  <w:color w:val="58595B"/>
                                  <w:sz w:val="18"/>
                                </w:rPr>
                                <w:t>2022 Performance Goals and Results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35</w:t>
                            </w:r>
                          </w:p>
                        </w:tc>
                      </w:tr>
                      <w:tr>
                        <w:trPr/>
                        <w:tc>
                          <w:tcPr>
                            <w:tcW w:w="9960" w:type="dxa"/>
                            <w:tcBorders/>
                            <w:shd w:fill="auto" w:val="clear"/>
                            <w:vAlign w:val="center"/>
                          </w:tcPr>
                          <w:p>
                            <w:pPr>
                              <w:pStyle w:val="TableContents"/>
                              <w:spacing w:before="0" w:after="283"/>
                              <w:rPr/>
                            </w:pPr>
                            <w:hyperlink w:anchor="a053">
                              <w:r>
                                <w:rPr>
                                  <w:rStyle w:val="InternetLink"/>
                                  <w:rFonts w:ascii="Arial;Helvetica;Sans-Serif" w:hAnsi="Arial;Helvetica;Sans-Serif"/>
                                  <w:color w:val="58595B"/>
                                  <w:sz w:val="18"/>
                                </w:rPr>
                                <w:t>Equity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4">
                              <w:r>
                                <w:rPr>
                                  <w:rStyle w:val="InternetLink"/>
                                  <w:rFonts w:ascii="Arial;Helvetica;Sans-Serif" w:hAnsi="Arial;Helvetica;Sans-Serif"/>
                                  <w:color w:val="58595B"/>
                                  <w:sz w:val="18"/>
                                </w:rPr>
                                <w:t>2021 Performance Stock Option Award for CEO</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5">
                              <w:r>
                                <w:rPr>
                                  <w:rStyle w:val="InternetLink"/>
                                  <w:rFonts w:ascii="Arial;Helvetica;Sans-Serif" w:hAnsi="Arial;Helvetica;Sans-Serif"/>
                                  <w:color w:val="58595B"/>
                                  <w:sz w:val="18"/>
                                </w:rPr>
                                <w:t>Other NEOs’ 2022 Equity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6">
                              <w:r>
                                <w:rPr>
                                  <w:rStyle w:val="InternetLink"/>
                                  <w:rFonts w:ascii="Arial;Helvetica;Sans-Serif" w:hAnsi="Arial;Helvetica;Sans-Serif"/>
                                  <w:color w:val="58595B"/>
                                  <w:sz w:val="18"/>
                                </w:rPr>
                                <w:t>Performance Share Grants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7">
                              <w:r>
                                <w:rPr>
                                  <w:rStyle w:val="InternetLink"/>
                                  <w:rFonts w:ascii="Arial;Helvetica;Sans-Serif" w:hAnsi="Arial;Helvetica;Sans-Serif"/>
                                  <w:color w:val="58595B"/>
                                  <w:sz w:val="18"/>
                                </w:rPr>
                                <w:t>Performance-Based Restricted Stock Unit (RSU) Grants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38</w:t>
                            </w:r>
                          </w:p>
                        </w:tc>
                      </w:tr>
                      <w:tr>
                        <w:trPr/>
                        <w:tc>
                          <w:tcPr>
                            <w:tcW w:w="9960" w:type="dxa"/>
                            <w:tcBorders/>
                            <w:shd w:fill="auto" w:val="clear"/>
                            <w:vAlign w:val="center"/>
                          </w:tcPr>
                          <w:p>
                            <w:pPr>
                              <w:pStyle w:val="TableContents"/>
                              <w:spacing w:before="0" w:after="283"/>
                              <w:rPr/>
                            </w:pPr>
                            <w:hyperlink w:anchor="a058">
                              <w:r>
                                <w:rPr>
                                  <w:rStyle w:val="InternetLink"/>
                                  <w:rFonts w:ascii="Arial;Helvetica;Sans-Serif" w:hAnsi="Arial;Helvetica;Sans-Serif"/>
                                  <w:color w:val="58595B"/>
                                  <w:sz w:val="18"/>
                                </w:rPr>
                                <w:t>Stock Option Grants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40</w:t>
                            </w:r>
                          </w:p>
                        </w:tc>
                      </w:tr>
                      <w:tr>
                        <w:trPr/>
                        <w:tc>
                          <w:tcPr>
                            <w:tcW w:w="9960" w:type="dxa"/>
                            <w:tcBorders/>
                            <w:shd w:fill="auto" w:val="clear"/>
                            <w:vAlign w:val="center"/>
                          </w:tcPr>
                          <w:p>
                            <w:pPr>
                              <w:pStyle w:val="TableContents"/>
                              <w:spacing w:before="0" w:after="283"/>
                              <w:rPr/>
                            </w:pPr>
                            <w:hyperlink w:anchor="a059">
                              <w:r>
                                <w:rPr>
                                  <w:rStyle w:val="InternetLink"/>
                                  <w:rFonts w:ascii="Arial;Helvetica;Sans-Serif" w:hAnsi="Arial;Helvetica;Sans-Serif"/>
                                  <w:color w:val="58595B"/>
                                  <w:sz w:val="18"/>
                                </w:rPr>
                                <w:t>Prior-Year Equity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40</w:t>
                            </w:r>
                          </w:p>
                        </w:tc>
                      </w:tr>
                      <w:tr>
                        <w:trPr/>
                        <w:tc>
                          <w:tcPr>
                            <w:tcW w:w="9960" w:type="dxa"/>
                            <w:tcBorders/>
                            <w:shd w:fill="auto" w:val="clear"/>
                            <w:vAlign w:val="center"/>
                          </w:tcPr>
                          <w:p>
                            <w:pPr>
                              <w:pStyle w:val="TableContents"/>
                              <w:spacing w:before="0" w:after="283"/>
                              <w:rPr/>
                            </w:pPr>
                            <w:hyperlink w:anchor="a060">
                              <w:r>
                                <w:rPr>
                                  <w:rStyle w:val="InternetLink"/>
                                  <w:rFonts w:ascii="Arial;Helvetica;Sans-Serif" w:hAnsi="Arial;Helvetica;Sans-Serif"/>
                                  <w:color w:val="58595B"/>
                                  <w:sz w:val="18"/>
                                </w:rPr>
                                <w:t>Omission of Certain Goal Levels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41</w:t>
                            </w:r>
                          </w:p>
                        </w:tc>
                      </w:tr>
                      <w:tr>
                        <w:trPr/>
                        <w:tc>
                          <w:tcPr>
                            <w:tcW w:w="9960" w:type="dxa"/>
                            <w:tcBorders/>
                            <w:shd w:fill="auto" w:val="clear"/>
                            <w:vAlign w:val="center"/>
                          </w:tcPr>
                          <w:p>
                            <w:pPr>
                              <w:pStyle w:val="TableContents"/>
                              <w:spacing w:before="0" w:after="283"/>
                              <w:rPr/>
                            </w:pPr>
                            <w:hyperlink w:anchor="a061">
                              <w:r>
                                <w:rPr>
                                  <w:rStyle w:val="InternetLink"/>
                                  <w:rFonts w:ascii="Arial;Helvetica;Sans-Serif" w:hAnsi="Arial;Helvetica;Sans-Serif"/>
                                  <w:color w:val="58595B"/>
                                  <w:sz w:val="18"/>
                                </w:rPr>
                                <w:t>Other Compensation and Benefits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41</w:t>
                            </w:r>
                          </w:p>
                        </w:tc>
                      </w:tr>
                      <w:tr>
                        <w:trPr/>
                        <w:tc>
                          <w:tcPr>
                            <w:tcW w:w="9960" w:type="dxa"/>
                            <w:tcBorders/>
                            <w:shd w:fill="auto" w:val="clear"/>
                            <w:vAlign w:val="center"/>
                          </w:tcPr>
                          <w:p>
                            <w:pPr>
                              <w:pStyle w:val="TableContents"/>
                              <w:spacing w:before="0" w:after="283"/>
                              <w:rPr/>
                            </w:pPr>
                            <w:hyperlink w:anchor="a062">
                              <w:r>
                                <w:rPr>
                                  <w:rStyle w:val="InternetLink"/>
                                  <w:rFonts w:ascii="Arial;Helvetica;Sans-Serif" w:hAnsi="Arial;Helvetica;Sans-Serif"/>
                                  <w:color w:val="58595B"/>
                                  <w:sz w:val="18"/>
                                </w:rPr>
                                <w:t>Process to Review, Revise, and Set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41</w:t>
                            </w:r>
                          </w:p>
                        </w:tc>
                      </w:tr>
                      <w:tr>
                        <w:trPr/>
                        <w:tc>
                          <w:tcPr>
                            <w:tcW w:w="9960" w:type="dxa"/>
                            <w:tcBorders/>
                            <w:shd w:fill="auto" w:val="clear"/>
                            <w:vAlign w:val="center"/>
                          </w:tcPr>
                          <w:p>
                            <w:pPr>
                              <w:pStyle w:val="TableContents"/>
                              <w:spacing w:before="0" w:after="283"/>
                              <w:rPr/>
                            </w:pPr>
                            <w:hyperlink w:anchor="a063">
                              <w:r>
                                <w:rPr>
                                  <w:rStyle w:val="InternetLink"/>
                                  <w:rFonts w:ascii="Arial;Helvetica;Sans-Serif" w:hAnsi="Arial;Helvetica;Sans-Serif"/>
                                  <w:color w:val="58595B"/>
                                  <w:sz w:val="18"/>
                                </w:rPr>
                                <w:t>Compensation Peer Group</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42</w:t>
                            </w:r>
                          </w:p>
                        </w:tc>
                      </w:tr>
                      <w:tr>
                        <w:trPr/>
                        <w:tc>
                          <w:tcPr>
                            <w:tcW w:w="9960" w:type="dxa"/>
                            <w:tcBorders/>
                            <w:shd w:fill="auto" w:val="clear"/>
                            <w:vAlign w:val="center"/>
                          </w:tcPr>
                          <w:p>
                            <w:pPr>
                              <w:pStyle w:val="TableContents"/>
                              <w:spacing w:before="0" w:after="283"/>
                              <w:rPr/>
                            </w:pPr>
                            <w:hyperlink w:anchor="a064">
                              <w:r>
                                <w:rPr>
                                  <w:rStyle w:val="InternetLink"/>
                                  <w:rFonts w:ascii="Arial;Helvetica;Sans-Serif" w:hAnsi="Arial;Helvetica;Sans-Serif"/>
                                  <w:color w:val="58595B"/>
                                  <w:sz w:val="18"/>
                                </w:rPr>
                                <w:t>Information on Other Compensation-Related Topics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43</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5">
                <wp:simplePos x="0" y="0"/>
                <wp:positionH relativeFrom="column">
                  <wp:align>right</wp:align>
                </wp:positionH>
                <wp:positionV relativeFrom="line">
                  <wp:posOffset>635</wp:posOffset>
                </wp:positionV>
                <wp:extent cx="3110230" cy="9972040"/>
                <wp:effectExtent l="0" t="0" r="0" b="0"/>
                <wp:wrapSquare wrapText="largest"/>
                <wp:docPr id="28" name="Frame6"/>
                <a:graphic xmlns:a="http://schemas.openxmlformats.org/drawingml/2006/main">
                  <a:graphicData uri="http://schemas.microsoft.com/office/word/2010/wordprocessingShape">
                    <wps:wsp>
                      <wps:cNvSpPr txBox="1"/>
                      <wps:spPr>
                        <a:xfrm>
                          <a:off x="0" y="0"/>
                          <a:ext cx="3110230" cy="9972040"/>
                        </a:xfrm>
                        <a:prstGeom prst="rect"/>
                      </wps:spPr>
                      <wps:txbx>
                        <w:txbxContent>
                          <w:tbl>
                            <w:tblPr>
                              <w:tblW w:w="10205" w:type="dxa"/>
                              <w:jc w:val="left"/>
                              <w:tblInd w:w="0" w:type="dxa"/>
                              <w:tblCellMar>
                                <w:top w:w="0" w:type="dxa"/>
                                <w:left w:w="0" w:type="dxa"/>
                                <w:bottom w:w="0" w:type="dxa"/>
                                <w:right w:w="0" w:type="dxa"/>
                              </w:tblCellMar>
                            </w:tblPr>
                            <w:tblGrid>
                              <w:gridCol w:w="9960"/>
                              <w:gridCol w:w="245"/>
                            </w:tblGrid>
                            <w:tr>
                              <w:trPr/>
                              <w:tc>
                                <w:tcPr>
                                  <w:tcW w:w="9960" w:type="dxa"/>
                                  <w:tcBorders/>
                                  <w:shd w:fill="auto" w:val="clear"/>
                                  <w:vAlign w:val="center"/>
                                </w:tcPr>
                                <w:p>
                                  <w:pPr>
                                    <w:pStyle w:val="TableContents"/>
                                    <w:spacing w:before="0" w:after="283"/>
                                    <w:rPr/>
                                  </w:pPr>
                                  <w:hyperlink w:anchor="a065">
                                    <w:r>
                                      <w:rPr>
                                        <w:rStyle w:val="InternetLink"/>
                                      </w:rPr>
                                      <w:t>06.</w:t>
                                    </w:r>
                                  </w:hyperlink>
                                  <w:r>
                                    <w:rPr>
                                      <w:rFonts w:ascii="Arial;Helvetica;Sans-Serif" w:hAnsi="Arial;Helvetica;Sans-Serif"/>
                                      <w:b/>
                                      <w:color w:val="EE0027"/>
                                      <w:sz w:val="18"/>
                                    </w:rPr>
                                    <w:t xml:space="preserve"> </w:t>
                                  </w:r>
                                  <w:hyperlink w:anchor="a065">
                                    <w:r>
                                      <w:rPr>
                                        <w:rStyle w:val="InternetLink"/>
                                        <w:rFonts w:ascii="Arial;Helvetica;Sans-Serif" w:hAnsi="Arial;Helvetica;Sans-Serif"/>
                                        <w:b w:val="false"/>
                                        <w:color w:val="EE0027"/>
                                        <w:sz w:val="18"/>
                                      </w:rPr>
                                      <w:t>2022 NAMED EXECUTIVE OFFICER COMPENSATION</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66">
                                    <w:r>
                                      <w:rPr>
                                        <w:rStyle w:val="InternetLink"/>
                                        <w:rFonts w:ascii="Arial;Helvetica;Sans-Serif" w:hAnsi="Arial;Helvetica;Sans-Serif"/>
                                        <w:color w:val="58595B"/>
                                        <w:sz w:val="18"/>
                                      </w:rPr>
                                      <w:t>2022 Summary Compensation Table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44</w:t>
                                  </w:r>
                                </w:p>
                              </w:tc>
                            </w:tr>
                            <w:tr>
                              <w:trPr/>
                              <w:tc>
                                <w:tcPr>
                                  <w:tcW w:w="9960" w:type="dxa"/>
                                  <w:tcBorders/>
                                  <w:shd w:fill="auto" w:val="clear"/>
                                  <w:vAlign w:val="center"/>
                                </w:tcPr>
                                <w:p>
                                  <w:pPr>
                                    <w:pStyle w:val="TableContents"/>
                                    <w:spacing w:before="0" w:after="283"/>
                                    <w:rPr/>
                                  </w:pPr>
                                  <w:hyperlink w:anchor="a067">
                                    <w:r>
                                      <w:rPr>
                                        <w:rStyle w:val="InternetLink"/>
                                        <w:rFonts w:ascii="Arial;Helvetica;Sans-Serif" w:hAnsi="Arial;Helvetica;Sans-Serif"/>
                                        <w:color w:val="58595B"/>
                                        <w:sz w:val="18"/>
                                      </w:rPr>
                                      <w:t>All Other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45</w:t>
                                  </w:r>
                                </w:p>
                              </w:tc>
                            </w:tr>
                            <w:tr>
                              <w:trPr/>
                              <w:tc>
                                <w:tcPr>
                                  <w:tcW w:w="9960" w:type="dxa"/>
                                  <w:tcBorders/>
                                  <w:shd w:fill="auto" w:val="clear"/>
                                  <w:vAlign w:val="center"/>
                                </w:tcPr>
                                <w:p>
                                  <w:pPr>
                                    <w:pStyle w:val="TableContents"/>
                                    <w:spacing w:before="0" w:after="283"/>
                                    <w:rPr/>
                                  </w:pPr>
                                  <w:hyperlink w:anchor="a068">
                                    <w:r>
                                      <w:rPr>
                                        <w:rStyle w:val="InternetLink"/>
                                        <w:rFonts w:ascii="Arial;Helvetica;Sans-Serif" w:hAnsi="Arial;Helvetica;Sans-Serif"/>
                                        <w:color w:val="58595B"/>
                                        <w:sz w:val="18"/>
                                      </w:rPr>
                                      <w:t>2022 Grants of Plan-Based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46</w:t>
                                  </w:r>
                                </w:p>
                              </w:tc>
                            </w:tr>
                            <w:tr>
                              <w:trPr/>
                              <w:tc>
                                <w:tcPr>
                                  <w:tcW w:w="9960" w:type="dxa"/>
                                  <w:tcBorders/>
                                  <w:shd w:fill="auto" w:val="clear"/>
                                  <w:vAlign w:val="center"/>
                                </w:tcPr>
                                <w:p>
                                  <w:pPr>
                                    <w:pStyle w:val="TableContents"/>
                                    <w:spacing w:before="0" w:after="283"/>
                                    <w:rPr/>
                                  </w:pPr>
                                  <w:hyperlink w:anchor="a069">
                                    <w:r>
                                      <w:rPr>
                                        <w:rStyle w:val="InternetLink"/>
                                        <w:rFonts w:ascii="Arial;Helvetica;Sans-Serif" w:hAnsi="Arial;Helvetica;Sans-Serif"/>
                                        <w:color w:val="58595B"/>
                                        <w:sz w:val="18"/>
                                      </w:rPr>
                                      <w:t>Outstanding Equity Awards at 2022 Fiscal Year-End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47</w:t>
                                  </w:r>
                                </w:p>
                              </w:tc>
                            </w:tr>
                            <w:tr>
                              <w:trPr/>
                              <w:tc>
                                <w:tcPr>
                                  <w:tcW w:w="9960" w:type="dxa"/>
                                  <w:tcBorders/>
                                  <w:shd w:fill="auto" w:val="clear"/>
                                  <w:vAlign w:val="center"/>
                                </w:tcPr>
                                <w:p>
                                  <w:pPr>
                                    <w:pStyle w:val="TableContents"/>
                                    <w:spacing w:before="0" w:after="283"/>
                                    <w:rPr/>
                                  </w:pPr>
                                  <w:hyperlink w:anchor="a070">
                                    <w:r>
                                      <w:rPr>
                                        <w:rStyle w:val="InternetLink"/>
                                        <w:rFonts w:ascii="Arial;Helvetica;Sans-Serif" w:hAnsi="Arial;Helvetica;Sans-Serif"/>
                                        <w:color w:val="58595B"/>
                                        <w:sz w:val="18"/>
                                      </w:rPr>
                                      <w:t>2022 Option Exercises and Stock Vested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49</w:t>
                                  </w:r>
                                </w:p>
                              </w:tc>
                            </w:tr>
                            <w:tr>
                              <w:trPr/>
                              <w:tc>
                                <w:tcPr>
                                  <w:tcW w:w="9960" w:type="dxa"/>
                                  <w:tcBorders/>
                                  <w:shd w:fill="auto" w:val="clear"/>
                                  <w:vAlign w:val="center"/>
                                </w:tcPr>
                                <w:p>
                                  <w:pPr>
                                    <w:pStyle w:val="TableContents"/>
                                    <w:spacing w:before="0" w:after="283"/>
                                    <w:rPr/>
                                  </w:pPr>
                                  <w:hyperlink w:anchor="a071">
                                    <w:r>
                                      <w:rPr>
                                        <w:rStyle w:val="InternetLink"/>
                                        <w:rFonts w:ascii="Arial;Helvetica;Sans-Serif" w:hAnsi="Arial;Helvetica;Sans-Serif"/>
                                        <w:color w:val="58595B"/>
                                        <w:sz w:val="18"/>
                                      </w:rPr>
                                      <w:t>Potential Payments Upon Termination or Change in Control</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50</w:t>
                                  </w:r>
                                </w:p>
                              </w:tc>
                            </w:tr>
                            <w:tr>
                              <w:trPr/>
                              <w:tc>
                                <w:tcPr>
                                  <w:tcW w:w="9960" w:type="dxa"/>
                                  <w:tcBorders/>
                                  <w:shd w:fill="auto" w:val="clear"/>
                                  <w:vAlign w:val="center"/>
                                </w:tcPr>
                                <w:p>
                                  <w:pPr>
                                    <w:pStyle w:val="TableContents"/>
                                    <w:spacing w:before="0" w:after="283"/>
                                    <w:rPr/>
                                  </w:pPr>
                                  <w:hyperlink w:anchor="a072">
                                    <w:r>
                                      <w:rPr>
                                        <w:rStyle w:val="InternetLink"/>
                                        <w:rFonts w:ascii="Arial;Helvetica;Sans-Serif" w:hAnsi="Arial;Helvetica;Sans-Serif"/>
                                        <w:color w:val="58595B"/>
                                        <w:sz w:val="18"/>
                                      </w:rPr>
                                      <w:t>Employment Agreements, Severance and Change of Control Benefits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50</w:t>
                                  </w:r>
                                </w:p>
                              </w:tc>
                            </w:tr>
                            <w:tr>
                              <w:trPr/>
                              <w:tc>
                                <w:tcPr>
                                  <w:tcW w:w="9960" w:type="dxa"/>
                                  <w:tcBorders/>
                                  <w:shd w:fill="auto" w:val="clear"/>
                                  <w:vAlign w:val="center"/>
                                </w:tcPr>
                                <w:p>
                                  <w:pPr>
                                    <w:pStyle w:val="TableContents"/>
                                    <w:spacing w:before="0" w:after="283"/>
                                    <w:rPr/>
                                  </w:pPr>
                                  <w:hyperlink w:anchor="a073">
                                    <w:r>
                                      <w:rPr>
                                        <w:rStyle w:val="InternetLink"/>
                                        <w:rFonts w:ascii="Arial;Helvetica;Sans-Serif" w:hAnsi="Arial;Helvetica;Sans-Serif"/>
                                        <w:color w:val="58595B"/>
                                        <w:sz w:val="18"/>
                                      </w:rPr>
                                      <w:t>Other NEOs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51</w:t>
                                  </w:r>
                                </w:p>
                              </w:tc>
                            </w:tr>
                            <w:tr>
                              <w:trPr/>
                              <w:tc>
                                <w:tcPr>
                                  <w:tcW w:w="9960" w:type="dxa"/>
                                  <w:tcBorders/>
                                  <w:shd w:fill="auto" w:val="clear"/>
                                  <w:vAlign w:val="center"/>
                                </w:tcPr>
                                <w:p>
                                  <w:pPr>
                                    <w:pStyle w:val="TableContents"/>
                                    <w:spacing w:before="0" w:after="283"/>
                                    <w:rPr/>
                                  </w:pPr>
                                  <w:hyperlink w:anchor="a074">
                                    <w:r>
                                      <w:rPr>
                                        <w:rStyle w:val="InternetLink"/>
                                        <w:rFonts w:ascii="Arial;Helvetica;Sans-Serif" w:hAnsi="Arial;Helvetica;Sans-Serif"/>
                                        <w:color w:val="58595B"/>
                                        <w:sz w:val="18"/>
                                      </w:rPr>
                                      <w:t>Equity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51</w:t>
                                  </w:r>
                                </w:p>
                              </w:tc>
                            </w:tr>
                            <w:tr>
                              <w:trPr/>
                              <w:tc>
                                <w:tcPr>
                                  <w:tcW w:w="9960" w:type="dxa"/>
                                  <w:tcBorders/>
                                  <w:shd w:fill="auto" w:val="clear"/>
                                  <w:vAlign w:val="center"/>
                                </w:tcPr>
                                <w:p>
                                  <w:pPr>
                                    <w:pStyle w:val="TableContents"/>
                                    <w:spacing w:before="0" w:after="283"/>
                                    <w:rPr/>
                                  </w:pPr>
                                  <w:hyperlink w:anchor="a075">
                                    <w:r>
                                      <w:rPr>
                                        <w:rStyle w:val="InternetLink"/>
                                        <w:rFonts w:ascii="Arial;Helvetica;Sans-Serif" w:hAnsi="Arial;Helvetica;Sans-Serif"/>
                                        <w:color w:val="58595B"/>
                                        <w:sz w:val="18"/>
                                      </w:rPr>
                                      <w:t>Quantification of Potential Payments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52</w:t>
                                  </w:r>
                                </w:p>
                              </w:tc>
                            </w:tr>
                            <w:tr>
                              <w:trPr/>
                              <w:tc>
                                <w:tcPr>
                                  <w:tcW w:w="9960" w:type="dxa"/>
                                  <w:tcBorders/>
                                  <w:shd w:fill="auto" w:val="clear"/>
                                  <w:vAlign w:val="center"/>
                                </w:tcPr>
                                <w:p>
                                  <w:pPr>
                                    <w:pStyle w:val="TableContents"/>
                                    <w:spacing w:before="0" w:after="283"/>
                                    <w:rPr/>
                                  </w:pPr>
                                  <w:hyperlink w:anchor="a076">
                                    <w:r>
                                      <w:rPr>
                                        <w:rStyle w:val="InternetLink"/>
                                        <w:rFonts w:ascii="Arial;Helvetica;Sans-Serif" w:hAnsi="Arial;Helvetica;Sans-Serif"/>
                                        <w:color w:val="58595B"/>
                                        <w:sz w:val="18"/>
                                      </w:rPr>
                                      <w:t>Officer Departures During 2022</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77">
                                    <w:r>
                                      <w:rPr>
                                        <w:rStyle w:val="InternetLink"/>
                                      </w:rPr>
                                      <w:t>07.</w:t>
                                    </w:r>
                                  </w:hyperlink>
                                  <w:r>
                                    <w:rPr>
                                      <w:rFonts w:ascii="Arial;Helvetica;Sans-Serif" w:hAnsi="Arial;Helvetica;Sans-Serif"/>
                                      <w:b/>
                                      <w:color w:val="EE0027"/>
                                      <w:sz w:val="18"/>
                                    </w:rPr>
                                    <w:t xml:space="preserve"> </w:t>
                                  </w:r>
                                  <w:hyperlink w:anchor="a077">
                                    <w:r>
                                      <w:rPr>
                                        <w:rStyle w:val="InternetLink"/>
                                        <w:rFonts w:ascii="Arial;Helvetica;Sans-Serif" w:hAnsi="Arial;Helvetica;Sans-Serif"/>
                                        <w:b w:val="false"/>
                                        <w:color w:val="EE0027"/>
                                        <w:sz w:val="18"/>
                                      </w:rPr>
                                      <w:t>EQUITY COMPENSATION PLAN INFORMATION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78">
                                    <w:r>
                                      <w:rPr>
                                        <w:rStyle w:val="InternetLink"/>
                                      </w:rPr>
                                      <w:t>08.</w:t>
                                    </w:r>
                                  </w:hyperlink>
                                  <w:r>
                                    <w:rPr>
                                      <w:rFonts w:ascii="Arial;Helvetica;Sans-Serif" w:hAnsi="Arial;Helvetica;Sans-Serif"/>
                                      <w:b/>
                                      <w:color w:val="EE0027"/>
                                      <w:sz w:val="18"/>
                                    </w:rPr>
                                    <w:t xml:space="preserve"> </w:t>
                                  </w:r>
                                  <w:hyperlink w:anchor="a078">
                                    <w:r>
                                      <w:rPr>
                                        <w:rStyle w:val="InternetLink"/>
                                        <w:rFonts w:ascii="Arial;Helvetica;Sans-Serif" w:hAnsi="Arial;Helvetica;Sans-Serif"/>
                                        <w:b w:val="false"/>
                                        <w:color w:val="EE0027"/>
                                        <w:sz w:val="18"/>
                                      </w:rPr>
                                      <w:t>COMPENSATION COMMITTEE REPORT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79">
                                    <w:r>
                                      <w:rPr>
                                        <w:rStyle w:val="InternetLink"/>
                                      </w:rPr>
                                      <w:t>09.</w:t>
                                    </w:r>
                                  </w:hyperlink>
                                  <w:r>
                                    <w:rPr>
                                      <w:rFonts w:ascii="Arial;Helvetica;Sans-Serif" w:hAnsi="Arial;Helvetica;Sans-Serif"/>
                                      <w:b/>
                                      <w:color w:val="EE0027"/>
                                      <w:sz w:val="18"/>
                                    </w:rPr>
                                    <w:t xml:space="preserve"> </w:t>
                                  </w:r>
                                  <w:hyperlink w:anchor="a079">
                                    <w:r>
                                      <w:rPr>
                                        <w:rStyle w:val="InternetLink"/>
                                        <w:rFonts w:ascii="Arial;Helvetica;Sans-Serif" w:hAnsi="Arial;Helvetica;Sans-Serif"/>
                                        <w:b w:val="false"/>
                                        <w:color w:val="EE0027"/>
                                        <w:sz w:val="18"/>
                                      </w:rPr>
                                      <w:t>COMPENSATION COMMITTEE INTERLOCKS AND INSIDER PARTICIPATION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0">
                                    <w:r>
                                      <w:rPr>
                                        <w:rStyle w:val="InternetLink"/>
                                      </w:rPr>
                                      <w:t>10.</w:t>
                                    </w:r>
                                  </w:hyperlink>
                                  <w:r>
                                    <w:rPr>
                                      <w:rFonts w:ascii="Arial;Helvetica;Sans-Serif" w:hAnsi="Arial;Helvetica;Sans-Serif"/>
                                      <w:b/>
                                      <w:color w:val="EE0027"/>
                                      <w:sz w:val="18"/>
                                    </w:rPr>
                                    <w:t xml:space="preserve"> </w:t>
                                  </w:r>
                                  <w:hyperlink w:anchor="a080">
                                    <w:r>
                                      <w:rPr>
                                        <w:rStyle w:val="InternetLink"/>
                                        <w:rFonts w:ascii="Arial;Helvetica;Sans-Serif" w:hAnsi="Arial;Helvetica;Sans-Serif"/>
                                        <w:b w:val="false"/>
                                        <w:color w:val="EE0027"/>
                                        <w:sz w:val="18"/>
                                      </w:rPr>
                                      <w:t>CEO PAY RATIO</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54</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1">
                                    <w:r>
                                      <w:rPr>
                                        <w:rStyle w:val="InternetLink"/>
                                      </w:rPr>
                                      <w:t>11.</w:t>
                                    </w:r>
                                  </w:hyperlink>
                                  <w:r>
                                    <w:rPr>
                                      <w:rFonts w:ascii="Arial;Helvetica;Sans-Serif" w:hAnsi="Arial;Helvetica;Sans-Serif"/>
                                      <w:b/>
                                      <w:color w:val="EE0027"/>
                                      <w:sz w:val="18"/>
                                    </w:rPr>
                                    <w:t xml:space="preserve"> </w:t>
                                  </w:r>
                                  <w:hyperlink w:anchor="a081">
                                    <w:r>
                                      <w:rPr>
                                        <w:rStyle w:val="InternetLink"/>
                                        <w:rFonts w:ascii="Arial;Helvetica;Sans-Serif" w:hAnsi="Arial;Helvetica;Sans-Serif"/>
                                        <w:b w:val="false"/>
                                        <w:color w:val="EE0027"/>
                                        <w:sz w:val="18"/>
                                      </w:rPr>
                                      <w:t>PAY VERSUS PERFORMANCE DISCLOSURE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54</w:t>
                                  </w:r>
                                </w:p>
                              </w:tc>
                            </w:tr>
                            <w:tr>
                              <w:trPr/>
                              <w:tc>
                                <w:tcPr>
                                  <w:tcW w:w="9960" w:type="dxa"/>
                                  <w:tcBorders/>
                                  <w:shd w:fill="auto" w:val="clear"/>
                                  <w:vAlign w:val="center"/>
                                </w:tcPr>
                                <w:p>
                                  <w:pPr>
                                    <w:pStyle w:val="TableContents"/>
                                    <w:spacing w:before="0" w:after="283"/>
                                    <w:rPr/>
                                  </w:pPr>
                                  <w:hyperlink w:anchor="a082">
                                    <w:r>
                                      <w:rPr>
                                        <w:rStyle w:val="InternetLink"/>
                                        <w:rFonts w:ascii="Arial;Helvetica;Sans-Serif" w:hAnsi="Arial;Helvetica;Sans-Serif"/>
                                        <w:color w:val="58595B"/>
                                        <w:sz w:val="18"/>
                                      </w:rPr>
                                      <w:t>Pay Versus Performance Table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55</w:t>
                                  </w:r>
                                </w:p>
                              </w:tc>
                            </w:tr>
                            <w:tr>
                              <w:trPr/>
                              <w:tc>
                                <w:tcPr>
                                  <w:tcW w:w="9960" w:type="dxa"/>
                                  <w:tcBorders/>
                                  <w:shd w:fill="auto" w:val="clear"/>
                                  <w:vAlign w:val="center"/>
                                </w:tcPr>
                                <w:p>
                                  <w:pPr>
                                    <w:pStyle w:val="TableContents"/>
                                    <w:spacing w:before="0" w:after="283"/>
                                    <w:rPr/>
                                  </w:pPr>
                                  <w:hyperlink w:anchor="a083">
                                    <w:r>
                                      <w:rPr>
                                        <w:rStyle w:val="InternetLink"/>
                                        <w:rFonts w:ascii="Arial;Helvetica;Sans-Serif" w:hAnsi="Arial;Helvetica;Sans-Serif"/>
                                        <w:color w:val="58595B"/>
                                        <w:sz w:val="18"/>
                                      </w:rPr>
                                      <w:t>TSR and Peer TSR vs. Compensation Actually Paid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56</w:t>
                                  </w:r>
                                </w:p>
                              </w:tc>
                            </w:tr>
                            <w:tr>
                              <w:trPr/>
                              <w:tc>
                                <w:tcPr>
                                  <w:tcW w:w="9960" w:type="dxa"/>
                                  <w:tcBorders/>
                                  <w:shd w:fill="auto" w:val="clear"/>
                                  <w:vAlign w:val="center"/>
                                </w:tcPr>
                                <w:p>
                                  <w:pPr>
                                    <w:pStyle w:val="TableContents"/>
                                    <w:spacing w:before="0" w:after="283"/>
                                    <w:rPr/>
                                  </w:pPr>
                                  <w:hyperlink w:anchor="a084">
                                    <w:r>
                                      <w:rPr>
                                        <w:rStyle w:val="InternetLink"/>
                                        <w:rFonts w:ascii="Arial;Helvetica;Sans-Serif" w:hAnsi="Arial;Helvetica;Sans-Serif"/>
                                        <w:color w:val="58595B"/>
                                        <w:sz w:val="18"/>
                                      </w:rPr>
                                      <w:t>Net Income vs. Compensation Actually Paid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56</w:t>
                                  </w:r>
                                </w:p>
                              </w:tc>
                            </w:tr>
                            <w:tr>
                              <w:trPr/>
                              <w:tc>
                                <w:tcPr>
                                  <w:tcW w:w="9960" w:type="dxa"/>
                                  <w:tcBorders/>
                                  <w:shd w:fill="auto" w:val="clear"/>
                                  <w:vAlign w:val="center"/>
                                </w:tcPr>
                                <w:p>
                                  <w:pPr>
                                    <w:pStyle w:val="TableContents"/>
                                    <w:spacing w:before="0" w:after="283"/>
                                    <w:rPr/>
                                  </w:pPr>
                                  <w:hyperlink w:anchor="a085">
                                    <w:r>
                                      <w:rPr>
                                        <w:rStyle w:val="InternetLink"/>
                                        <w:rFonts w:ascii="Arial;Helvetica;Sans-Serif" w:hAnsi="Arial;Helvetica;Sans-Serif"/>
                                        <w:color w:val="58595B"/>
                                        <w:sz w:val="18"/>
                                      </w:rPr>
                                      <w:t>Adjusted EPS vs. Compensation Actually Paid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56</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6">
                                    <w:r>
                                      <w:rPr>
                                        <w:rStyle w:val="InternetLink"/>
                                      </w:rPr>
                                      <w:t>12.</w:t>
                                    </w:r>
                                  </w:hyperlink>
                                  <w:r>
                                    <w:rPr>
                                      <w:rFonts w:ascii="Arial;Helvetica;Sans-Serif" w:hAnsi="Arial;Helvetica;Sans-Serif"/>
                                      <w:b/>
                                      <w:color w:val="EE0027"/>
                                      <w:sz w:val="18"/>
                                    </w:rPr>
                                    <w:t xml:space="preserve"> </w:t>
                                  </w:r>
                                  <w:hyperlink w:anchor="a086">
                                    <w:r>
                                      <w:rPr>
                                        <w:rStyle w:val="InternetLink"/>
                                        <w:rFonts w:ascii="Arial;Helvetica;Sans-Serif" w:hAnsi="Arial;Helvetica;Sans-Serif"/>
                                        <w:b w:val="false"/>
                                        <w:color w:val="EE0027"/>
                                        <w:sz w:val="18"/>
                                      </w:rPr>
                                      <w:t>CERTAIN RELATIONSHIPS AND RELATED-PARTY TRANSACTIONS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57</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7">
                                    <w:r>
                                      <w:rPr>
                                        <w:rStyle w:val="InternetLink"/>
                                      </w:rPr>
                                      <w:t>13.</w:t>
                                    </w:r>
                                  </w:hyperlink>
                                  <w:r>
                                    <w:rPr>
                                      <w:rFonts w:ascii="Arial;Helvetica;Sans-Serif" w:hAnsi="Arial;Helvetica;Sans-Serif"/>
                                      <w:b/>
                                      <w:color w:val="EE0027"/>
                                      <w:sz w:val="18"/>
                                    </w:rPr>
                                    <w:t xml:space="preserve"> </w:t>
                                  </w:r>
                                  <w:hyperlink w:anchor="a087">
                                    <w:r>
                                      <w:rPr>
                                        <w:rStyle w:val="InternetLink"/>
                                        <w:rFonts w:ascii="Arial;Helvetica;Sans-Serif" w:hAnsi="Arial;Helvetica;Sans-Serif"/>
                                        <w:b w:val="false"/>
                                        <w:color w:val="EE0027"/>
                                        <w:sz w:val="18"/>
                                      </w:rPr>
                                      <w:t>DELINQUENT SECTION 16(A) REPORTS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57</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8">
                                    <w:r>
                                      <w:rPr>
                                        <w:rStyle w:val="InternetLink"/>
                                      </w:rPr>
                                      <w:t>14.</w:t>
                                    </w:r>
                                  </w:hyperlink>
                                  <w:r>
                                    <w:rPr>
                                      <w:rFonts w:ascii="Arial;Helvetica;Sans-Serif" w:hAnsi="Arial;Helvetica;Sans-Serif"/>
                                      <w:b/>
                                      <w:color w:val="EE0027"/>
                                      <w:sz w:val="18"/>
                                    </w:rPr>
                                    <w:t xml:space="preserve"> </w:t>
                                  </w:r>
                                  <w:hyperlink w:anchor="a088">
                                    <w:r>
                                      <w:rPr>
                                        <w:rStyle w:val="InternetLink"/>
                                        <w:rFonts w:ascii="Arial;Helvetica;Sans-Serif" w:hAnsi="Arial;Helvetica;Sans-Serif"/>
                                        <w:b w:val="false"/>
                                        <w:color w:val="EE0027"/>
                                        <w:sz w:val="18"/>
                                      </w:rPr>
                                      <w:t>FIVE YEAR STOCK PERFORMANCE GRAPH</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57</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9">
                                    <w:r>
                                      <w:rPr>
                                        <w:rStyle w:val="InternetLink"/>
                                      </w:rPr>
                                      <w:t>15.</w:t>
                                    </w:r>
                                  </w:hyperlink>
                                  <w:r>
                                    <w:rPr>
                                      <w:rFonts w:ascii="Arial;Helvetica;Sans-Serif" w:hAnsi="Arial;Helvetica;Sans-Serif"/>
                                      <w:b/>
                                      <w:color w:val="EE0027"/>
                                      <w:sz w:val="18"/>
                                    </w:rPr>
                                    <w:t xml:space="preserve"> </w:t>
                                  </w:r>
                                  <w:hyperlink w:anchor="a089">
                                    <w:r>
                                      <w:rPr>
                                        <w:rStyle w:val="InternetLink"/>
                                        <w:rFonts w:ascii="Arial;Helvetica;Sans-Serif" w:hAnsi="Arial;Helvetica;Sans-Serif"/>
                                        <w:b w:val="false"/>
                                        <w:color w:val="EE0027"/>
                                        <w:sz w:val="18"/>
                                      </w:rPr>
                                      <w:t>AUDIT COMMITTEE REPORT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58</w:t>
                                  </w:r>
                                </w:p>
                              </w:tc>
                            </w:tr>
                            <w:tr>
                              <w:trPr/>
                              <w:tc>
                                <w:tcPr>
                                  <w:tcW w:w="9960" w:type="dxa"/>
                                  <w:tcBorders/>
                                  <w:shd w:fill="auto" w:val="clear"/>
                                  <w:vAlign w:val="center"/>
                                </w:tcPr>
                                <w:p>
                                  <w:pPr>
                                    <w:pStyle w:val="TableContents"/>
                                    <w:spacing w:before="0" w:after="283"/>
                                    <w:rPr/>
                                  </w:pPr>
                                  <w:hyperlink w:anchor="a090">
                                    <w:r>
                                      <w:rPr>
                                        <w:rStyle w:val="InternetLink"/>
                                        <w:rFonts w:ascii="Arial;Helvetica;Sans-Serif" w:hAnsi="Arial;Helvetica;Sans-Serif"/>
                                        <w:color w:val="58595B"/>
                                        <w:sz w:val="18"/>
                                      </w:rPr>
                                      <w:t>Audit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59</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91">
                                    <w:r>
                                      <w:rPr>
                                        <w:rStyle w:val="InternetLink"/>
                                      </w:rPr>
                                      <w:t>16.</w:t>
                                    </w:r>
                                  </w:hyperlink>
                                  <w:r>
                                    <w:rPr>
                                      <w:rFonts w:ascii="Arial;Helvetica;Sans-Serif" w:hAnsi="Arial;Helvetica;Sans-Serif"/>
                                      <w:b/>
                                      <w:color w:val="EE0027"/>
                                      <w:sz w:val="18"/>
                                    </w:rPr>
                                    <w:t xml:space="preserve"> </w:t>
                                  </w:r>
                                  <w:hyperlink w:anchor="a091">
                                    <w:r>
                                      <w:rPr>
                                        <w:rStyle w:val="InternetLink"/>
                                        <w:rFonts w:ascii="Arial;Helvetica;Sans-Serif" w:hAnsi="Arial;Helvetica;Sans-Serif"/>
                                        <w:b w:val="false"/>
                                        <w:color w:val="EE0027"/>
                                        <w:sz w:val="18"/>
                                      </w:rPr>
                                      <w:t>AUDIT MATTERS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2">
                                    <w:r>
                                      <w:rPr>
                                        <w:rStyle w:val="InternetLink"/>
                                        <w:rFonts w:ascii="Arial;Helvetica;Sans-Serif" w:hAnsi="Arial;Helvetica;Sans-Serif"/>
                                        <w:color w:val="58595B"/>
                                        <w:sz w:val="18"/>
                                      </w:rPr>
                                      <w:t>Fees Billed by Ernst &amp; Young LLP</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3">
                                    <w:r>
                                      <w:rPr>
                                        <w:rStyle w:val="InternetLink"/>
                                        <w:rFonts w:ascii="Arial;Helvetica;Sans-Serif" w:hAnsi="Arial;Helvetica;Sans-Serif"/>
                                        <w:color w:val="58595B"/>
                                        <w:sz w:val="18"/>
                                      </w:rPr>
                                      <w:t>Audit Fees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4">
                                    <w:r>
                                      <w:rPr>
                                        <w:rStyle w:val="InternetLink"/>
                                        <w:rFonts w:ascii="Arial;Helvetica;Sans-Serif" w:hAnsi="Arial;Helvetica;Sans-Serif"/>
                                        <w:color w:val="58595B"/>
                                        <w:sz w:val="18"/>
                                      </w:rPr>
                                      <w:t>Audit Related Fees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5">
                                    <w:r>
                                      <w:rPr>
                                        <w:rStyle w:val="InternetLink"/>
                                        <w:rFonts w:ascii="Arial;Helvetica;Sans-Serif" w:hAnsi="Arial;Helvetica;Sans-Serif"/>
                                        <w:color w:val="58595B"/>
                                        <w:sz w:val="18"/>
                                      </w:rPr>
                                      <w:t>Tax Fees and All Other Fees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6">
                                    <w:r>
                                      <w:rPr>
                                        <w:rStyle w:val="InternetLink"/>
                                        <w:rFonts w:ascii="Arial;Helvetica;Sans-Serif" w:hAnsi="Arial;Helvetica;Sans-Serif"/>
                                        <w:color w:val="58595B"/>
                                        <w:sz w:val="18"/>
                                      </w:rPr>
                                      <w:t>Policy on Audit Committee Pre-Approval of Audit and Permissible Non-Audit Services of Independent Auditor</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97">
                                    <w:r>
                                      <w:rPr>
                                        <w:rStyle w:val="InternetLink"/>
                                      </w:rPr>
                                      <w:t>17.</w:t>
                                    </w:r>
                                  </w:hyperlink>
                                  <w:r>
                                    <w:rPr>
                                      <w:rFonts w:ascii="Arial;Helvetica;Sans-Serif" w:hAnsi="Arial;Helvetica;Sans-Serif"/>
                                      <w:b/>
                                      <w:color w:val="EE0027"/>
                                      <w:sz w:val="18"/>
                                    </w:rPr>
                                    <w:t xml:space="preserve"> </w:t>
                                  </w:r>
                                  <w:hyperlink w:anchor="a097">
                                    <w:r>
                                      <w:rPr>
                                        <w:rStyle w:val="InternetLink"/>
                                        <w:rFonts w:ascii="Arial;Helvetica;Sans-Serif" w:hAnsi="Arial;Helvetica;Sans-Serif"/>
                                        <w:b w:val="false"/>
                                        <w:color w:val="EE0027"/>
                                        <w:sz w:val="18"/>
                                      </w:rPr>
                                      <w:t>PROPOSAL 1: ELECTION OF DIRECTORS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61</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98">
                                    <w:r>
                                      <w:rPr>
                                        <w:rStyle w:val="InternetLink"/>
                                      </w:rPr>
                                      <w:t>18.</w:t>
                                    </w:r>
                                  </w:hyperlink>
                                  <w:r>
                                    <w:rPr>
                                      <w:rFonts w:ascii="Arial;Helvetica;Sans-Serif" w:hAnsi="Arial;Helvetica;Sans-Serif"/>
                                      <w:b/>
                                      <w:color w:val="EE0027"/>
                                      <w:sz w:val="18"/>
                                    </w:rPr>
                                    <w:t xml:space="preserve"> </w:t>
                                  </w:r>
                                  <w:hyperlink w:anchor="a098">
                                    <w:r>
                                      <w:rPr>
                                        <w:rStyle w:val="InternetLink"/>
                                        <w:rFonts w:ascii="Arial;Helvetica;Sans-Serif" w:hAnsi="Arial;Helvetica;Sans-Serif"/>
                                        <w:b w:val="false"/>
                                        <w:color w:val="EE0027"/>
                                        <w:sz w:val="18"/>
                                      </w:rPr>
                                      <w:t>PROPOSAL 2: RATIFICATION OF ERNST &amp; YOUNG LLP AS OUR INDEPENDENT REGISTERED PUBLIC ACCOUNTING FIRM FOR FISCAL YEAR 2023</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61</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99">
                                    <w:r>
                                      <w:rPr>
                                        <w:rStyle w:val="InternetLink"/>
                                      </w:rPr>
                                      <w:t>19.</w:t>
                                    </w:r>
                                  </w:hyperlink>
                                  <w:r>
                                    <w:rPr>
                                      <w:rFonts w:ascii="Arial;Helvetica;Sans-Serif" w:hAnsi="Arial;Helvetica;Sans-Serif"/>
                                      <w:b/>
                                      <w:color w:val="EE0027"/>
                                      <w:sz w:val="18"/>
                                    </w:rPr>
                                    <w:t xml:space="preserve"> </w:t>
                                  </w:r>
                                  <w:hyperlink w:anchor="a099">
                                    <w:r>
                                      <w:rPr>
                                        <w:rStyle w:val="InternetLink"/>
                                        <w:rFonts w:ascii="Arial;Helvetica;Sans-Serif" w:hAnsi="Arial;Helvetica;Sans-Serif"/>
                                        <w:b w:val="false"/>
                                        <w:color w:val="EE0027"/>
                                        <w:sz w:val="18"/>
                                      </w:rPr>
                                      <w:t>PROPOSAL 3: ADVISORY VOTE TO APPROVE NAMED EXECUTIVE OFFICER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62</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100">
                                    <w:r>
                                      <w:rPr>
                                        <w:rStyle w:val="InternetLink"/>
                                      </w:rPr>
                                      <w:t>20.</w:t>
                                    </w:r>
                                  </w:hyperlink>
                                  <w:r>
                                    <w:rPr>
                                      <w:rFonts w:ascii="Arial;Helvetica;Sans-Serif" w:hAnsi="Arial;Helvetica;Sans-Serif"/>
                                      <w:b/>
                                      <w:color w:val="EE0027"/>
                                      <w:sz w:val="18"/>
                                    </w:rPr>
                                    <w:t xml:space="preserve"> </w:t>
                                  </w:r>
                                  <w:hyperlink w:anchor="a100">
                                    <w:r>
                                      <w:rPr>
                                        <w:rStyle w:val="InternetLink"/>
                                        <w:rFonts w:ascii="Arial;Helvetica;Sans-Serif" w:hAnsi="Arial;Helvetica;Sans-Serif"/>
                                        <w:b w:val="false"/>
                                        <w:color w:val="EE0027"/>
                                        <w:sz w:val="18"/>
                                      </w:rPr>
                                      <w:t>PROPOSAL 4: ADVISORY VOTE TO APPROVE THE FREQUENCY OF SHAREHOLDER VOTING ON COMPENSATION OF NAMED EXECUTIVE OFFICERS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62</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101">
                                    <w:r>
                                      <w:rPr>
                                        <w:rStyle w:val="InternetLink"/>
                                      </w:rPr>
                                      <w:t>21.</w:t>
                                    </w:r>
                                  </w:hyperlink>
                                  <w:r>
                                    <w:rPr>
                                      <w:rFonts w:ascii="Arial;Helvetica;Sans-Serif" w:hAnsi="Arial;Helvetica;Sans-Serif"/>
                                      <w:b/>
                                      <w:color w:val="EE0027"/>
                                      <w:sz w:val="18"/>
                                    </w:rPr>
                                    <w:t xml:space="preserve"> </w:t>
                                  </w:r>
                                  <w:hyperlink w:anchor="a101">
                                    <w:r>
                                      <w:rPr>
                                        <w:rStyle w:val="InternetLink"/>
                                        <w:rFonts w:ascii="Arial;Helvetica;Sans-Serif" w:hAnsi="Arial;Helvetica;Sans-Serif"/>
                                        <w:b w:val="false"/>
                                        <w:color w:val="EE0027"/>
                                        <w:sz w:val="18"/>
                                      </w:rPr>
                                      <w:t>PROPOSAL 5: PROPOSAL TO AMEND THE SHAREHOLDERS’ RIGHT TO CALL A SPECIAL MEETING</w:t>
                                    </w:r>
                                  </w:hyperlink>
                                </w:p>
                              </w:tc>
                              <w:tc>
                                <w:tcPr>
                                  <w:tcW w:w="245" w:type="dxa"/>
                                  <w:tcBorders/>
                                  <w:shd w:fill="auto" w:val="clear"/>
                                  <w:vAlign w:val="center"/>
                                </w:tcPr>
                                <w:p>
                                  <w:pPr>
                                    <w:pStyle w:val="TableContents"/>
                                    <w:spacing w:before="0" w:after="283"/>
                                    <w:jc w:val="right"/>
                                    <w:rPr>
                                      <w:rFonts w:ascii="Arial;Helvetica;Sans-Serif" w:hAnsi="Arial;Helvetica;Sans-Serif"/>
                                      <w:sz w:val="18"/>
                                    </w:rPr>
                                  </w:pPr>
                                  <w:r>
                                    <w:rPr>
                                      <w:rFonts w:ascii="Arial;Helvetica;Sans-Serif" w:hAnsi="Arial;Helvetica;Sans-Serif"/>
                                      <w:sz w:val="18"/>
                                    </w:rPr>
                                    <w:t>63</w:t>
                                  </w:r>
                                </w:p>
                              </w:tc>
                            </w:tr>
                            <w:tr>
                              <w:trPr/>
                              <w:tc>
                                <w:tcPr>
                                  <w:tcW w:w="9960" w:type="dxa"/>
                                  <w:tcBorders/>
                                  <w:shd w:fill="auto" w:val="clear"/>
                                  <w:vAlign w:val="center"/>
                                </w:tcPr>
                                <w:p>
                                  <w:pPr>
                                    <w:pStyle w:val="TableContents"/>
                                    <w:spacing w:before="0" w:after="283"/>
                                    <w:rPr/>
                                  </w:pPr>
                                  <w:hyperlink w:anchor="a102">
                                    <w:r>
                                      <w:rPr>
                                        <w:rStyle w:val="InternetLink"/>
                                        <w:rFonts w:ascii="Arial;Helvetica;Sans-Serif" w:hAnsi="Arial;Helvetica;Sans-Serif"/>
                                        <w:sz w:val="18"/>
                                      </w:rPr>
                                      <w:t>Proposal 5 — Special Shareholder Meeting Improvement</w:t>
                                    </w:r>
                                  </w:hyperlink>
                                </w:p>
                              </w:tc>
                              <w:tc>
                                <w:tcPr>
                                  <w:tcW w:w="245" w:type="dxa"/>
                                  <w:tcBorders/>
                                  <w:shd w:fill="auto" w:val="clear"/>
                                  <w:vAlign w:val="center"/>
                                </w:tcPr>
                                <w:p>
                                  <w:pPr>
                                    <w:pStyle w:val="TableContents"/>
                                    <w:spacing w:before="0" w:after="283"/>
                                    <w:jc w:val="right"/>
                                    <w:rPr>
                                      <w:rFonts w:ascii="Arial;Helvetica;Sans-Serif" w:hAnsi="Arial;Helvetica;Sans-Serif"/>
                                      <w:sz w:val="18"/>
                                    </w:rPr>
                                  </w:pPr>
                                  <w:r>
                                    <w:rPr>
                                      <w:rFonts w:ascii="Arial;Helvetica;Sans-Serif" w:hAnsi="Arial;Helvetica;Sans-Serif"/>
                                      <w:sz w:val="18"/>
                                    </w:rPr>
                                    <w:t>63</w:t>
                                  </w:r>
                                </w:p>
                              </w:tc>
                            </w:tr>
                            <w:tr>
                              <w:trPr/>
                              <w:tc>
                                <w:tcPr>
                                  <w:tcW w:w="9960" w:type="dxa"/>
                                  <w:tcBorders/>
                                  <w:shd w:fill="auto" w:val="clear"/>
                                  <w:vAlign w:val="center"/>
                                </w:tcPr>
                                <w:p>
                                  <w:pPr>
                                    <w:pStyle w:val="TableContents"/>
                                    <w:spacing w:before="0" w:after="283"/>
                                    <w:rPr/>
                                  </w:pPr>
                                  <w:hyperlink w:anchor="a103">
                                    <w:r>
                                      <w:rPr>
                                        <w:rStyle w:val="InternetLink"/>
                                        <w:rFonts w:ascii="Arial;Helvetica;Sans-Serif" w:hAnsi="Arial;Helvetica;Sans-Serif"/>
                                        <w:color w:val="58595B"/>
                                        <w:sz w:val="18"/>
                                      </w:rPr>
                                      <w:t>Other Business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64</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104">
                                    <w:r>
                                      <w:rPr>
                                        <w:rStyle w:val="InternetLink"/>
                                      </w:rPr>
                                      <w:t>22.</w:t>
                                    </w:r>
                                  </w:hyperlink>
                                  <w:r>
                                    <w:rPr>
                                      <w:rFonts w:ascii="Arial;Helvetica;Sans-Serif" w:hAnsi="Arial;Helvetica;Sans-Serif"/>
                                      <w:b/>
                                      <w:color w:val="EE0027"/>
                                      <w:sz w:val="18"/>
                                    </w:rPr>
                                    <w:t xml:space="preserve"> </w:t>
                                  </w:r>
                                  <w:hyperlink w:anchor="a104">
                                    <w:r>
                                      <w:rPr>
                                        <w:rStyle w:val="InternetLink"/>
                                        <w:rFonts w:ascii="Arial;Helvetica;Sans-Serif" w:hAnsi="Arial;Helvetica;Sans-Serif"/>
                                        <w:b w:val="false"/>
                                        <w:color w:val="EE0027"/>
                                        <w:sz w:val="18"/>
                                      </w:rPr>
                                      <w:t>ADDITIONAL INFORMATION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64</w:t>
                                  </w:r>
                                </w:p>
                              </w:tc>
                            </w:tr>
                            <w:tr>
                              <w:trPr/>
                              <w:tc>
                                <w:tcPr>
                                  <w:tcW w:w="9960" w:type="dxa"/>
                                  <w:tcBorders/>
                                  <w:shd w:fill="auto" w:val="clear"/>
                                  <w:vAlign w:val="center"/>
                                </w:tcPr>
                                <w:p>
                                  <w:pPr>
                                    <w:pStyle w:val="TableContents"/>
                                    <w:spacing w:before="0" w:after="283"/>
                                    <w:rPr/>
                                  </w:pPr>
                                  <w:hyperlink w:anchor="a105">
                                    <w:r>
                                      <w:rPr>
                                        <w:rStyle w:val="InternetLink"/>
                                        <w:rFonts w:ascii="Arial;Helvetica;Sans-Serif" w:hAnsi="Arial;Helvetica;Sans-Serif"/>
                                        <w:color w:val="58595B"/>
                                        <w:sz w:val="18"/>
                                      </w:rPr>
                                      <w:t>Shareholder Proposals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64</w:t>
                                  </w:r>
                                </w:p>
                              </w:tc>
                            </w:tr>
                            <w:tr>
                              <w:trPr/>
                              <w:tc>
                                <w:tcPr>
                                  <w:tcW w:w="9960" w:type="dxa"/>
                                  <w:tcBorders/>
                                  <w:shd w:fill="auto" w:val="clear"/>
                                  <w:vAlign w:val="center"/>
                                </w:tcPr>
                                <w:p>
                                  <w:pPr>
                                    <w:pStyle w:val="TableContents"/>
                                    <w:spacing w:before="0" w:after="283"/>
                                    <w:rPr/>
                                  </w:pPr>
                                  <w:hyperlink w:anchor="a106">
                                    <w:r>
                                      <w:rPr>
                                        <w:rStyle w:val="InternetLink"/>
                                        <w:rFonts w:ascii="Arial;Helvetica;Sans-Serif" w:hAnsi="Arial;Helvetica;Sans-Serif"/>
                                        <w:color w:val="58595B"/>
                                        <w:sz w:val="18"/>
                                      </w:rPr>
                                      <w:t>Solicitation of Proxies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65</w:t>
                                  </w:r>
                                </w:p>
                              </w:tc>
                            </w:tr>
                            <w:tr>
                              <w:trPr/>
                              <w:tc>
                                <w:tcPr>
                                  <w:tcW w:w="9960" w:type="dxa"/>
                                  <w:tcBorders/>
                                  <w:shd w:fill="auto" w:val="clear"/>
                                  <w:vAlign w:val="center"/>
                                </w:tcPr>
                                <w:p>
                                  <w:pPr>
                                    <w:pStyle w:val="TableContents"/>
                                    <w:spacing w:before="0" w:after="283"/>
                                    <w:rPr/>
                                  </w:pPr>
                                  <w:hyperlink w:anchor="a107">
                                    <w:r>
                                      <w:rPr>
                                        <w:rStyle w:val="InternetLink"/>
                                        <w:rFonts w:ascii="Arial;Helvetica;Sans-Serif" w:hAnsi="Arial;Helvetica;Sans-Serif"/>
                                        <w:color w:val="58595B"/>
                                        <w:sz w:val="18"/>
                                      </w:rPr>
                                      <w:t>Voting Procedures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65</w:t>
                                  </w:r>
                                </w:p>
                              </w:tc>
                            </w:tr>
                            <w:tr>
                              <w:trPr/>
                              <w:tc>
                                <w:tcPr>
                                  <w:tcW w:w="9960" w:type="dxa"/>
                                  <w:tcBorders/>
                                  <w:shd w:fill="auto" w:val="clear"/>
                                  <w:vAlign w:val="center"/>
                                </w:tcPr>
                                <w:p>
                                  <w:pPr>
                                    <w:pStyle w:val="TableContents"/>
                                    <w:spacing w:before="0" w:after="283"/>
                                    <w:rPr/>
                                  </w:pPr>
                                  <w:hyperlink w:anchor="a108">
                                    <w:r>
                                      <w:rPr>
                                        <w:rStyle w:val="InternetLink"/>
                                        <w:rFonts w:ascii="Arial;Helvetica;Sans-Serif" w:hAnsi="Arial;Helvetica;Sans-Serif"/>
                                        <w:color w:val="58595B"/>
                                        <w:sz w:val="18"/>
                                      </w:rPr>
                                      <w:t>Where to Find More Proxy Voting Information: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66</w:t>
                                  </w:r>
                                </w:p>
                              </w:tc>
                            </w:tr>
                            <w:tr>
                              <w:trPr/>
                              <w:tc>
                                <w:tcPr>
                                  <w:tcW w:w="9960" w:type="dxa"/>
                                  <w:tcBorders/>
                                  <w:shd w:fill="auto" w:val="clear"/>
                                  <w:vAlign w:val="center"/>
                                </w:tcPr>
                                <w:p>
                                  <w:pPr>
                                    <w:pStyle w:val="TableContents"/>
                                    <w:spacing w:before="0" w:after="283"/>
                                    <w:rPr/>
                                  </w:pPr>
                                  <w:hyperlink w:anchor="a109">
                                    <w:r>
                                      <w:rPr>
                                        <w:rStyle w:val="InternetLink"/>
                                        <w:rFonts w:ascii="Arial;Helvetica;Sans-Serif" w:hAnsi="Arial;Helvetica;Sans-Serif"/>
                                        <w:color w:val="58595B"/>
                                        <w:sz w:val="18"/>
                                      </w:rPr>
                                      <w:t>Householding of Proxy Materials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66</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110">
                                    <w:r>
                                      <w:rPr>
                                        <w:rStyle w:val="InternetLink"/>
                                      </w:rPr>
                                      <w:t>23.</w:t>
                                    </w:r>
                                  </w:hyperlink>
                                  <w:r>
                                    <w:rPr>
                                      <w:rFonts w:ascii="Arial;Helvetica;Sans-Serif" w:hAnsi="Arial;Helvetica;Sans-Serif"/>
                                      <w:b/>
                                      <w:color w:val="EE0027"/>
                                      <w:sz w:val="18"/>
                                    </w:rPr>
                                    <w:t xml:space="preserve"> </w:t>
                                  </w:r>
                                  <w:hyperlink w:anchor="a110">
                                    <w:r>
                                      <w:rPr>
                                        <w:rStyle w:val="InternetLink"/>
                                        <w:rFonts w:ascii="Arial;Helvetica;Sans-Serif" w:hAnsi="Arial;Helvetica;Sans-Serif"/>
                                        <w:b w:val="false"/>
                                        <w:color w:val="EE0027"/>
                                        <w:sz w:val="18"/>
                                      </w:rPr>
                                      <w:t>APPENDIX A:</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67</w:t>
                                  </w:r>
                                </w:p>
                              </w:tc>
                            </w:tr>
                            <w:tr>
                              <w:trPr/>
                              <w:tc>
                                <w:tcPr>
                                  <w:tcW w:w="9960" w:type="dxa"/>
                                  <w:tcBorders/>
                                  <w:shd w:fill="auto" w:val="clear"/>
                                  <w:vAlign w:val="center"/>
                                </w:tcPr>
                                <w:p>
                                  <w:pPr>
                                    <w:pStyle w:val="TableContents"/>
                                    <w:spacing w:before="0" w:after="283"/>
                                    <w:rPr/>
                                  </w:pPr>
                                  <w:hyperlink w:anchor="a111">
                                    <w:r>
                                      <w:rPr>
                                        <w:rStyle w:val="InternetLink"/>
                                        <w:rFonts w:ascii="Arial;Helvetica;Sans-Serif" w:hAnsi="Arial;Helvetica;Sans-Serif"/>
                                        <w:color w:val="58595B"/>
                                        <w:sz w:val="18"/>
                                      </w:rPr>
                                      <w:t>Management’s Use of Non-GAAP Financial Measures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67</w:t>
                                  </w:r>
                                </w:p>
                              </w:tc>
                            </w:tr>
                            <w:tr>
                              <w:trPr/>
                              <w:tc>
                                <w:tcPr>
                                  <w:tcW w:w="9960" w:type="dxa"/>
                                  <w:tcBorders/>
                                  <w:shd w:fill="auto" w:val="clear"/>
                                  <w:vAlign w:val="center"/>
                                </w:tcPr>
                                <w:p>
                                  <w:pPr>
                                    <w:pStyle w:val="TableContents"/>
                                    <w:spacing w:before="0" w:after="283"/>
                                    <w:rPr/>
                                  </w:pPr>
                                  <w:hyperlink w:anchor="a112">
                                    <w:r>
                                      <w:rPr>
                                        <w:rStyle w:val="InternetLink"/>
                                        <w:rFonts w:ascii="Arial;Helvetica;Sans-Serif" w:hAnsi="Arial;Helvetica;Sans-Serif"/>
                                        <w:color w:val="58595B"/>
                                        <w:sz w:val="18"/>
                                      </w:rPr>
                                      <w:t>Adjusted Net Income and Adjusted Net Income Per Diluted Share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67</w:t>
                                  </w:r>
                                </w:p>
                              </w:tc>
                            </w:tr>
                            <w:tr>
                              <w:trPr/>
                              <w:tc>
                                <w:tcPr>
                                  <w:tcW w:w="9960" w:type="dxa"/>
                                  <w:tcBorders/>
                                  <w:shd w:fill="auto" w:val="clear"/>
                                  <w:vAlign w:val="center"/>
                                </w:tcPr>
                                <w:p>
                                  <w:pPr>
                                    <w:pStyle w:val="TableContents"/>
                                    <w:spacing w:before="0" w:after="283"/>
                                    <w:rPr/>
                                  </w:pPr>
                                  <w:hyperlink w:anchor="a113">
                                    <w:r>
                                      <w:rPr>
                                        <w:rStyle w:val="InternetLink"/>
                                        <w:rFonts w:ascii="Arial;Helvetica;Sans-Serif" w:hAnsi="Arial;Helvetica;Sans-Serif"/>
                                        <w:color w:val="58595B"/>
                                        <w:sz w:val="18"/>
                                      </w:rPr>
                                      <w:t>Reconciliation of Net Income to Pro Forma Adjusted Net Income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69</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9960"/>
                        <w:gridCol w:w="245"/>
                      </w:tblGrid>
                      <w:tr>
                        <w:trPr/>
                        <w:tc>
                          <w:tcPr>
                            <w:tcW w:w="9960" w:type="dxa"/>
                            <w:tcBorders/>
                            <w:shd w:fill="auto" w:val="clear"/>
                            <w:vAlign w:val="center"/>
                          </w:tcPr>
                          <w:p>
                            <w:pPr>
                              <w:pStyle w:val="TableContents"/>
                              <w:spacing w:before="0" w:after="283"/>
                              <w:rPr/>
                            </w:pPr>
                            <w:hyperlink w:anchor="a065">
                              <w:r>
                                <w:rPr>
                                  <w:rStyle w:val="InternetLink"/>
                                </w:rPr>
                                <w:t>06.</w:t>
                              </w:r>
                            </w:hyperlink>
                            <w:r>
                              <w:rPr>
                                <w:rFonts w:ascii="Arial;Helvetica;Sans-Serif" w:hAnsi="Arial;Helvetica;Sans-Serif"/>
                                <w:b/>
                                <w:color w:val="EE0027"/>
                                <w:sz w:val="18"/>
                              </w:rPr>
                              <w:t xml:space="preserve"> </w:t>
                            </w:r>
                            <w:hyperlink w:anchor="a065">
                              <w:r>
                                <w:rPr>
                                  <w:rStyle w:val="InternetLink"/>
                                  <w:rFonts w:ascii="Arial;Helvetica;Sans-Serif" w:hAnsi="Arial;Helvetica;Sans-Serif"/>
                                  <w:b w:val="false"/>
                                  <w:color w:val="EE0027"/>
                                  <w:sz w:val="18"/>
                                </w:rPr>
                                <w:t>2022 NAMED EXECUTIVE OFFICER COMPENSATION</w:t>
                              </w:r>
                            </w:hyperlink>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66">
                              <w:r>
                                <w:rPr>
                                  <w:rStyle w:val="InternetLink"/>
                                  <w:rFonts w:ascii="Arial;Helvetica;Sans-Serif" w:hAnsi="Arial;Helvetica;Sans-Serif"/>
                                  <w:color w:val="58595B"/>
                                  <w:sz w:val="18"/>
                                </w:rPr>
                                <w:t>2022 Summary Compensation Table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44</w:t>
                            </w:r>
                          </w:p>
                        </w:tc>
                      </w:tr>
                      <w:tr>
                        <w:trPr/>
                        <w:tc>
                          <w:tcPr>
                            <w:tcW w:w="9960" w:type="dxa"/>
                            <w:tcBorders/>
                            <w:shd w:fill="auto" w:val="clear"/>
                            <w:vAlign w:val="center"/>
                          </w:tcPr>
                          <w:p>
                            <w:pPr>
                              <w:pStyle w:val="TableContents"/>
                              <w:spacing w:before="0" w:after="283"/>
                              <w:rPr/>
                            </w:pPr>
                            <w:hyperlink w:anchor="a067">
                              <w:r>
                                <w:rPr>
                                  <w:rStyle w:val="InternetLink"/>
                                  <w:rFonts w:ascii="Arial;Helvetica;Sans-Serif" w:hAnsi="Arial;Helvetica;Sans-Serif"/>
                                  <w:color w:val="58595B"/>
                                  <w:sz w:val="18"/>
                                </w:rPr>
                                <w:t>All Other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45</w:t>
                            </w:r>
                          </w:p>
                        </w:tc>
                      </w:tr>
                      <w:tr>
                        <w:trPr/>
                        <w:tc>
                          <w:tcPr>
                            <w:tcW w:w="9960" w:type="dxa"/>
                            <w:tcBorders/>
                            <w:shd w:fill="auto" w:val="clear"/>
                            <w:vAlign w:val="center"/>
                          </w:tcPr>
                          <w:p>
                            <w:pPr>
                              <w:pStyle w:val="TableContents"/>
                              <w:spacing w:before="0" w:after="283"/>
                              <w:rPr/>
                            </w:pPr>
                            <w:hyperlink w:anchor="a068">
                              <w:r>
                                <w:rPr>
                                  <w:rStyle w:val="InternetLink"/>
                                  <w:rFonts w:ascii="Arial;Helvetica;Sans-Serif" w:hAnsi="Arial;Helvetica;Sans-Serif"/>
                                  <w:color w:val="58595B"/>
                                  <w:sz w:val="18"/>
                                </w:rPr>
                                <w:t>2022 Grants of Plan-Based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46</w:t>
                            </w:r>
                          </w:p>
                        </w:tc>
                      </w:tr>
                      <w:tr>
                        <w:trPr/>
                        <w:tc>
                          <w:tcPr>
                            <w:tcW w:w="9960" w:type="dxa"/>
                            <w:tcBorders/>
                            <w:shd w:fill="auto" w:val="clear"/>
                            <w:vAlign w:val="center"/>
                          </w:tcPr>
                          <w:p>
                            <w:pPr>
                              <w:pStyle w:val="TableContents"/>
                              <w:spacing w:before="0" w:after="283"/>
                              <w:rPr/>
                            </w:pPr>
                            <w:hyperlink w:anchor="a069">
                              <w:r>
                                <w:rPr>
                                  <w:rStyle w:val="InternetLink"/>
                                  <w:rFonts w:ascii="Arial;Helvetica;Sans-Serif" w:hAnsi="Arial;Helvetica;Sans-Serif"/>
                                  <w:color w:val="58595B"/>
                                  <w:sz w:val="18"/>
                                </w:rPr>
                                <w:t>Outstanding Equity Awards at 2022 Fiscal Year-End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47</w:t>
                            </w:r>
                          </w:p>
                        </w:tc>
                      </w:tr>
                      <w:tr>
                        <w:trPr/>
                        <w:tc>
                          <w:tcPr>
                            <w:tcW w:w="9960" w:type="dxa"/>
                            <w:tcBorders/>
                            <w:shd w:fill="auto" w:val="clear"/>
                            <w:vAlign w:val="center"/>
                          </w:tcPr>
                          <w:p>
                            <w:pPr>
                              <w:pStyle w:val="TableContents"/>
                              <w:spacing w:before="0" w:after="283"/>
                              <w:rPr/>
                            </w:pPr>
                            <w:hyperlink w:anchor="a070">
                              <w:r>
                                <w:rPr>
                                  <w:rStyle w:val="InternetLink"/>
                                  <w:rFonts w:ascii="Arial;Helvetica;Sans-Serif" w:hAnsi="Arial;Helvetica;Sans-Serif"/>
                                  <w:color w:val="58595B"/>
                                  <w:sz w:val="18"/>
                                </w:rPr>
                                <w:t>2022 Option Exercises and Stock Vested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49</w:t>
                            </w:r>
                          </w:p>
                        </w:tc>
                      </w:tr>
                      <w:tr>
                        <w:trPr/>
                        <w:tc>
                          <w:tcPr>
                            <w:tcW w:w="9960" w:type="dxa"/>
                            <w:tcBorders/>
                            <w:shd w:fill="auto" w:val="clear"/>
                            <w:vAlign w:val="center"/>
                          </w:tcPr>
                          <w:p>
                            <w:pPr>
                              <w:pStyle w:val="TableContents"/>
                              <w:spacing w:before="0" w:after="283"/>
                              <w:rPr/>
                            </w:pPr>
                            <w:hyperlink w:anchor="a071">
                              <w:r>
                                <w:rPr>
                                  <w:rStyle w:val="InternetLink"/>
                                  <w:rFonts w:ascii="Arial;Helvetica;Sans-Serif" w:hAnsi="Arial;Helvetica;Sans-Serif"/>
                                  <w:color w:val="58595B"/>
                                  <w:sz w:val="18"/>
                                </w:rPr>
                                <w:t>Potential Payments Upon Termination or Change in Control</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50</w:t>
                            </w:r>
                          </w:p>
                        </w:tc>
                      </w:tr>
                      <w:tr>
                        <w:trPr/>
                        <w:tc>
                          <w:tcPr>
                            <w:tcW w:w="9960" w:type="dxa"/>
                            <w:tcBorders/>
                            <w:shd w:fill="auto" w:val="clear"/>
                            <w:vAlign w:val="center"/>
                          </w:tcPr>
                          <w:p>
                            <w:pPr>
                              <w:pStyle w:val="TableContents"/>
                              <w:spacing w:before="0" w:after="283"/>
                              <w:rPr/>
                            </w:pPr>
                            <w:hyperlink w:anchor="a072">
                              <w:r>
                                <w:rPr>
                                  <w:rStyle w:val="InternetLink"/>
                                  <w:rFonts w:ascii="Arial;Helvetica;Sans-Serif" w:hAnsi="Arial;Helvetica;Sans-Serif"/>
                                  <w:color w:val="58595B"/>
                                  <w:sz w:val="18"/>
                                </w:rPr>
                                <w:t>Employment Agreements, Severance and Change of Control Benefits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50</w:t>
                            </w:r>
                          </w:p>
                        </w:tc>
                      </w:tr>
                      <w:tr>
                        <w:trPr/>
                        <w:tc>
                          <w:tcPr>
                            <w:tcW w:w="9960" w:type="dxa"/>
                            <w:tcBorders/>
                            <w:shd w:fill="auto" w:val="clear"/>
                            <w:vAlign w:val="center"/>
                          </w:tcPr>
                          <w:p>
                            <w:pPr>
                              <w:pStyle w:val="TableContents"/>
                              <w:spacing w:before="0" w:after="283"/>
                              <w:rPr/>
                            </w:pPr>
                            <w:hyperlink w:anchor="a073">
                              <w:r>
                                <w:rPr>
                                  <w:rStyle w:val="InternetLink"/>
                                  <w:rFonts w:ascii="Arial;Helvetica;Sans-Serif" w:hAnsi="Arial;Helvetica;Sans-Serif"/>
                                  <w:color w:val="58595B"/>
                                  <w:sz w:val="18"/>
                                </w:rPr>
                                <w:t>Other NEOs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51</w:t>
                            </w:r>
                          </w:p>
                        </w:tc>
                      </w:tr>
                      <w:tr>
                        <w:trPr/>
                        <w:tc>
                          <w:tcPr>
                            <w:tcW w:w="9960" w:type="dxa"/>
                            <w:tcBorders/>
                            <w:shd w:fill="auto" w:val="clear"/>
                            <w:vAlign w:val="center"/>
                          </w:tcPr>
                          <w:p>
                            <w:pPr>
                              <w:pStyle w:val="TableContents"/>
                              <w:spacing w:before="0" w:after="283"/>
                              <w:rPr/>
                            </w:pPr>
                            <w:hyperlink w:anchor="a074">
                              <w:r>
                                <w:rPr>
                                  <w:rStyle w:val="InternetLink"/>
                                  <w:rFonts w:ascii="Arial;Helvetica;Sans-Serif" w:hAnsi="Arial;Helvetica;Sans-Serif"/>
                                  <w:color w:val="58595B"/>
                                  <w:sz w:val="18"/>
                                </w:rPr>
                                <w:t>Equity Awards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51</w:t>
                            </w:r>
                          </w:p>
                        </w:tc>
                      </w:tr>
                      <w:tr>
                        <w:trPr/>
                        <w:tc>
                          <w:tcPr>
                            <w:tcW w:w="9960" w:type="dxa"/>
                            <w:tcBorders/>
                            <w:shd w:fill="auto" w:val="clear"/>
                            <w:vAlign w:val="center"/>
                          </w:tcPr>
                          <w:p>
                            <w:pPr>
                              <w:pStyle w:val="TableContents"/>
                              <w:spacing w:before="0" w:after="283"/>
                              <w:rPr/>
                            </w:pPr>
                            <w:hyperlink w:anchor="a075">
                              <w:r>
                                <w:rPr>
                                  <w:rStyle w:val="InternetLink"/>
                                  <w:rFonts w:ascii="Arial;Helvetica;Sans-Serif" w:hAnsi="Arial;Helvetica;Sans-Serif"/>
                                  <w:color w:val="58595B"/>
                                  <w:sz w:val="18"/>
                                </w:rPr>
                                <w:t>Quantification of Potential Payments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52</w:t>
                            </w:r>
                          </w:p>
                        </w:tc>
                      </w:tr>
                      <w:tr>
                        <w:trPr/>
                        <w:tc>
                          <w:tcPr>
                            <w:tcW w:w="9960" w:type="dxa"/>
                            <w:tcBorders/>
                            <w:shd w:fill="auto" w:val="clear"/>
                            <w:vAlign w:val="center"/>
                          </w:tcPr>
                          <w:p>
                            <w:pPr>
                              <w:pStyle w:val="TableContents"/>
                              <w:spacing w:before="0" w:after="283"/>
                              <w:rPr/>
                            </w:pPr>
                            <w:hyperlink w:anchor="a076">
                              <w:r>
                                <w:rPr>
                                  <w:rStyle w:val="InternetLink"/>
                                  <w:rFonts w:ascii="Arial;Helvetica;Sans-Serif" w:hAnsi="Arial;Helvetica;Sans-Serif"/>
                                  <w:color w:val="58595B"/>
                                  <w:sz w:val="18"/>
                                </w:rPr>
                                <w:t>Officer Departures During 2022</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77">
                              <w:r>
                                <w:rPr>
                                  <w:rStyle w:val="InternetLink"/>
                                </w:rPr>
                                <w:t>07.</w:t>
                              </w:r>
                            </w:hyperlink>
                            <w:r>
                              <w:rPr>
                                <w:rFonts w:ascii="Arial;Helvetica;Sans-Serif" w:hAnsi="Arial;Helvetica;Sans-Serif"/>
                                <w:b/>
                                <w:color w:val="EE0027"/>
                                <w:sz w:val="18"/>
                              </w:rPr>
                              <w:t xml:space="preserve"> </w:t>
                            </w:r>
                            <w:hyperlink w:anchor="a077">
                              <w:r>
                                <w:rPr>
                                  <w:rStyle w:val="InternetLink"/>
                                  <w:rFonts w:ascii="Arial;Helvetica;Sans-Serif" w:hAnsi="Arial;Helvetica;Sans-Serif"/>
                                  <w:b w:val="false"/>
                                  <w:color w:val="EE0027"/>
                                  <w:sz w:val="18"/>
                                </w:rPr>
                                <w:t>EQUITY COMPENSATION PLAN INFORMATION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78">
                              <w:r>
                                <w:rPr>
                                  <w:rStyle w:val="InternetLink"/>
                                </w:rPr>
                                <w:t>08.</w:t>
                              </w:r>
                            </w:hyperlink>
                            <w:r>
                              <w:rPr>
                                <w:rFonts w:ascii="Arial;Helvetica;Sans-Serif" w:hAnsi="Arial;Helvetica;Sans-Serif"/>
                                <w:b/>
                                <w:color w:val="EE0027"/>
                                <w:sz w:val="18"/>
                              </w:rPr>
                              <w:t xml:space="preserve"> </w:t>
                            </w:r>
                            <w:hyperlink w:anchor="a078">
                              <w:r>
                                <w:rPr>
                                  <w:rStyle w:val="InternetLink"/>
                                  <w:rFonts w:ascii="Arial;Helvetica;Sans-Serif" w:hAnsi="Arial;Helvetica;Sans-Serif"/>
                                  <w:b w:val="false"/>
                                  <w:color w:val="EE0027"/>
                                  <w:sz w:val="18"/>
                                </w:rPr>
                                <w:t>COMPENSATION COMMITTEE REPORT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79">
                              <w:r>
                                <w:rPr>
                                  <w:rStyle w:val="InternetLink"/>
                                </w:rPr>
                                <w:t>09.</w:t>
                              </w:r>
                            </w:hyperlink>
                            <w:r>
                              <w:rPr>
                                <w:rFonts w:ascii="Arial;Helvetica;Sans-Serif" w:hAnsi="Arial;Helvetica;Sans-Serif"/>
                                <w:b/>
                                <w:color w:val="EE0027"/>
                                <w:sz w:val="18"/>
                              </w:rPr>
                              <w:t xml:space="preserve"> </w:t>
                            </w:r>
                            <w:hyperlink w:anchor="a079">
                              <w:r>
                                <w:rPr>
                                  <w:rStyle w:val="InternetLink"/>
                                  <w:rFonts w:ascii="Arial;Helvetica;Sans-Serif" w:hAnsi="Arial;Helvetica;Sans-Serif"/>
                                  <w:b w:val="false"/>
                                  <w:color w:val="EE0027"/>
                                  <w:sz w:val="18"/>
                                </w:rPr>
                                <w:t>COMPENSATION COMMITTEE INTERLOCKS AND INSIDER PARTICIPATION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53</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0">
                              <w:r>
                                <w:rPr>
                                  <w:rStyle w:val="InternetLink"/>
                                </w:rPr>
                                <w:t>10.</w:t>
                              </w:r>
                            </w:hyperlink>
                            <w:r>
                              <w:rPr>
                                <w:rFonts w:ascii="Arial;Helvetica;Sans-Serif" w:hAnsi="Arial;Helvetica;Sans-Serif"/>
                                <w:b/>
                                <w:color w:val="EE0027"/>
                                <w:sz w:val="18"/>
                              </w:rPr>
                              <w:t xml:space="preserve"> </w:t>
                            </w:r>
                            <w:hyperlink w:anchor="a080">
                              <w:r>
                                <w:rPr>
                                  <w:rStyle w:val="InternetLink"/>
                                  <w:rFonts w:ascii="Arial;Helvetica;Sans-Serif" w:hAnsi="Arial;Helvetica;Sans-Serif"/>
                                  <w:b w:val="false"/>
                                  <w:color w:val="EE0027"/>
                                  <w:sz w:val="18"/>
                                </w:rPr>
                                <w:t>CEO PAY RATIO</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54</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1">
                              <w:r>
                                <w:rPr>
                                  <w:rStyle w:val="InternetLink"/>
                                </w:rPr>
                                <w:t>11.</w:t>
                              </w:r>
                            </w:hyperlink>
                            <w:r>
                              <w:rPr>
                                <w:rFonts w:ascii="Arial;Helvetica;Sans-Serif" w:hAnsi="Arial;Helvetica;Sans-Serif"/>
                                <w:b/>
                                <w:color w:val="EE0027"/>
                                <w:sz w:val="18"/>
                              </w:rPr>
                              <w:t xml:space="preserve"> </w:t>
                            </w:r>
                            <w:hyperlink w:anchor="a081">
                              <w:r>
                                <w:rPr>
                                  <w:rStyle w:val="InternetLink"/>
                                  <w:rFonts w:ascii="Arial;Helvetica;Sans-Serif" w:hAnsi="Arial;Helvetica;Sans-Serif"/>
                                  <w:b w:val="false"/>
                                  <w:color w:val="EE0027"/>
                                  <w:sz w:val="18"/>
                                </w:rPr>
                                <w:t>PAY VERSUS PERFORMANCE DISCLOSURE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54</w:t>
                            </w:r>
                          </w:p>
                        </w:tc>
                      </w:tr>
                      <w:tr>
                        <w:trPr/>
                        <w:tc>
                          <w:tcPr>
                            <w:tcW w:w="9960" w:type="dxa"/>
                            <w:tcBorders/>
                            <w:shd w:fill="auto" w:val="clear"/>
                            <w:vAlign w:val="center"/>
                          </w:tcPr>
                          <w:p>
                            <w:pPr>
                              <w:pStyle w:val="TableContents"/>
                              <w:spacing w:before="0" w:after="283"/>
                              <w:rPr/>
                            </w:pPr>
                            <w:hyperlink w:anchor="a082">
                              <w:r>
                                <w:rPr>
                                  <w:rStyle w:val="InternetLink"/>
                                  <w:rFonts w:ascii="Arial;Helvetica;Sans-Serif" w:hAnsi="Arial;Helvetica;Sans-Serif"/>
                                  <w:color w:val="58595B"/>
                                  <w:sz w:val="18"/>
                                </w:rPr>
                                <w:t>Pay Versus Performance Table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55</w:t>
                            </w:r>
                          </w:p>
                        </w:tc>
                      </w:tr>
                      <w:tr>
                        <w:trPr/>
                        <w:tc>
                          <w:tcPr>
                            <w:tcW w:w="9960" w:type="dxa"/>
                            <w:tcBorders/>
                            <w:shd w:fill="auto" w:val="clear"/>
                            <w:vAlign w:val="center"/>
                          </w:tcPr>
                          <w:p>
                            <w:pPr>
                              <w:pStyle w:val="TableContents"/>
                              <w:spacing w:before="0" w:after="283"/>
                              <w:rPr/>
                            </w:pPr>
                            <w:hyperlink w:anchor="a083">
                              <w:r>
                                <w:rPr>
                                  <w:rStyle w:val="InternetLink"/>
                                  <w:rFonts w:ascii="Arial;Helvetica;Sans-Serif" w:hAnsi="Arial;Helvetica;Sans-Serif"/>
                                  <w:color w:val="58595B"/>
                                  <w:sz w:val="18"/>
                                </w:rPr>
                                <w:t>TSR and Peer TSR vs. Compensation Actually Paid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56</w:t>
                            </w:r>
                          </w:p>
                        </w:tc>
                      </w:tr>
                      <w:tr>
                        <w:trPr/>
                        <w:tc>
                          <w:tcPr>
                            <w:tcW w:w="9960" w:type="dxa"/>
                            <w:tcBorders/>
                            <w:shd w:fill="auto" w:val="clear"/>
                            <w:vAlign w:val="center"/>
                          </w:tcPr>
                          <w:p>
                            <w:pPr>
                              <w:pStyle w:val="TableContents"/>
                              <w:spacing w:before="0" w:after="283"/>
                              <w:rPr/>
                            </w:pPr>
                            <w:hyperlink w:anchor="a084">
                              <w:r>
                                <w:rPr>
                                  <w:rStyle w:val="InternetLink"/>
                                  <w:rFonts w:ascii="Arial;Helvetica;Sans-Serif" w:hAnsi="Arial;Helvetica;Sans-Serif"/>
                                  <w:color w:val="58595B"/>
                                  <w:sz w:val="18"/>
                                </w:rPr>
                                <w:t>Net Income vs. Compensation Actually Paid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56</w:t>
                            </w:r>
                          </w:p>
                        </w:tc>
                      </w:tr>
                      <w:tr>
                        <w:trPr/>
                        <w:tc>
                          <w:tcPr>
                            <w:tcW w:w="9960" w:type="dxa"/>
                            <w:tcBorders/>
                            <w:shd w:fill="auto" w:val="clear"/>
                            <w:vAlign w:val="center"/>
                          </w:tcPr>
                          <w:p>
                            <w:pPr>
                              <w:pStyle w:val="TableContents"/>
                              <w:spacing w:before="0" w:after="283"/>
                              <w:rPr/>
                            </w:pPr>
                            <w:hyperlink w:anchor="a085">
                              <w:r>
                                <w:rPr>
                                  <w:rStyle w:val="InternetLink"/>
                                  <w:rFonts w:ascii="Arial;Helvetica;Sans-Serif" w:hAnsi="Arial;Helvetica;Sans-Serif"/>
                                  <w:color w:val="58595B"/>
                                  <w:sz w:val="18"/>
                                </w:rPr>
                                <w:t>Adjusted EPS vs. Compensation Actually Paid</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56</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6">
                              <w:r>
                                <w:rPr>
                                  <w:rStyle w:val="InternetLink"/>
                                </w:rPr>
                                <w:t>12.</w:t>
                              </w:r>
                            </w:hyperlink>
                            <w:r>
                              <w:rPr>
                                <w:rFonts w:ascii="Arial;Helvetica;Sans-Serif" w:hAnsi="Arial;Helvetica;Sans-Serif"/>
                                <w:b/>
                                <w:color w:val="EE0027"/>
                                <w:sz w:val="18"/>
                              </w:rPr>
                              <w:t xml:space="preserve"> </w:t>
                            </w:r>
                            <w:hyperlink w:anchor="a086">
                              <w:r>
                                <w:rPr>
                                  <w:rStyle w:val="InternetLink"/>
                                  <w:rFonts w:ascii="Arial;Helvetica;Sans-Serif" w:hAnsi="Arial;Helvetica;Sans-Serif"/>
                                  <w:b w:val="false"/>
                                  <w:color w:val="EE0027"/>
                                  <w:sz w:val="18"/>
                                </w:rPr>
                                <w:t>CERTAIN RELATIONSHIPS AND RELATED-PARTY TRANSACTIONS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57</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7">
                              <w:r>
                                <w:rPr>
                                  <w:rStyle w:val="InternetLink"/>
                                </w:rPr>
                                <w:t>13.</w:t>
                              </w:r>
                            </w:hyperlink>
                            <w:r>
                              <w:rPr>
                                <w:rFonts w:ascii="Arial;Helvetica;Sans-Serif" w:hAnsi="Arial;Helvetica;Sans-Serif"/>
                                <w:b/>
                                <w:color w:val="EE0027"/>
                                <w:sz w:val="18"/>
                              </w:rPr>
                              <w:t xml:space="preserve"> </w:t>
                            </w:r>
                            <w:hyperlink w:anchor="a087">
                              <w:r>
                                <w:rPr>
                                  <w:rStyle w:val="InternetLink"/>
                                  <w:rFonts w:ascii="Arial;Helvetica;Sans-Serif" w:hAnsi="Arial;Helvetica;Sans-Serif"/>
                                  <w:b w:val="false"/>
                                  <w:color w:val="EE0027"/>
                                  <w:sz w:val="18"/>
                                </w:rPr>
                                <w:t>DELINQUENT SECTION 16(A) REPORTS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57</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8">
                              <w:r>
                                <w:rPr>
                                  <w:rStyle w:val="InternetLink"/>
                                </w:rPr>
                                <w:t>14.</w:t>
                              </w:r>
                            </w:hyperlink>
                            <w:r>
                              <w:rPr>
                                <w:rFonts w:ascii="Arial;Helvetica;Sans-Serif" w:hAnsi="Arial;Helvetica;Sans-Serif"/>
                                <w:b/>
                                <w:color w:val="EE0027"/>
                                <w:sz w:val="18"/>
                              </w:rPr>
                              <w:t xml:space="preserve"> </w:t>
                            </w:r>
                            <w:hyperlink w:anchor="a088">
                              <w:r>
                                <w:rPr>
                                  <w:rStyle w:val="InternetLink"/>
                                  <w:rFonts w:ascii="Arial;Helvetica;Sans-Serif" w:hAnsi="Arial;Helvetica;Sans-Serif"/>
                                  <w:b w:val="false"/>
                                  <w:color w:val="EE0027"/>
                                  <w:sz w:val="18"/>
                                </w:rPr>
                                <w:t>FIVE YEAR STOCK PERFORMANCE GRAPH</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57</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89">
                              <w:r>
                                <w:rPr>
                                  <w:rStyle w:val="InternetLink"/>
                                </w:rPr>
                                <w:t>15.</w:t>
                              </w:r>
                            </w:hyperlink>
                            <w:r>
                              <w:rPr>
                                <w:rFonts w:ascii="Arial;Helvetica;Sans-Serif" w:hAnsi="Arial;Helvetica;Sans-Serif"/>
                                <w:b/>
                                <w:color w:val="EE0027"/>
                                <w:sz w:val="18"/>
                              </w:rPr>
                              <w:t xml:space="preserve"> </w:t>
                            </w:r>
                            <w:hyperlink w:anchor="a089">
                              <w:r>
                                <w:rPr>
                                  <w:rStyle w:val="InternetLink"/>
                                  <w:rFonts w:ascii="Arial;Helvetica;Sans-Serif" w:hAnsi="Arial;Helvetica;Sans-Serif"/>
                                  <w:b w:val="false"/>
                                  <w:color w:val="EE0027"/>
                                  <w:sz w:val="18"/>
                                </w:rPr>
                                <w:t>AUDIT COMMITTEE REPORT</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58</w:t>
                            </w:r>
                          </w:p>
                        </w:tc>
                      </w:tr>
                      <w:tr>
                        <w:trPr/>
                        <w:tc>
                          <w:tcPr>
                            <w:tcW w:w="9960" w:type="dxa"/>
                            <w:tcBorders/>
                            <w:shd w:fill="auto" w:val="clear"/>
                            <w:vAlign w:val="center"/>
                          </w:tcPr>
                          <w:p>
                            <w:pPr>
                              <w:pStyle w:val="TableContents"/>
                              <w:spacing w:before="0" w:after="283"/>
                              <w:rPr/>
                            </w:pPr>
                            <w:hyperlink w:anchor="a090">
                              <w:r>
                                <w:rPr>
                                  <w:rStyle w:val="InternetLink"/>
                                  <w:rFonts w:ascii="Arial;Helvetica;Sans-Serif" w:hAnsi="Arial;Helvetica;Sans-Serif"/>
                                  <w:color w:val="58595B"/>
                                  <w:sz w:val="18"/>
                                </w:rPr>
                                <w:t>Audit Committee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59</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91">
                              <w:r>
                                <w:rPr>
                                  <w:rStyle w:val="InternetLink"/>
                                </w:rPr>
                                <w:t>16.</w:t>
                              </w:r>
                            </w:hyperlink>
                            <w:r>
                              <w:rPr>
                                <w:rFonts w:ascii="Arial;Helvetica;Sans-Serif" w:hAnsi="Arial;Helvetica;Sans-Serif"/>
                                <w:b/>
                                <w:color w:val="EE0027"/>
                                <w:sz w:val="18"/>
                              </w:rPr>
                              <w:t xml:space="preserve"> </w:t>
                            </w:r>
                            <w:hyperlink w:anchor="a091">
                              <w:r>
                                <w:rPr>
                                  <w:rStyle w:val="InternetLink"/>
                                  <w:rFonts w:ascii="Arial;Helvetica;Sans-Serif" w:hAnsi="Arial;Helvetica;Sans-Serif"/>
                                  <w:b w:val="false"/>
                                  <w:color w:val="EE0027"/>
                                  <w:sz w:val="18"/>
                                </w:rPr>
                                <w:t>AUDIT MATTERS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2">
                              <w:r>
                                <w:rPr>
                                  <w:rStyle w:val="InternetLink"/>
                                  <w:rFonts w:ascii="Arial;Helvetica;Sans-Serif" w:hAnsi="Arial;Helvetica;Sans-Serif"/>
                                  <w:color w:val="58595B"/>
                                  <w:sz w:val="18"/>
                                </w:rPr>
                                <w:t>Fees Billed by Ernst &amp; Young LLP</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3">
                              <w:r>
                                <w:rPr>
                                  <w:rStyle w:val="InternetLink"/>
                                  <w:rFonts w:ascii="Arial;Helvetica;Sans-Serif" w:hAnsi="Arial;Helvetica;Sans-Serif"/>
                                  <w:color w:val="58595B"/>
                                  <w:sz w:val="18"/>
                                </w:rPr>
                                <w:t>Audit Fees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4">
                              <w:r>
                                <w:rPr>
                                  <w:rStyle w:val="InternetLink"/>
                                  <w:rFonts w:ascii="Arial;Helvetica;Sans-Serif" w:hAnsi="Arial;Helvetica;Sans-Serif"/>
                                  <w:color w:val="58595B"/>
                                  <w:sz w:val="18"/>
                                </w:rPr>
                                <w:t>Audit Related Fees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5">
                              <w:r>
                                <w:rPr>
                                  <w:rStyle w:val="InternetLink"/>
                                  <w:rFonts w:ascii="Arial;Helvetica;Sans-Serif" w:hAnsi="Arial;Helvetica;Sans-Serif"/>
                                  <w:color w:val="58595B"/>
                                  <w:sz w:val="18"/>
                                </w:rPr>
                                <w:t>Tax Fees and All Other Fees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hyperlink w:anchor="a096">
                              <w:r>
                                <w:rPr>
                                  <w:rStyle w:val="InternetLink"/>
                                  <w:rFonts w:ascii="Arial;Helvetica;Sans-Serif" w:hAnsi="Arial;Helvetica;Sans-Serif"/>
                                  <w:color w:val="58595B"/>
                                  <w:sz w:val="18"/>
                                </w:rPr>
                                <w:t>Policy on Audit Committee Pre-Approval of Audit and Permissible Non-Audit Services of Independent Auditor</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60</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97">
                              <w:r>
                                <w:rPr>
                                  <w:rStyle w:val="InternetLink"/>
                                </w:rPr>
                                <w:t>17.</w:t>
                              </w:r>
                            </w:hyperlink>
                            <w:r>
                              <w:rPr>
                                <w:rFonts w:ascii="Arial;Helvetica;Sans-Serif" w:hAnsi="Arial;Helvetica;Sans-Serif"/>
                                <w:b/>
                                <w:color w:val="EE0027"/>
                                <w:sz w:val="18"/>
                              </w:rPr>
                              <w:t xml:space="preserve"> </w:t>
                            </w:r>
                            <w:hyperlink w:anchor="a097">
                              <w:r>
                                <w:rPr>
                                  <w:rStyle w:val="InternetLink"/>
                                  <w:rFonts w:ascii="Arial;Helvetica;Sans-Serif" w:hAnsi="Arial;Helvetica;Sans-Serif"/>
                                  <w:b w:val="false"/>
                                  <w:color w:val="EE0027"/>
                                  <w:sz w:val="18"/>
                                </w:rPr>
                                <w:t>PROPOSAL 1: ELECTION OF DIRECTORS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61</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98">
                              <w:r>
                                <w:rPr>
                                  <w:rStyle w:val="InternetLink"/>
                                </w:rPr>
                                <w:t>18.</w:t>
                              </w:r>
                            </w:hyperlink>
                            <w:r>
                              <w:rPr>
                                <w:rFonts w:ascii="Arial;Helvetica;Sans-Serif" w:hAnsi="Arial;Helvetica;Sans-Serif"/>
                                <w:b/>
                                <w:color w:val="EE0027"/>
                                <w:sz w:val="18"/>
                              </w:rPr>
                              <w:t xml:space="preserve"> </w:t>
                            </w:r>
                            <w:hyperlink w:anchor="a098">
                              <w:r>
                                <w:rPr>
                                  <w:rStyle w:val="InternetLink"/>
                                  <w:rFonts w:ascii="Arial;Helvetica;Sans-Serif" w:hAnsi="Arial;Helvetica;Sans-Serif"/>
                                  <w:b w:val="false"/>
                                  <w:color w:val="EE0027"/>
                                  <w:sz w:val="18"/>
                                </w:rPr>
                                <w:t>PROPOSAL 2: RATIFICATION OF ERNST &amp; YOUNG LLP AS OUR INDEPENDENT REGISTERED PUBLIC ACCOUNTING FIRM FOR FISCAL YEAR 2023</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61</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099">
                              <w:r>
                                <w:rPr>
                                  <w:rStyle w:val="InternetLink"/>
                                </w:rPr>
                                <w:t>19.</w:t>
                              </w:r>
                            </w:hyperlink>
                            <w:r>
                              <w:rPr>
                                <w:rFonts w:ascii="Arial;Helvetica;Sans-Serif" w:hAnsi="Arial;Helvetica;Sans-Serif"/>
                                <w:b/>
                                <w:color w:val="EE0027"/>
                                <w:sz w:val="18"/>
                              </w:rPr>
                              <w:t xml:space="preserve"> </w:t>
                            </w:r>
                            <w:hyperlink w:anchor="a099">
                              <w:r>
                                <w:rPr>
                                  <w:rStyle w:val="InternetLink"/>
                                  <w:rFonts w:ascii="Arial;Helvetica;Sans-Serif" w:hAnsi="Arial;Helvetica;Sans-Serif"/>
                                  <w:b w:val="false"/>
                                  <w:color w:val="EE0027"/>
                                  <w:sz w:val="18"/>
                                </w:rPr>
                                <w:t>PROPOSAL 3: ADVISORY VOTE TO APPROVE NAMED EXECUTIVE OFFICER COMPENSATION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62</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100">
                              <w:r>
                                <w:rPr>
                                  <w:rStyle w:val="InternetLink"/>
                                </w:rPr>
                                <w:t>20.</w:t>
                              </w:r>
                            </w:hyperlink>
                            <w:r>
                              <w:rPr>
                                <w:rFonts w:ascii="Arial;Helvetica;Sans-Serif" w:hAnsi="Arial;Helvetica;Sans-Serif"/>
                                <w:b/>
                                <w:color w:val="EE0027"/>
                                <w:sz w:val="18"/>
                              </w:rPr>
                              <w:t xml:space="preserve"> </w:t>
                            </w:r>
                            <w:hyperlink w:anchor="a100">
                              <w:r>
                                <w:rPr>
                                  <w:rStyle w:val="InternetLink"/>
                                  <w:rFonts w:ascii="Arial;Helvetica;Sans-Serif" w:hAnsi="Arial;Helvetica;Sans-Serif"/>
                                  <w:b w:val="false"/>
                                  <w:color w:val="EE0027"/>
                                  <w:sz w:val="18"/>
                                </w:rPr>
                                <w:t>PROPOSAL 4: ADVISORY VOTE TO APPROVE THE FREQUENCY OF SHAREHOLDER VOTING ON COMPENSATION OF NAMED EXECUTIVE OFFICERS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62</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101">
                              <w:r>
                                <w:rPr>
                                  <w:rStyle w:val="InternetLink"/>
                                </w:rPr>
                                <w:t>21.</w:t>
                              </w:r>
                            </w:hyperlink>
                            <w:r>
                              <w:rPr>
                                <w:rFonts w:ascii="Arial;Helvetica;Sans-Serif" w:hAnsi="Arial;Helvetica;Sans-Serif"/>
                                <w:b/>
                                <w:color w:val="EE0027"/>
                                <w:sz w:val="18"/>
                              </w:rPr>
                              <w:t xml:space="preserve"> </w:t>
                            </w:r>
                            <w:hyperlink w:anchor="a101">
                              <w:r>
                                <w:rPr>
                                  <w:rStyle w:val="InternetLink"/>
                                  <w:rFonts w:ascii="Arial;Helvetica;Sans-Serif" w:hAnsi="Arial;Helvetica;Sans-Serif"/>
                                  <w:b w:val="false"/>
                                  <w:color w:val="EE0027"/>
                                  <w:sz w:val="18"/>
                                </w:rPr>
                                <w:t>PROPOSAL 5: PROPOSAL TO AMEND THE SHAREHOLDERS’ RIGHT TO CALL A SPECIAL MEETING</w:t>
                              </w:r>
                            </w:hyperlink>
                          </w:p>
                        </w:tc>
                        <w:tc>
                          <w:tcPr>
                            <w:tcW w:w="245" w:type="dxa"/>
                            <w:tcBorders/>
                            <w:shd w:fill="auto" w:val="clear"/>
                            <w:vAlign w:val="center"/>
                          </w:tcPr>
                          <w:p>
                            <w:pPr>
                              <w:pStyle w:val="TableContents"/>
                              <w:spacing w:before="0" w:after="283"/>
                              <w:jc w:val="right"/>
                              <w:rPr>
                                <w:rFonts w:ascii="Arial;Helvetica;Sans-Serif" w:hAnsi="Arial;Helvetica;Sans-Serif"/>
                                <w:sz w:val="18"/>
                              </w:rPr>
                            </w:pPr>
                            <w:r>
                              <w:rPr>
                                <w:rFonts w:ascii="Arial;Helvetica;Sans-Serif" w:hAnsi="Arial;Helvetica;Sans-Serif"/>
                                <w:sz w:val="18"/>
                              </w:rPr>
                              <w:t>63</w:t>
                            </w:r>
                          </w:p>
                        </w:tc>
                      </w:tr>
                      <w:tr>
                        <w:trPr/>
                        <w:tc>
                          <w:tcPr>
                            <w:tcW w:w="9960" w:type="dxa"/>
                            <w:tcBorders/>
                            <w:shd w:fill="auto" w:val="clear"/>
                            <w:vAlign w:val="center"/>
                          </w:tcPr>
                          <w:p>
                            <w:pPr>
                              <w:pStyle w:val="TableContents"/>
                              <w:spacing w:before="0" w:after="283"/>
                              <w:rPr/>
                            </w:pPr>
                            <w:hyperlink w:anchor="a102">
                              <w:r>
                                <w:rPr>
                                  <w:rStyle w:val="InternetLink"/>
                                  <w:rFonts w:ascii="Arial;Helvetica;Sans-Serif" w:hAnsi="Arial;Helvetica;Sans-Serif"/>
                                  <w:sz w:val="18"/>
                                </w:rPr>
                                <w:t>Proposal 5 — Special Shareholder Meeting Improvement</w:t>
                              </w:r>
                            </w:hyperlink>
                          </w:p>
                        </w:tc>
                        <w:tc>
                          <w:tcPr>
                            <w:tcW w:w="245" w:type="dxa"/>
                            <w:tcBorders/>
                            <w:shd w:fill="auto" w:val="clear"/>
                            <w:vAlign w:val="center"/>
                          </w:tcPr>
                          <w:p>
                            <w:pPr>
                              <w:pStyle w:val="TableContents"/>
                              <w:spacing w:before="0" w:after="283"/>
                              <w:jc w:val="right"/>
                              <w:rPr>
                                <w:rFonts w:ascii="Arial;Helvetica;Sans-Serif" w:hAnsi="Arial;Helvetica;Sans-Serif"/>
                                <w:sz w:val="18"/>
                              </w:rPr>
                            </w:pPr>
                            <w:r>
                              <w:rPr>
                                <w:rFonts w:ascii="Arial;Helvetica;Sans-Serif" w:hAnsi="Arial;Helvetica;Sans-Serif"/>
                                <w:sz w:val="18"/>
                              </w:rPr>
                              <w:t>63</w:t>
                            </w:r>
                          </w:p>
                        </w:tc>
                      </w:tr>
                      <w:tr>
                        <w:trPr/>
                        <w:tc>
                          <w:tcPr>
                            <w:tcW w:w="9960" w:type="dxa"/>
                            <w:tcBorders/>
                            <w:shd w:fill="auto" w:val="clear"/>
                            <w:vAlign w:val="center"/>
                          </w:tcPr>
                          <w:p>
                            <w:pPr>
                              <w:pStyle w:val="TableContents"/>
                              <w:spacing w:before="0" w:after="283"/>
                              <w:rPr/>
                            </w:pPr>
                            <w:hyperlink w:anchor="a103">
                              <w:r>
                                <w:rPr>
                                  <w:rStyle w:val="InternetLink"/>
                                  <w:rFonts w:ascii="Arial;Helvetica;Sans-Serif" w:hAnsi="Arial;Helvetica;Sans-Serif"/>
                                  <w:color w:val="58595B"/>
                                  <w:sz w:val="18"/>
                                </w:rPr>
                                <w:t>Other Business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64</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104">
                              <w:r>
                                <w:rPr>
                                  <w:rStyle w:val="InternetLink"/>
                                </w:rPr>
                                <w:t>22.</w:t>
                              </w:r>
                            </w:hyperlink>
                            <w:r>
                              <w:rPr>
                                <w:rFonts w:ascii="Arial;Helvetica;Sans-Serif" w:hAnsi="Arial;Helvetica;Sans-Serif"/>
                                <w:b/>
                                <w:color w:val="EE0027"/>
                                <w:sz w:val="18"/>
                              </w:rPr>
                              <w:t xml:space="preserve"> </w:t>
                            </w:r>
                            <w:hyperlink w:anchor="a104">
                              <w:r>
                                <w:rPr>
                                  <w:rStyle w:val="InternetLink"/>
                                  <w:rFonts w:ascii="Arial;Helvetica;Sans-Serif" w:hAnsi="Arial;Helvetica;Sans-Serif"/>
                                  <w:b w:val="false"/>
                                  <w:color w:val="EE0027"/>
                                  <w:sz w:val="18"/>
                                </w:rPr>
                                <w:t>ADDITIONAL INFORMATION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64</w:t>
                            </w:r>
                          </w:p>
                        </w:tc>
                      </w:tr>
                      <w:tr>
                        <w:trPr/>
                        <w:tc>
                          <w:tcPr>
                            <w:tcW w:w="9960" w:type="dxa"/>
                            <w:tcBorders/>
                            <w:shd w:fill="auto" w:val="clear"/>
                            <w:vAlign w:val="center"/>
                          </w:tcPr>
                          <w:p>
                            <w:pPr>
                              <w:pStyle w:val="TableContents"/>
                              <w:spacing w:before="0" w:after="283"/>
                              <w:rPr/>
                            </w:pPr>
                            <w:hyperlink w:anchor="a105">
                              <w:r>
                                <w:rPr>
                                  <w:rStyle w:val="InternetLink"/>
                                  <w:rFonts w:ascii="Arial;Helvetica;Sans-Serif" w:hAnsi="Arial;Helvetica;Sans-Serif"/>
                                  <w:color w:val="58595B"/>
                                  <w:sz w:val="18"/>
                                </w:rPr>
                                <w:t>Shareholder Proposals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64</w:t>
                            </w:r>
                          </w:p>
                        </w:tc>
                      </w:tr>
                      <w:tr>
                        <w:trPr/>
                        <w:tc>
                          <w:tcPr>
                            <w:tcW w:w="9960" w:type="dxa"/>
                            <w:tcBorders/>
                            <w:shd w:fill="auto" w:val="clear"/>
                            <w:vAlign w:val="center"/>
                          </w:tcPr>
                          <w:p>
                            <w:pPr>
                              <w:pStyle w:val="TableContents"/>
                              <w:spacing w:before="0" w:after="283"/>
                              <w:rPr/>
                            </w:pPr>
                            <w:hyperlink w:anchor="a106">
                              <w:r>
                                <w:rPr>
                                  <w:rStyle w:val="InternetLink"/>
                                  <w:rFonts w:ascii="Arial;Helvetica;Sans-Serif" w:hAnsi="Arial;Helvetica;Sans-Serif"/>
                                  <w:color w:val="58595B"/>
                                  <w:sz w:val="18"/>
                                </w:rPr>
                                <w:t>Solicitation of Proxies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65</w:t>
                            </w:r>
                          </w:p>
                        </w:tc>
                      </w:tr>
                      <w:tr>
                        <w:trPr/>
                        <w:tc>
                          <w:tcPr>
                            <w:tcW w:w="9960" w:type="dxa"/>
                            <w:tcBorders/>
                            <w:shd w:fill="auto" w:val="clear"/>
                            <w:vAlign w:val="center"/>
                          </w:tcPr>
                          <w:p>
                            <w:pPr>
                              <w:pStyle w:val="TableContents"/>
                              <w:spacing w:before="0" w:after="283"/>
                              <w:rPr/>
                            </w:pPr>
                            <w:hyperlink w:anchor="a107">
                              <w:r>
                                <w:rPr>
                                  <w:rStyle w:val="InternetLink"/>
                                  <w:rFonts w:ascii="Arial;Helvetica;Sans-Serif" w:hAnsi="Arial;Helvetica;Sans-Serif"/>
                                  <w:color w:val="58595B"/>
                                  <w:sz w:val="18"/>
                                </w:rPr>
                                <w:t>Voting Procedures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65</w:t>
                            </w:r>
                          </w:p>
                        </w:tc>
                      </w:tr>
                      <w:tr>
                        <w:trPr/>
                        <w:tc>
                          <w:tcPr>
                            <w:tcW w:w="9960" w:type="dxa"/>
                            <w:tcBorders/>
                            <w:shd w:fill="auto" w:val="clear"/>
                            <w:vAlign w:val="center"/>
                          </w:tcPr>
                          <w:p>
                            <w:pPr>
                              <w:pStyle w:val="TableContents"/>
                              <w:spacing w:before="0" w:after="283"/>
                              <w:rPr/>
                            </w:pPr>
                            <w:hyperlink w:anchor="a108">
                              <w:r>
                                <w:rPr>
                                  <w:rStyle w:val="InternetLink"/>
                                  <w:rFonts w:ascii="Arial;Helvetica;Sans-Serif" w:hAnsi="Arial;Helvetica;Sans-Serif"/>
                                  <w:color w:val="58595B"/>
                                  <w:sz w:val="18"/>
                                </w:rPr>
                                <w:t>Where to Find More Proxy Voting Information:</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66</w:t>
                            </w:r>
                          </w:p>
                        </w:tc>
                      </w:tr>
                      <w:tr>
                        <w:trPr/>
                        <w:tc>
                          <w:tcPr>
                            <w:tcW w:w="9960" w:type="dxa"/>
                            <w:tcBorders/>
                            <w:shd w:fill="auto" w:val="clear"/>
                            <w:vAlign w:val="center"/>
                          </w:tcPr>
                          <w:p>
                            <w:pPr>
                              <w:pStyle w:val="TableContents"/>
                              <w:spacing w:before="0" w:after="283"/>
                              <w:rPr/>
                            </w:pPr>
                            <w:hyperlink w:anchor="a109">
                              <w:r>
                                <w:rPr>
                                  <w:rStyle w:val="InternetLink"/>
                                  <w:rFonts w:ascii="Arial;Helvetica;Sans-Serif" w:hAnsi="Arial;Helvetica;Sans-Serif"/>
                                  <w:color w:val="58595B"/>
                                  <w:sz w:val="18"/>
                                </w:rPr>
                                <w:t>Householding of Proxy Materials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66</w:t>
                            </w:r>
                          </w:p>
                        </w:tc>
                      </w:tr>
                      <w:tr>
                        <w:trPr/>
                        <w:tc>
                          <w:tcPr>
                            <w:tcW w:w="9960" w:type="dxa"/>
                            <w:tcBorders/>
                            <w:shd w:fill="auto" w:val="clear"/>
                            <w:vAlign w:val="center"/>
                          </w:tcPr>
                          <w:p>
                            <w:pPr>
                              <w:pStyle w:val="TableContents"/>
                              <w:spacing w:before="0" w:after="283"/>
                              <w:rPr/>
                            </w:pPr>
                            <w:r>
                              <w:rPr/>
                              <w:t> </w:t>
                            </w:r>
                          </w:p>
                        </w:tc>
                        <w:tc>
                          <w:tcPr>
                            <w:tcW w:w="245" w:type="dxa"/>
                            <w:tcBorders/>
                            <w:shd w:fill="auto" w:val="clear"/>
                            <w:vAlign w:val="center"/>
                          </w:tcPr>
                          <w:p>
                            <w:pPr>
                              <w:pStyle w:val="TableContents"/>
                              <w:spacing w:before="0" w:after="283"/>
                              <w:jc w:val="right"/>
                              <w:rPr/>
                            </w:pPr>
                            <w:r>
                              <w:rPr/>
                              <w:t> </w:t>
                            </w:r>
                          </w:p>
                        </w:tc>
                      </w:tr>
                      <w:tr>
                        <w:trPr/>
                        <w:tc>
                          <w:tcPr>
                            <w:tcW w:w="9960" w:type="dxa"/>
                            <w:tcBorders/>
                            <w:shd w:fill="auto" w:val="clear"/>
                            <w:vAlign w:val="center"/>
                          </w:tcPr>
                          <w:p>
                            <w:pPr>
                              <w:pStyle w:val="TableContents"/>
                              <w:spacing w:before="0" w:after="283"/>
                              <w:rPr/>
                            </w:pPr>
                            <w:hyperlink w:anchor="a110">
                              <w:r>
                                <w:rPr>
                                  <w:rStyle w:val="InternetLink"/>
                                </w:rPr>
                                <w:t>23.</w:t>
                              </w:r>
                            </w:hyperlink>
                            <w:r>
                              <w:rPr>
                                <w:rFonts w:ascii="Arial;Helvetica;Sans-Serif" w:hAnsi="Arial;Helvetica;Sans-Serif"/>
                                <w:b/>
                                <w:color w:val="EE0027"/>
                                <w:sz w:val="18"/>
                              </w:rPr>
                              <w:t xml:space="preserve"> </w:t>
                            </w:r>
                            <w:hyperlink w:anchor="a110">
                              <w:r>
                                <w:rPr>
                                  <w:rStyle w:val="InternetLink"/>
                                  <w:rFonts w:ascii="Arial;Helvetica;Sans-Serif" w:hAnsi="Arial;Helvetica;Sans-Serif"/>
                                  <w:b w:val="false"/>
                                  <w:color w:val="EE0027"/>
                                  <w:sz w:val="18"/>
                                </w:rPr>
                                <w:t>APPENDIX A:</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67</w:t>
                            </w:r>
                          </w:p>
                        </w:tc>
                      </w:tr>
                      <w:tr>
                        <w:trPr/>
                        <w:tc>
                          <w:tcPr>
                            <w:tcW w:w="9960" w:type="dxa"/>
                            <w:tcBorders/>
                            <w:shd w:fill="auto" w:val="clear"/>
                            <w:vAlign w:val="center"/>
                          </w:tcPr>
                          <w:p>
                            <w:pPr>
                              <w:pStyle w:val="TableContents"/>
                              <w:spacing w:before="0" w:after="283"/>
                              <w:rPr/>
                            </w:pPr>
                            <w:hyperlink w:anchor="a111">
                              <w:r>
                                <w:rPr>
                                  <w:rStyle w:val="InternetLink"/>
                                  <w:rFonts w:ascii="Arial;Helvetica;Sans-Serif" w:hAnsi="Arial;Helvetica;Sans-Serif"/>
                                  <w:color w:val="58595B"/>
                                  <w:sz w:val="18"/>
                                </w:rPr>
                                <w:t>Management’s Use of Non-GAAP Financial Measures</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67</w:t>
                            </w:r>
                          </w:p>
                        </w:tc>
                      </w:tr>
                      <w:tr>
                        <w:trPr/>
                        <w:tc>
                          <w:tcPr>
                            <w:tcW w:w="9960" w:type="dxa"/>
                            <w:tcBorders/>
                            <w:shd w:fill="auto" w:val="clear"/>
                            <w:vAlign w:val="center"/>
                          </w:tcPr>
                          <w:p>
                            <w:pPr>
                              <w:pStyle w:val="TableContents"/>
                              <w:spacing w:before="0" w:after="283"/>
                              <w:rPr/>
                            </w:pPr>
                            <w:hyperlink w:anchor="a112">
                              <w:r>
                                <w:rPr>
                                  <w:rStyle w:val="InternetLink"/>
                                  <w:rFonts w:ascii="Arial;Helvetica;Sans-Serif" w:hAnsi="Arial;Helvetica;Sans-Serif"/>
                                  <w:color w:val="58595B"/>
                                  <w:sz w:val="18"/>
                                </w:rPr>
                                <w:t>Adjusted Net Income and Adjusted Net Income Per Diluted Share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67</w:t>
                            </w:r>
                          </w:p>
                        </w:tc>
                      </w:tr>
                      <w:tr>
                        <w:trPr/>
                        <w:tc>
                          <w:tcPr>
                            <w:tcW w:w="9960" w:type="dxa"/>
                            <w:tcBorders/>
                            <w:shd w:fill="auto" w:val="clear"/>
                            <w:vAlign w:val="center"/>
                          </w:tcPr>
                          <w:p>
                            <w:pPr>
                              <w:pStyle w:val="TableContents"/>
                              <w:spacing w:before="0" w:after="283"/>
                              <w:rPr/>
                            </w:pPr>
                            <w:hyperlink w:anchor="a113">
                              <w:r>
                                <w:rPr>
                                  <w:rStyle w:val="InternetLink"/>
                                  <w:rFonts w:ascii="Arial;Helvetica;Sans-Serif" w:hAnsi="Arial;Helvetica;Sans-Serif"/>
                                  <w:color w:val="58595B"/>
                                  <w:sz w:val="18"/>
                                </w:rPr>
                                <w:t>Reconciliation of Net Income to Pro Forma Adjusted Net Income</w:t>
                              </w:r>
                            </w:hyperlink>
                          </w:p>
                        </w:tc>
                        <w:tc>
                          <w:tcPr>
                            <w:tcW w:w="245" w:type="dxa"/>
                            <w:tcBorders/>
                            <w:shd w:fill="auto" w:val="clear"/>
                            <w:vAlign w:val="center"/>
                          </w:tcPr>
                          <w:p>
                            <w:pPr>
                              <w:pStyle w:val="TableContents"/>
                              <w:spacing w:before="0" w:after="283"/>
                              <w:jc w:val="right"/>
                              <w:rPr>
                                <w:rFonts w:ascii="Arial;Helvetica;Sans-Serif" w:hAnsi="Arial;Helvetica;Sans-Serif"/>
                                <w:color w:val="58595B"/>
                                <w:sz w:val="18"/>
                              </w:rPr>
                            </w:pPr>
                            <w:r>
                              <w:rPr>
                                <w:rFonts w:ascii="Arial;Helvetica;Sans-Serif" w:hAnsi="Arial;Helvetica;Sans-Serif"/>
                                <w:color w:val="58595B"/>
                                <w:sz w:val="18"/>
                              </w:rPr>
                              <w:t>69</w:t>
                            </w:r>
                          </w:p>
                        </w:tc>
                      </w:tr>
                    </w:tbl>
                    <w:p>
                      <w:pPr>
                        <w:pStyle w:val="TextBody"/>
                        <w:spacing w:before="0" w:after="283"/>
                        <w:rPr/>
                      </w:pPr>
                      <w:r>
                        <w:rPr/>
                      </w:r>
                    </w:p>
                  </w:txbxContent>
                </v:textbox>
                <w10:wrap type="square" side="left"/>
              </v:rect>
            </w:pict>
          </mc:Fallback>
        </mc:AlternateContent>
      </w:r>
    </w:p>
    <w:p>
      <w:pPr>
        <w:pStyle w:val="TextBody"/>
        <w:rPr/>
      </w:pPr>
      <w:r>
        <w:rPr/>
      </w:r>
    </w:p>
    <w:tbl>
      <w:tblPr>
        <w:tblW w:w="3775" w:type="dxa"/>
        <w:jc w:val="left"/>
        <w:tblInd w:w="0" w:type="dxa"/>
        <w:tblCellMar>
          <w:top w:w="0" w:type="dxa"/>
          <w:left w:w="0" w:type="dxa"/>
          <w:bottom w:w="0" w:type="dxa"/>
          <w:right w:w="0" w:type="dxa"/>
        </w:tblCellMar>
      </w:tblPr>
      <w:tblGrid>
        <w:gridCol w:w="125"/>
        <w:gridCol w:w="3650"/>
      </w:tblGrid>
      <w:tr>
        <w:trPr/>
        <w:tc>
          <w:tcPr>
            <w:tcW w:w="12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4</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bookmarkStart w:id="0" w:name="a001"/>
      <w:bookmarkEnd w:id="0"/>
      <w:r>
        <w:rPr>
          <w:rFonts w:ascii="Arial;Helvetica;Sans-Serif" w:hAnsi="Arial;Helvetica;Sans-Serif"/>
          <w:b/>
          <w:i w:val="false"/>
          <w:caps w:val="false"/>
          <w:smallCaps w:val="false"/>
          <w:sz w:val="20"/>
        </w:rPr>
        <w:t xml:space="preserve">01. </w:t>
      </w:r>
      <w:r>
        <w:rPr>
          <w:rFonts w:ascii="Arial;Helvetica;Sans-Serif" w:hAnsi="Arial;Helvetica;Sans-Serif"/>
          <w:b w:val="false"/>
          <w:i w:val="false"/>
          <w:caps w:val="false"/>
          <w:smallCaps w:val="false"/>
          <w:color w:val="DC0021"/>
          <w:sz w:val="20"/>
        </w:rPr>
        <w:t>SUMMARY</w:t>
      </w:r>
    </w:p>
    <w:p>
      <w:pPr>
        <w:pStyle w:val="TextBody"/>
        <w:spacing w:before="0" w:after="0"/>
        <w:rPr>
          <w:caps w:val="false"/>
          <w:smallCaps w:val="false"/>
        </w:rPr>
      </w:pPr>
      <w:r>
        <w:rPr>
          <w:caps w:val="false"/>
          <w:smallCaps w:val="false"/>
        </w:rPr>
        <w:t> </w:t>
      </w:r>
    </w:p>
    <w:tbl>
      <w:tblPr>
        <w:tblW w:w="10205" w:type="dxa"/>
        <w:jc w:val="left"/>
        <w:tblInd w:w="0" w:type="dxa"/>
        <w:shd w:fill="59CBE8" w:val="clear"/>
        <w:tblCellMar>
          <w:top w:w="0" w:type="dxa"/>
          <w:left w:w="0" w:type="dxa"/>
          <w:bottom w:w="0" w:type="dxa"/>
          <w:right w:w="0" w:type="dxa"/>
        </w:tblCellMar>
      </w:tblPr>
      <w:tblGrid>
        <w:gridCol w:w="10205"/>
      </w:tblGrid>
      <w:tr>
        <w:trPr/>
        <w:tc>
          <w:tcPr>
            <w:tcW w:w="10205" w:type="dxa"/>
            <w:tcBorders/>
            <w:shd w:fill="59CBE8" w:val="clear"/>
            <w:vAlign w:val="center"/>
          </w:tcPr>
          <w:p>
            <w:pPr>
              <w:pStyle w:val="TableContents"/>
              <w:spacing w:before="0" w:after="283"/>
              <w:rPr/>
            </w:pPr>
            <w:r>
              <w:rPr/>
              <w:t> </w:t>
            </w:r>
          </w:p>
        </w:tc>
      </w:tr>
      <w:tr>
        <w:trPr/>
        <w:tc>
          <w:tcPr>
            <w:tcW w:w="10205" w:type="dxa"/>
            <w:tcBorders/>
            <w:shd w:fill="59CBE8" w:val="clear"/>
            <w:vAlign w:val="center"/>
          </w:tcPr>
          <w:p>
            <w:pPr>
              <w:pStyle w:val="TableContents"/>
              <w:spacing w:before="0" w:after="283"/>
              <w:rPr/>
            </w:pPr>
            <w:r>
              <w:rPr/>
              <w:t> </w:t>
            </w:r>
          </w:p>
        </w:tc>
      </w:tr>
      <w:tr>
        <w:trPr/>
        <w:tc>
          <w:tcPr>
            <w:tcW w:w="10205" w:type="dxa"/>
            <w:tcBorders/>
            <w:shd w:fill="59CBE8" w:val="clear"/>
            <w:vAlign w:val="center"/>
          </w:tcPr>
          <w:p>
            <w:pPr>
              <w:pStyle w:val="TableContents"/>
              <w:spacing w:before="0" w:after="283"/>
              <w:rPr>
                <w:rFonts w:ascii="Arial;Helvetica;Sans-Serif" w:hAnsi="Arial;Helvetica;Sans-Serif"/>
                <w:b/>
                <w:color w:val="FFFFFF"/>
                <w:sz w:val="24"/>
              </w:rPr>
            </w:pPr>
            <w:r>
              <w:rPr>
                <w:rFonts w:ascii="Arial;Helvetica;Sans-Serif" w:hAnsi="Arial;Helvetica;Sans-Serif"/>
                <w:b/>
                <w:color w:val="FFFFFF"/>
                <w:sz w:val="24"/>
              </w:rPr>
              <w:t>Information About Our 2023 Annual Meeting</w:t>
            </w:r>
          </w:p>
        </w:tc>
      </w:tr>
      <w:tr>
        <w:trPr/>
        <w:tc>
          <w:tcPr>
            <w:tcW w:w="10205" w:type="dxa"/>
            <w:tcBorders/>
            <w:shd w:fill="59CBE8" w:val="clear"/>
            <w:vAlign w:val="center"/>
          </w:tcPr>
          <w:p>
            <w:pPr>
              <w:pStyle w:val="TableContents"/>
              <w:spacing w:before="0" w:after="283"/>
              <w:rPr/>
            </w:pPr>
            <w:r>
              <w:rPr/>
              <w:t> </w:t>
            </w:r>
          </w:p>
        </w:tc>
      </w:tr>
      <w:tr>
        <w:trPr/>
        <w:tc>
          <w:tcPr>
            <w:tcW w:w="10205" w:type="dxa"/>
            <w:tcBorders/>
            <w:shd w:fill="59CBE8" w:val="clear"/>
            <w:vAlign w:val="center"/>
          </w:tcPr>
          <w:p>
            <w:pPr>
              <w:pStyle w:val="TableContents"/>
              <w:spacing w:before="0" w:after="283"/>
              <w:rPr>
                <w:rFonts w:ascii="Arial;Helvetica;Sans-Serif" w:hAnsi="Arial;Helvetica;Sans-Serif"/>
                <w:color w:val="FFFFFF"/>
                <w:sz w:val="18"/>
              </w:rPr>
            </w:pPr>
            <w:r>
              <w:rPr>
                <w:rFonts w:ascii="Arial;Helvetica;Sans-Serif" w:hAnsi="Arial;Helvetica;Sans-Serif"/>
                <w:b/>
                <w:color w:val="FFFFFF"/>
                <w:sz w:val="18"/>
              </w:rPr>
              <w:t xml:space="preserve">Date and Time: </w:t>
            </w:r>
            <w:r>
              <w:rPr>
                <w:rFonts w:ascii="Arial;Helvetica;Sans-Serif" w:hAnsi="Arial;Helvetica;Sans-Serif"/>
                <w:color w:val="FFFFFF"/>
                <w:sz w:val="18"/>
              </w:rPr>
              <w:t>Friday, June 9, 2023, at 10:00 a.m. Eastern Daylight Time</w:t>
            </w:r>
          </w:p>
        </w:tc>
      </w:tr>
      <w:tr>
        <w:trPr/>
        <w:tc>
          <w:tcPr>
            <w:tcW w:w="10205" w:type="dxa"/>
            <w:tcBorders/>
            <w:shd w:fill="59CBE8" w:val="clear"/>
            <w:vAlign w:val="center"/>
          </w:tcPr>
          <w:p>
            <w:pPr>
              <w:pStyle w:val="TableContents"/>
              <w:spacing w:before="0" w:after="283"/>
              <w:rPr/>
            </w:pPr>
            <w:r>
              <w:rPr/>
              <w:t> </w:t>
            </w:r>
          </w:p>
        </w:tc>
      </w:tr>
      <w:tr>
        <w:trPr/>
        <w:tc>
          <w:tcPr>
            <w:tcW w:w="10205" w:type="dxa"/>
            <w:tcBorders/>
            <w:shd w:fill="59CBE8" w:val="clear"/>
            <w:vAlign w:val="center"/>
          </w:tcPr>
          <w:p>
            <w:pPr>
              <w:pStyle w:val="TableContents"/>
              <w:spacing w:before="0" w:after="283"/>
              <w:rPr>
                <w:rFonts w:ascii="Arial;Helvetica;Sans-Serif" w:hAnsi="Arial;Helvetica;Sans-Serif"/>
                <w:color w:val="FFFFFF"/>
                <w:sz w:val="18"/>
              </w:rPr>
            </w:pPr>
            <w:r>
              <w:rPr>
                <w:rFonts w:ascii="Arial;Helvetica;Sans-Serif" w:hAnsi="Arial;Helvetica;Sans-Serif"/>
                <w:b/>
                <w:color w:val="FFFFFF"/>
                <w:sz w:val="18"/>
              </w:rPr>
              <w:t xml:space="preserve">Place: </w:t>
            </w:r>
            <w:r>
              <w:rPr>
                <w:rFonts w:ascii="Arial;Helvetica;Sans-Serif" w:hAnsi="Arial;Helvetica;Sans-Serif"/>
                <w:color w:val="FFFFFF"/>
                <w:sz w:val="18"/>
              </w:rPr>
              <w:t>Our offices at 3280 Peachtree Road, Suite 2400, Atlanta, Georgia 30305</w:t>
            </w:r>
          </w:p>
        </w:tc>
      </w:tr>
      <w:tr>
        <w:trPr/>
        <w:tc>
          <w:tcPr>
            <w:tcW w:w="10205" w:type="dxa"/>
            <w:tcBorders/>
            <w:shd w:fill="59CBE8" w:val="clear"/>
            <w:vAlign w:val="center"/>
          </w:tcPr>
          <w:p>
            <w:pPr>
              <w:pStyle w:val="TableContents"/>
              <w:spacing w:before="0" w:after="283"/>
              <w:rPr/>
            </w:pPr>
            <w:r>
              <w:rPr/>
              <w:t> </w:t>
            </w:r>
          </w:p>
        </w:tc>
      </w:tr>
      <w:tr>
        <w:trPr/>
        <w:tc>
          <w:tcPr>
            <w:tcW w:w="10205" w:type="dxa"/>
            <w:tcBorders/>
            <w:shd w:fill="59CBE8" w:val="clear"/>
            <w:vAlign w:val="center"/>
          </w:tcPr>
          <w:p>
            <w:pPr>
              <w:pStyle w:val="TableContents"/>
              <w:spacing w:before="0" w:after="283"/>
              <w:rPr>
                <w:rFonts w:ascii="Arial;Helvetica;Sans-Serif" w:hAnsi="Arial;Helvetica;Sans-Serif"/>
                <w:color w:val="FFFFFF"/>
                <w:sz w:val="18"/>
              </w:rPr>
            </w:pPr>
            <w:r>
              <w:rPr>
                <w:rFonts w:ascii="Arial;Helvetica;Sans-Serif" w:hAnsi="Arial;Helvetica;Sans-Serif"/>
                <w:b/>
                <w:color w:val="FFFFFF"/>
                <w:sz w:val="18"/>
              </w:rPr>
              <w:t xml:space="preserve">Record Date: </w:t>
            </w:r>
            <w:r>
              <w:rPr>
                <w:rFonts w:ascii="Arial;Helvetica;Sans-Serif" w:hAnsi="Arial;Helvetica;Sans-Serif"/>
                <w:color w:val="FFFFFF"/>
                <w:sz w:val="18"/>
              </w:rPr>
              <w:t>April 17, 2023 (73,828,110 common shares and 276,222 unvested restricted shares entitled to vote as of the record date).</w:t>
            </w:r>
          </w:p>
        </w:tc>
      </w:tr>
      <w:tr>
        <w:trPr/>
        <w:tc>
          <w:tcPr>
            <w:tcW w:w="10205" w:type="dxa"/>
            <w:tcBorders/>
            <w:shd w:fill="59CBE8" w:val="clear"/>
            <w:vAlign w:val="center"/>
          </w:tcPr>
          <w:p>
            <w:pPr>
              <w:pStyle w:val="TableContents"/>
              <w:spacing w:before="0" w:after="283"/>
              <w:rPr/>
            </w:pPr>
            <w:r>
              <w:rPr/>
              <w:t> </w:t>
            </w:r>
          </w:p>
        </w:tc>
      </w:tr>
      <w:tr>
        <w:trPr/>
        <w:tc>
          <w:tcPr>
            <w:tcW w:w="10205" w:type="dxa"/>
            <w:tcBorders/>
            <w:shd w:fill="59CBE8" w:val="clear"/>
            <w:vAlign w:val="center"/>
          </w:tcPr>
          <w:p>
            <w:pPr>
              <w:pStyle w:val="TableContents"/>
              <w:spacing w:before="0" w:after="283"/>
              <w:rPr>
                <w:rFonts w:ascii="Arial;Helvetica;Sans-Serif" w:hAnsi="Arial;Helvetica;Sans-Serif"/>
                <w:color w:val="FFFFFF"/>
                <w:sz w:val="18"/>
              </w:rPr>
            </w:pPr>
            <w:r>
              <w:rPr>
                <w:rFonts w:ascii="Arial;Helvetica;Sans-Serif" w:hAnsi="Arial;Helvetica;Sans-Serif"/>
                <w:b/>
                <w:color w:val="FFFFFF"/>
                <w:sz w:val="18"/>
              </w:rPr>
              <w:t xml:space="preserve">Voting: </w:t>
            </w:r>
            <w:r>
              <w:rPr>
                <w:rFonts w:ascii="Arial;Helvetica;Sans-Serif" w:hAnsi="Arial;Helvetica;Sans-Serif"/>
                <w:color w:val="FFFFFF"/>
                <w:sz w:val="18"/>
              </w:rPr>
              <w:t>Holders of common shares as of the close of business on April 17, 2023 may vote at the Annual Meeting. One vote per share for each director nominee and each of the other proposals described below.</w:t>
            </w:r>
          </w:p>
        </w:tc>
      </w:tr>
      <w:tr>
        <w:trPr/>
        <w:tc>
          <w:tcPr>
            <w:tcW w:w="10205" w:type="dxa"/>
            <w:tcBorders/>
            <w:shd w:fill="59CBE8" w:val="clear"/>
            <w:vAlign w:val="center"/>
          </w:tcPr>
          <w:p>
            <w:pPr>
              <w:pStyle w:val="TableContents"/>
              <w:spacing w:before="0" w:after="283"/>
              <w:rPr/>
            </w:pPr>
            <w:r>
              <w:rPr/>
              <w:t> </w:t>
            </w:r>
          </w:p>
        </w:tc>
      </w:tr>
      <w:tr>
        <w:trPr/>
        <w:tc>
          <w:tcPr>
            <w:tcW w:w="10205" w:type="dxa"/>
            <w:tcBorders/>
            <w:shd w:fill="59CBE8" w:val="clear"/>
            <w:vAlign w:val="center"/>
          </w:tcPr>
          <w:p>
            <w:pPr>
              <w:pStyle w:val="TableContents"/>
              <w:spacing w:before="0" w:after="283"/>
              <w:rPr/>
            </w:pPr>
            <w:r>
              <w:rPr/>
              <w:t> </w:t>
            </w:r>
          </w:p>
        </w:tc>
      </w:tr>
    </w:tbl>
    <w:p>
      <w:pPr>
        <w:pStyle w:val="TextBody"/>
        <w:rPr>
          <w:caps w:val="false"/>
          <w:smallCaps w:val="false"/>
        </w:rPr>
      </w:pPr>
      <w:r>
        <w:rPr>
          <w:caps w:val="false"/>
          <w:smallCaps w:val="false"/>
        </w:rPr>
        <w:t> </w:t>
      </w:r>
    </w:p>
    <w:p>
      <w:pPr>
        <w:pStyle w:val="Normal"/>
        <w:spacing w:before="0" w:after="0"/>
        <w:rPr>
          <w:sz w:val="4"/>
          <w:szCs w:val="4"/>
        </w:rPr>
      </w:pPr>
      <w:r>
        <w:rPr>
          <w:sz w:val="4"/>
          <w:szCs w:val="4"/>
        </w:rPr>
      </w:r>
      <w:bookmarkStart w:id="1" w:name="a002"/>
      <w:bookmarkStart w:id="2" w:name="a002"/>
      <w:bookmarkEnd w:id="2"/>
    </w:p>
    <w:tbl>
      <w:tblPr>
        <w:tblW w:w="10205" w:type="dxa"/>
        <w:jc w:val="left"/>
        <w:tblInd w:w="0" w:type="dxa"/>
        <w:tblCellMar>
          <w:top w:w="0" w:type="dxa"/>
          <w:left w:w="0" w:type="dxa"/>
          <w:bottom w:w="0" w:type="dxa"/>
          <w:right w:w="0" w:type="dxa"/>
        </w:tblCellMar>
      </w:tblPr>
      <w:tblGrid>
        <w:gridCol w:w="240"/>
        <w:gridCol w:w="6668"/>
        <w:gridCol w:w="1965"/>
        <w:gridCol w:w="1332"/>
      </w:tblGrid>
      <w:tr>
        <w:trPr/>
        <w:tc>
          <w:tcPr>
            <w:tcW w:w="240" w:type="dxa"/>
            <w:tcBorders/>
            <w:shd w:fill="auto" w:val="clear"/>
            <w:vAlign w:val="center"/>
          </w:tcPr>
          <w:p>
            <w:pPr>
              <w:pStyle w:val="TableContents"/>
              <w:spacing w:before="0" w:after="283"/>
              <w:jc w:val="center"/>
              <w:rPr/>
            </w:pPr>
            <w:r>
              <w:rPr/>
              <w:t> </w:t>
            </w:r>
          </w:p>
        </w:tc>
        <w:tc>
          <w:tcPr>
            <w:tcW w:w="6668" w:type="dxa"/>
            <w:tcBorders/>
            <w:shd w:fill="auto" w:val="clear"/>
            <w:vAlign w:val="center"/>
          </w:tcPr>
          <w:p>
            <w:pPr>
              <w:pStyle w:val="TableContents"/>
              <w:spacing w:before="0" w:after="283"/>
              <w:rPr>
                <w:rFonts w:ascii="Arial;Helvetica;Sans-Serif" w:hAnsi="Arial;Helvetica;Sans-Serif"/>
                <w:b/>
                <w:color w:val="231F20"/>
                <w:sz w:val="18"/>
              </w:rPr>
            </w:pPr>
            <w:r>
              <w:rPr>
                <w:rFonts w:ascii="Arial;Helvetica;Sans-Serif" w:hAnsi="Arial;Helvetica;Sans-Serif"/>
                <w:b/>
                <w:color w:val="231F20"/>
                <w:sz w:val="18"/>
              </w:rPr>
              <w:t>Proposals and Board Recommendations</w:t>
            </w:r>
          </w:p>
        </w:tc>
        <w:tc>
          <w:tcPr>
            <w:tcW w:w="1965"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rPr/>
            </w:pPr>
            <w:r>
              <w:rPr/>
              <w:t> </w:t>
            </w:r>
          </w:p>
        </w:tc>
      </w:tr>
      <w:tr>
        <w:trPr/>
        <w:tc>
          <w:tcPr>
            <w:tcW w:w="240" w:type="dxa"/>
            <w:tcBorders/>
            <w:shd w:fill="auto" w:val="clear"/>
            <w:vAlign w:val="center"/>
          </w:tcPr>
          <w:p>
            <w:pPr>
              <w:pStyle w:val="TableContents"/>
              <w:spacing w:before="0" w:after="283"/>
              <w:jc w:val="center"/>
              <w:rPr/>
            </w:pPr>
            <w:r>
              <w:rPr/>
              <w:t> </w:t>
            </w:r>
          </w:p>
        </w:tc>
        <w:tc>
          <w:tcPr>
            <w:tcW w:w="6668" w:type="dxa"/>
            <w:tcBorders/>
            <w:shd w:fill="auto" w:val="clear"/>
            <w:vAlign w:val="center"/>
          </w:tcPr>
          <w:p>
            <w:pPr>
              <w:pStyle w:val="TableContents"/>
              <w:spacing w:before="0" w:after="283"/>
              <w:rPr/>
            </w:pPr>
            <w:r>
              <w:rPr/>
              <w:t> </w:t>
            </w:r>
          </w:p>
        </w:tc>
        <w:tc>
          <w:tcPr>
            <w:tcW w:w="1965"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rPr/>
            </w:pPr>
            <w:r>
              <w:rPr/>
              <w:t> </w:t>
            </w:r>
          </w:p>
        </w:tc>
      </w:tr>
      <w:tr>
        <w:trPr/>
        <w:tc>
          <w:tcPr>
            <w:tcW w:w="240" w:type="dxa"/>
            <w:tcBorders/>
            <w:shd w:fill="EC0828" w:val="clear"/>
            <w:vAlign w:val="center"/>
          </w:tcPr>
          <w:p>
            <w:pPr>
              <w:pStyle w:val="TableContents"/>
              <w:spacing w:before="0" w:after="283"/>
              <w:jc w:val="center"/>
              <w:rPr/>
            </w:pPr>
            <w:r>
              <w:rPr/>
              <w:t> </w:t>
            </w:r>
          </w:p>
        </w:tc>
        <w:tc>
          <w:tcPr>
            <w:tcW w:w="6668" w:type="dxa"/>
            <w:tcBorders/>
            <w:shd w:fill="EC0828" w:val="clear"/>
            <w:vAlign w:val="center"/>
          </w:tcPr>
          <w:p>
            <w:pPr>
              <w:pStyle w:val="TableContents"/>
              <w:spacing w:before="0" w:after="283"/>
              <w:rPr/>
            </w:pPr>
            <w:r>
              <w:rPr/>
              <w:t> </w:t>
            </w:r>
          </w:p>
        </w:tc>
        <w:tc>
          <w:tcPr>
            <w:tcW w:w="1965" w:type="dxa"/>
            <w:tcBorders/>
            <w:shd w:fill="EC0828" w:val="clear"/>
            <w:vAlign w:val="center"/>
          </w:tcPr>
          <w:p>
            <w:pPr>
              <w:pStyle w:val="TableContents"/>
              <w:spacing w:before="0" w:after="283"/>
              <w:rPr/>
            </w:pPr>
            <w:r>
              <w:rPr/>
              <w:t> </w:t>
            </w:r>
          </w:p>
        </w:tc>
        <w:tc>
          <w:tcPr>
            <w:tcW w:w="1332" w:type="dxa"/>
            <w:tcBorders/>
            <w:shd w:fill="EC0828" w:val="clear"/>
            <w:vAlign w:val="center"/>
          </w:tcPr>
          <w:p>
            <w:pPr>
              <w:pStyle w:val="TableContents"/>
              <w:spacing w:before="0" w:after="283"/>
              <w:rPr/>
            </w:pPr>
            <w:r>
              <w:rPr/>
              <w:t> </w:t>
            </w:r>
          </w:p>
        </w:tc>
      </w:tr>
      <w:tr>
        <w:trPr/>
        <w:tc>
          <w:tcPr>
            <w:tcW w:w="240" w:type="dxa"/>
            <w:tcBorders/>
            <w:shd w:fill="EC0828" w:val="clear"/>
            <w:vAlign w:val="center"/>
          </w:tcPr>
          <w:p>
            <w:pPr>
              <w:pStyle w:val="TableContents"/>
              <w:spacing w:before="0" w:after="283"/>
              <w:jc w:val="center"/>
              <w:rPr>
                <w:color w:val="FFFFFF"/>
              </w:rPr>
            </w:pPr>
            <w:r>
              <w:rPr>
                <w:color w:val="FFFFFF"/>
              </w:rPr>
              <w:t> </w:t>
            </w:r>
          </w:p>
        </w:tc>
        <w:tc>
          <w:tcPr>
            <w:tcW w:w="6668" w:type="dxa"/>
            <w:tcBorders/>
            <w:shd w:fill="EC0828" w:val="clear"/>
            <w:vAlign w:val="center"/>
          </w:tcPr>
          <w:p>
            <w:pPr>
              <w:pStyle w:val="TableContents"/>
              <w:spacing w:before="0" w:after="283"/>
              <w:rPr>
                <w:rFonts w:ascii="Arial;Helvetica;Sans-Serif" w:hAnsi="Arial;Helvetica;Sans-Serif"/>
                <w:b/>
                <w:color w:val="FFFFFF"/>
                <w:sz w:val="20"/>
              </w:rPr>
            </w:pPr>
            <w:r>
              <w:rPr>
                <w:rFonts w:ascii="Arial;Helvetica;Sans-Serif" w:hAnsi="Arial;Helvetica;Sans-Serif"/>
                <w:b/>
                <w:color w:val="FFFFFF"/>
                <w:sz w:val="20"/>
              </w:rPr>
              <w:t>Proposal</w:t>
            </w:r>
          </w:p>
        </w:tc>
        <w:tc>
          <w:tcPr>
            <w:tcW w:w="1965" w:type="dxa"/>
            <w:tcBorders/>
            <w:shd w:fill="EC0828" w:val="clear"/>
            <w:vAlign w:val="center"/>
          </w:tcPr>
          <w:p>
            <w:pPr>
              <w:pStyle w:val="TableContents"/>
              <w:spacing w:before="0" w:after="283"/>
              <w:rPr>
                <w:rFonts w:ascii="Arial;Helvetica;Sans-Serif" w:hAnsi="Arial;Helvetica;Sans-Serif"/>
                <w:b/>
                <w:color w:val="FFFFFF"/>
                <w:sz w:val="18"/>
              </w:rPr>
            </w:pPr>
            <w:r>
              <w:rPr>
                <w:rFonts w:ascii="Arial;Helvetica;Sans-Serif" w:hAnsi="Arial;Helvetica;Sans-Serif"/>
                <w:b/>
                <w:color w:val="FFFFFF"/>
                <w:sz w:val="18"/>
              </w:rPr>
              <w:t>Board</w:t>
              <w:br/>
              <w:t>Recommendation</w:t>
            </w:r>
          </w:p>
        </w:tc>
        <w:tc>
          <w:tcPr>
            <w:tcW w:w="1332" w:type="dxa"/>
            <w:tcBorders/>
            <w:shd w:fill="EC0828" w:val="clear"/>
            <w:vAlign w:val="center"/>
          </w:tcPr>
          <w:p>
            <w:pPr>
              <w:pStyle w:val="TableContents"/>
              <w:spacing w:before="0" w:after="283"/>
              <w:rPr/>
            </w:pPr>
            <w:r>
              <w:rPr>
                <w:rFonts w:ascii="Arial;Helvetica;Sans-Serif" w:hAnsi="Arial;Helvetica;Sans-Serif"/>
                <w:b/>
                <w:color w:val="FFFFFF"/>
                <w:sz w:val="20"/>
              </w:rPr>
              <w:t>For More</w:t>
            </w:r>
            <w:r>
              <w:rPr>
                <w:sz w:val="20"/>
              </w:rPr>
              <w:br/>
            </w:r>
            <w:r>
              <w:rPr>
                <w:rFonts w:ascii="Arial;Helvetica;Sans-Serif" w:hAnsi="Arial;Helvetica;Sans-Serif"/>
                <w:b/>
                <w:color w:val="FFFFFF"/>
                <w:sz w:val="20"/>
              </w:rPr>
              <w:t>Information</w:t>
            </w:r>
          </w:p>
        </w:tc>
      </w:tr>
      <w:tr>
        <w:trPr/>
        <w:tc>
          <w:tcPr>
            <w:tcW w:w="240" w:type="dxa"/>
            <w:tcBorders/>
            <w:shd w:fill="EC0828" w:val="clear"/>
            <w:vAlign w:val="center"/>
          </w:tcPr>
          <w:p>
            <w:pPr>
              <w:pStyle w:val="TableContents"/>
              <w:spacing w:before="0" w:after="283"/>
              <w:jc w:val="center"/>
              <w:rPr/>
            </w:pPr>
            <w:r>
              <w:rPr/>
              <w:t> </w:t>
            </w:r>
          </w:p>
        </w:tc>
        <w:tc>
          <w:tcPr>
            <w:tcW w:w="6668" w:type="dxa"/>
            <w:tcBorders/>
            <w:shd w:fill="EC0828" w:val="clear"/>
            <w:vAlign w:val="center"/>
          </w:tcPr>
          <w:p>
            <w:pPr>
              <w:pStyle w:val="TableContents"/>
              <w:spacing w:before="0" w:after="283"/>
              <w:rPr/>
            </w:pPr>
            <w:r>
              <w:rPr/>
              <w:t> </w:t>
            </w:r>
          </w:p>
        </w:tc>
        <w:tc>
          <w:tcPr>
            <w:tcW w:w="1965" w:type="dxa"/>
            <w:tcBorders/>
            <w:shd w:fill="EC0828" w:val="clear"/>
            <w:vAlign w:val="center"/>
          </w:tcPr>
          <w:p>
            <w:pPr>
              <w:pStyle w:val="TableContents"/>
              <w:spacing w:before="0" w:after="283"/>
              <w:rPr/>
            </w:pPr>
            <w:r>
              <w:rPr/>
              <w:t> </w:t>
            </w:r>
          </w:p>
        </w:tc>
        <w:tc>
          <w:tcPr>
            <w:tcW w:w="1332" w:type="dxa"/>
            <w:tcBorders/>
            <w:shd w:fill="EC0828" w:val="clear"/>
            <w:vAlign w:val="center"/>
          </w:tcPr>
          <w:p>
            <w:pPr>
              <w:pStyle w:val="TableContents"/>
              <w:spacing w:before="0" w:after="283"/>
              <w:rPr/>
            </w:pPr>
            <w:r>
              <w:rPr/>
              <w:t> </w:t>
            </w:r>
          </w:p>
        </w:tc>
      </w:tr>
      <w:tr>
        <w:trPr/>
        <w:tc>
          <w:tcPr>
            <w:tcW w:w="240" w:type="dxa"/>
            <w:tcBorders/>
            <w:shd w:fill="auto" w:val="clear"/>
            <w:vAlign w:val="center"/>
          </w:tcPr>
          <w:p>
            <w:pPr>
              <w:pStyle w:val="TableContents"/>
              <w:spacing w:before="0" w:after="283"/>
              <w:jc w:val="center"/>
              <w:rPr/>
            </w:pPr>
            <w:r>
              <w:rPr/>
              <w:t> </w:t>
            </w:r>
          </w:p>
        </w:tc>
        <w:tc>
          <w:tcPr>
            <w:tcW w:w="6668" w:type="dxa"/>
            <w:tcBorders/>
            <w:shd w:fill="auto" w:val="clear"/>
            <w:vAlign w:val="center"/>
          </w:tcPr>
          <w:p>
            <w:pPr>
              <w:pStyle w:val="TableContents"/>
              <w:spacing w:before="0" w:after="283"/>
              <w:rPr/>
            </w:pPr>
            <w:r>
              <w:rPr/>
              <w:t> </w:t>
            </w:r>
          </w:p>
        </w:tc>
        <w:tc>
          <w:tcPr>
            <w:tcW w:w="1965" w:type="dxa"/>
            <w:tcBorders/>
            <w:shd w:fill="auto" w:val="clear"/>
            <w:vAlign w:val="center"/>
          </w:tcPr>
          <w:p>
            <w:pPr>
              <w:pStyle w:val="TableContents"/>
              <w:spacing w:before="0" w:after="283"/>
              <w:rPr/>
            </w:pPr>
            <w:r>
              <w:rPr/>
              <w:t> </w:t>
            </w:r>
          </w:p>
        </w:tc>
        <w:tc>
          <w:tcPr>
            <w:tcW w:w="1332" w:type="dxa"/>
            <w:tcBorders/>
            <w:shd w:fill="auto" w:val="clear"/>
            <w:vAlign w:val="center"/>
          </w:tcPr>
          <w:p>
            <w:pPr>
              <w:pStyle w:val="TableContents"/>
              <w:spacing w:before="0" w:after="283"/>
              <w:rPr/>
            </w:pPr>
            <w:r>
              <w:rPr/>
              <w:t> </w:t>
            </w:r>
          </w:p>
        </w:tc>
      </w:tr>
      <w:tr>
        <w:trPr/>
        <w:tc>
          <w:tcPr>
            <w:tcW w:w="240" w:type="dxa"/>
            <w:tcBorders/>
            <w:shd w:fill="auto" w:val="clear"/>
            <w:vAlign w:val="center"/>
          </w:tcPr>
          <w:p>
            <w:pPr>
              <w:pStyle w:val="TableContents"/>
              <w:spacing w:before="0" w:after="283"/>
              <w:jc w:val="center"/>
              <w:rPr/>
            </w:pPr>
            <w:r>
              <w:rPr/>
              <w:drawing>
                <wp:inline distT="0" distB="0" distL="0" distR="0">
                  <wp:extent cx="142875" cy="142875"/>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142875" cy="142875"/>
                          </a:xfrm>
                          <a:prstGeom prst="rect">
                            <a:avLst/>
                          </a:prstGeom>
                        </pic:spPr>
                      </pic:pic>
                    </a:graphicData>
                  </a:graphic>
                </wp:inline>
              </w:drawing>
            </w:r>
          </w:p>
        </w:tc>
        <w:tc>
          <w:tcPr>
            <w:tcW w:w="6668" w:type="dxa"/>
            <w:tcBorders/>
            <w:shd w:fill="auto"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To elect the eleven directors</w:t>
            </w:r>
          </w:p>
        </w:tc>
        <w:tc>
          <w:tcPr>
            <w:tcW w:w="1965" w:type="dxa"/>
            <w:tcBorders/>
            <w:shd w:fill="auto" w:val="clear"/>
            <w:vAlign w:val="center"/>
          </w:tcPr>
          <w:p>
            <w:pPr>
              <w:pStyle w:val="TableContents"/>
              <w:spacing w:before="0" w:after="283"/>
              <w:jc w:val="left"/>
              <w:rPr>
                <w:rFonts w:ascii="Arial;Helvetica;Sans-Serif" w:hAnsi="Arial;Helvetica;Sans-Serif"/>
                <w:b/>
                <w:color w:val="40A329"/>
                <w:sz w:val="20"/>
              </w:rPr>
            </w:pPr>
            <w:r>
              <w:rPr>
                <w:rFonts w:ascii="Arial;Helvetica;Sans-Serif" w:hAnsi="Arial;Helvetica;Sans-Serif"/>
                <w:b/>
                <w:color w:val="40A329"/>
                <w:sz w:val="20"/>
              </w:rPr>
              <w:t>FOR each nominee</w:t>
            </w:r>
          </w:p>
        </w:tc>
        <w:tc>
          <w:tcPr>
            <w:tcW w:w="1332" w:type="dxa"/>
            <w:tcBorders/>
            <w:shd w:fill="auto"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Page 61</w:t>
            </w:r>
          </w:p>
        </w:tc>
      </w:tr>
      <w:tr>
        <w:trPr/>
        <w:tc>
          <w:tcPr>
            <w:tcW w:w="240" w:type="dxa"/>
            <w:tcBorders/>
            <w:shd w:fill="auto" w:val="clear"/>
            <w:vAlign w:val="center"/>
          </w:tcPr>
          <w:p>
            <w:pPr>
              <w:pStyle w:val="TableContents"/>
              <w:spacing w:before="0" w:after="283"/>
              <w:jc w:val="center"/>
              <w:rPr/>
            </w:pPr>
            <w:r>
              <w:rPr/>
              <w:t> </w:t>
            </w:r>
          </w:p>
        </w:tc>
        <w:tc>
          <w:tcPr>
            <w:tcW w:w="6668" w:type="dxa"/>
            <w:tcBorders/>
            <w:shd w:fill="auto" w:val="clear"/>
            <w:vAlign w:val="center"/>
          </w:tcPr>
          <w:p>
            <w:pPr>
              <w:pStyle w:val="TableContents"/>
              <w:spacing w:before="0" w:after="283"/>
              <w:jc w:val="left"/>
              <w:rPr/>
            </w:pPr>
            <w:r>
              <w:rPr/>
              <w:t> </w:t>
            </w:r>
          </w:p>
        </w:tc>
        <w:tc>
          <w:tcPr>
            <w:tcW w:w="1965" w:type="dxa"/>
            <w:tcBorders/>
            <w:shd w:fill="auto" w:val="clear"/>
            <w:vAlign w:val="center"/>
          </w:tcPr>
          <w:p>
            <w:pPr>
              <w:pStyle w:val="TableContents"/>
              <w:spacing w:before="0" w:after="283"/>
              <w:jc w:val="left"/>
              <w:rPr/>
            </w:pPr>
            <w:r>
              <w:rPr/>
              <w:t> </w:t>
            </w:r>
          </w:p>
        </w:tc>
        <w:tc>
          <w:tcPr>
            <w:tcW w:w="1332" w:type="dxa"/>
            <w:tcBorders/>
            <w:shd w:fill="auto" w:val="clear"/>
            <w:vAlign w:val="center"/>
          </w:tcPr>
          <w:p>
            <w:pPr>
              <w:pStyle w:val="TableContents"/>
              <w:spacing w:before="0" w:after="283"/>
              <w:jc w:val="left"/>
              <w:rPr/>
            </w:pPr>
            <w:r>
              <w:rPr/>
              <w:t> </w:t>
            </w:r>
          </w:p>
        </w:tc>
      </w:tr>
      <w:tr>
        <w:trPr/>
        <w:tc>
          <w:tcPr>
            <w:tcW w:w="240" w:type="dxa"/>
            <w:tcBorders/>
            <w:shd w:fill="DCDDDE" w:val="clear"/>
            <w:vAlign w:val="center"/>
          </w:tcPr>
          <w:p>
            <w:pPr>
              <w:pStyle w:val="TableContents"/>
              <w:spacing w:before="0" w:after="283"/>
              <w:jc w:val="center"/>
              <w:rPr/>
            </w:pPr>
            <w:r>
              <w:rPr/>
              <w:t> </w:t>
            </w:r>
          </w:p>
        </w:tc>
        <w:tc>
          <w:tcPr>
            <w:tcW w:w="6668" w:type="dxa"/>
            <w:tcBorders/>
            <w:shd w:fill="DCDDDE" w:val="clear"/>
            <w:vAlign w:val="center"/>
          </w:tcPr>
          <w:p>
            <w:pPr>
              <w:pStyle w:val="TableContents"/>
              <w:spacing w:before="0" w:after="283"/>
              <w:jc w:val="left"/>
              <w:rPr/>
            </w:pPr>
            <w:r>
              <w:rPr/>
              <w:t> </w:t>
            </w:r>
          </w:p>
        </w:tc>
        <w:tc>
          <w:tcPr>
            <w:tcW w:w="1965" w:type="dxa"/>
            <w:tcBorders/>
            <w:shd w:fill="DCDDDE" w:val="clear"/>
            <w:vAlign w:val="center"/>
          </w:tcPr>
          <w:p>
            <w:pPr>
              <w:pStyle w:val="TableContents"/>
              <w:spacing w:before="0" w:after="283"/>
              <w:jc w:val="left"/>
              <w:rPr/>
            </w:pPr>
            <w:r>
              <w:rPr/>
              <w:t> </w:t>
            </w:r>
          </w:p>
        </w:tc>
        <w:tc>
          <w:tcPr>
            <w:tcW w:w="1332" w:type="dxa"/>
            <w:tcBorders/>
            <w:shd w:fill="DCDDDE" w:val="clear"/>
            <w:vAlign w:val="center"/>
          </w:tcPr>
          <w:p>
            <w:pPr>
              <w:pStyle w:val="TableContents"/>
              <w:spacing w:before="0" w:after="283"/>
              <w:jc w:val="left"/>
              <w:rPr/>
            </w:pPr>
            <w:r>
              <w:rPr/>
              <w:t> </w:t>
            </w:r>
          </w:p>
        </w:tc>
      </w:tr>
      <w:tr>
        <w:trPr/>
        <w:tc>
          <w:tcPr>
            <w:tcW w:w="240" w:type="dxa"/>
            <w:tcBorders/>
            <w:shd w:fill="DCDDDE" w:val="clear"/>
            <w:vAlign w:val="center"/>
          </w:tcPr>
          <w:p>
            <w:pPr>
              <w:pStyle w:val="TableContents"/>
              <w:spacing w:before="0" w:after="283"/>
              <w:jc w:val="center"/>
              <w:rPr/>
            </w:pPr>
            <w:r>
              <w:rPr/>
              <w:drawing>
                <wp:inline distT="0" distB="0" distL="0" distR="0">
                  <wp:extent cx="142875" cy="142875"/>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142875" cy="142875"/>
                          </a:xfrm>
                          <a:prstGeom prst="rect">
                            <a:avLst/>
                          </a:prstGeom>
                        </pic:spPr>
                      </pic:pic>
                    </a:graphicData>
                  </a:graphic>
                </wp:inline>
              </w:drawing>
            </w:r>
          </w:p>
        </w:tc>
        <w:tc>
          <w:tcPr>
            <w:tcW w:w="6668" w:type="dxa"/>
            <w:tcBorders/>
            <w:shd w:fill="DCDDDE"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To ratify the reappointment of Ernst &amp; Young LLP as our independent public accounting firm for 2023</w:t>
            </w:r>
          </w:p>
        </w:tc>
        <w:tc>
          <w:tcPr>
            <w:tcW w:w="1965" w:type="dxa"/>
            <w:tcBorders/>
            <w:shd w:fill="DCDDDE" w:val="clear"/>
            <w:vAlign w:val="center"/>
          </w:tcPr>
          <w:p>
            <w:pPr>
              <w:pStyle w:val="TableContents"/>
              <w:spacing w:before="0" w:after="283"/>
              <w:jc w:val="left"/>
              <w:rPr>
                <w:rFonts w:ascii="Arial;Helvetica;Sans-Serif" w:hAnsi="Arial;Helvetica;Sans-Serif"/>
                <w:b/>
                <w:color w:val="40A329"/>
                <w:sz w:val="20"/>
              </w:rPr>
            </w:pPr>
            <w:r>
              <w:rPr>
                <w:rFonts w:ascii="Arial;Helvetica;Sans-Serif" w:hAnsi="Arial;Helvetica;Sans-Serif"/>
                <w:b/>
                <w:color w:val="40A329"/>
                <w:sz w:val="20"/>
              </w:rPr>
              <w:t>FOR</w:t>
            </w:r>
          </w:p>
        </w:tc>
        <w:tc>
          <w:tcPr>
            <w:tcW w:w="1332" w:type="dxa"/>
            <w:tcBorders/>
            <w:shd w:fill="DCDDDE"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Page 61</w:t>
            </w:r>
          </w:p>
        </w:tc>
      </w:tr>
      <w:tr>
        <w:trPr/>
        <w:tc>
          <w:tcPr>
            <w:tcW w:w="240" w:type="dxa"/>
            <w:tcBorders/>
            <w:shd w:fill="DCDDDE" w:val="clear"/>
            <w:vAlign w:val="center"/>
          </w:tcPr>
          <w:p>
            <w:pPr>
              <w:pStyle w:val="TableContents"/>
              <w:spacing w:before="0" w:after="283"/>
              <w:jc w:val="center"/>
              <w:rPr/>
            </w:pPr>
            <w:r>
              <w:rPr/>
              <w:t> </w:t>
            </w:r>
          </w:p>
        </w:tc>
        <w:tc>
          <w:tcPr>
            <w:tcW w:w="6668" w:type="dxa"/>
            <w:tcBorders/>
            <w:shd w:fill="DCDDDE" w:val="clear"/>
            <w:vAlign w:val="center"/>
          </w:tcPr>
          <w:p>
            <w:pPr>
              <w:pStyle w:val="TableContents"/>
              <w:spacing w:before="0" w:after="283"/>
              <w:jc w:val="left"/>
              <w:rPr/>
            </w:pPr>
            <w:r>
              <w:rPr/>
              <w:t> </w:t>
            </w:r>
          </w:p>
        </w:tc>
        <w:tc>
          <w:tcPr>
            <w:tcW w:w="1965" w:type="dxa"/>
            <w:tcBorders/>
            <w:shd w:fill="DCDDDE" w:val="clear"/>
            <w:vAlign w:val="center"/>
          </w:tcPr>
          <w:p>
            <w:pPr>
              <w:pStyle w:val="TableContents"/>
              <w:spacing w:before="0" w:after="283"/>
              <w:jc w:val="left"/>
              <w:rPr/>
            </w:pPr>
            <w:r>
              <w:rPr/>
              <w:t> </w:t>
            </w:r>
          </w:p>
        </w:tc>
        <w:tc>
          <w:tcPr>
            <w:tcW w:w="1332" w:type="dxa"/>
            <w:tcBorders/>
            <w:shd w:fill="DCDDDE" w:val="clear"/>
            <w:vAlign w:val="center"/>
          </w:tcPr>
          <w:p>
            <w:pPr>
              <w:pStyle w:val="TableContents"/>
              <w:spacing w:before="0" w:after="283"/>
              <w:jc w:val="left"/>
              <w:rPr/>
            </w:pPr>
            <w:r>
              <w:rPr/>
              <w:t> </w:t>
            </w:r>
          </w:p>
        </w:tc>
      </w:tr>
      <w:tr>
        <w:trPr/>
        <w:tc>
          <w:tcPr>
            <w:tcW w:w="240" w:type="dxa"/>
            <w:tcBorders/>
            <w:shd w:fill="FFFFFF" w:val="clear"/>
            <w:vAlign w:val="center"/>
          </w:tcPr>
          <w:p>
            <w:pPr>
              <w:pStyle w:val="TableContents"/>
              <w:spacing w:before="0" w:after="283"/>
              <w:jc w:val="center"/>
              <w:rPr/>
            </w:pPr>
            <w:r>
              <w:rPr/>
              <w:t> </w:t>
            </w:r>
          </w:p>
        </w:tc>
        <w:tc>
          <w:tcPr>
            <w:tcW w:w="6668" w:type="dxa"/>
            <w:tcBorders/>
            <w:shd w:fill="FFFFFF" w:val="clear"/>
            <w:vAlign w:val="center"/>
          </w:tcPr>
          <w:p>
            <w:pPr>
              <w:pStyle w:val="TableContents"/>
              <w:spacing w:before="0" w:after="283"/>
              <w:jc w:val="left"/>
              <w:rPr/>
            </w:pPr>
            <w:r>
              <w:rPr/>
              <w:t> </w:t>
            </w:r>
          </w:p>
        </w:tc>
        <w:tc>
          <w:tcPr>
            <w:tcW w:w="1965"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left"/>
              <w:rPr/>
            </w:pPr>
            <w:r>
              <w:rPr/>
              <w:t> </w:t>
            </w:r>
          </w:p>
        </w:tc>
      </w:tr>
      <w:tr>
        <w:trPr/>
        <w:tc>
          <w:tcPr>
            <w:tcW w:w="240" w:type="dxa"/>
            <w:tcBorders/>
            <w:shd w:fill="auto" w:val="clear"/>
            <w:vAlign w:val="center"/>
          </w:tcPr>
          <w:p>
            <w:pPr>
              <w:pStyle w:val="TableContents"/>
              <w:spacing w:before="0" w:after="283"/>
              <w:jc w:val="center"/>
              <w:rPr/>
            </w:pPr>
            <w:r>
              <w:rPr/>
              <w:drawing>
                <wp:inline distT="0" distB="0" distL="0" distR="0">
                  <wp:extent cx="142875" cy="142875"/>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142875" cy="142875"/>
                          </a:xfrm>
                          <a:prstGeom prst="rect">
                            <a:avLst/>
                          </a:prstGeom>
                        </pic:spPr>
                      </pic:pic>
                    </a:graphicData>
                  </a:graphic>
                </wp:inline>
              </w:drawing>
            </w:r>
          </w:p>
        </w:tc>
        <w:tc>
          <w:tcPr>
            <w:tcW w:w="6668" w:type="dxa"/>
            <w:tcBorders/>
            <w:shd w:fill="auto"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To approve, on an advisory basis, named executive officer compensation</w:t>
            </w:r>
          </w:p>
        </w:tc>
        <w:tc>
          <w:tcPr>
            <w:tcW w:w="1965" w:type="dxa"/>
            <w:tcBorders/>
            <w:shd w:fill="auto" w:val="clear"/>
            <w:vAlign w:val="center"/>
          </w:tcPr>
          <w:p>
            <w:pPr>
              <w:pStyle w:val="TableContents"/>
              <w:spacing w:before="0" w:after="283"/>
              <w:jc w:val="left"/>
              <w:rPr>
                <w:rFonts w:ascii="Arial;Helvetica;Sans-Serif" w:hAnsi="Arial;Helvetica;Sans-Serif"/>
                <w:b/>
                <w:color w:val="40A329"/>
                <w:sz w:val="20"/>
              </w:rPr>
            </w:pPr>
            <w:r>
              <w:rPr>
                <w:rFonts w:ascii="Arial;Helvetica;Sans-Serif" w:hAnsi="Arial;Helvetica;Sans-Serif"/>
                <w:b/>
                <w:color w:val="40A329"/>
                <w:sz w:val="20"/>
              </w:rPr>
              <w:t>FOR</w:t>
            </w:r>
          </w:p>
        </w:tc>
        <w:tc>
          <w:tcPr>
            <w:tcW w:w="1332" w:type="dxa"/>
            <w:tcBorders/>
            <w:shd w:fill="auto"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Page 62</w:t>
            </w:r>
          </w:p>
        </w:tc>
      </w:tr>
      <w:tr>
        <w:trPr/>
        <w:tc>
          <w:tcPr>
            <w:tcW w:w="240" w:type="dxa"/>
            <w:tcBorders/>
            <w:shd w:fill="FFFFFF" w:val="clear"/>
            <w:vAlign w:val="center"/>
          </w:tcPr>
          <w:p>
            <w:pPr>
              <w:pStyle w:val="TableContents"/>
              <w:spacing w:before="0" w:after="283"/>
              <w:jc w:val="center"/>
              <w:rPr/>
            </w:pPr>
            <w:r>
              <w:rPr/>
              <w:t> </w:t>
            </w:r>
          </w:p>
        </w:tc>
        <w:tc>
          <w:tcPr>
            <w:tcW w:w="6668" w:type="dxa"/>
            <w:tcBorders/>
            <w:shd w:fill="FFFFFF" w:val="clear"/>
            <w:vAlign w:val="center"/>
          </w:tcPr>
          <w:p>
            <w:pPr>
              <w:pStyle w:val="TableContents"/>
              <w:spacing w:before="0" w:after="283"/>
              <w:jc w:val="left"/>
              <w:rPr/>
            </w:pPr>
            <w:r>
              <w:rPr/>
              <w:t> </w:t>
            </w:r>
          </w:p>
        </w:tc>
        <w:tc>
          <w:tcPr>
            <w:tcW w:w="1965"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left"/>
              <w:rPr/>
            </w:pPr>
            <w:r>
              <w:rPr/>
              <w:t> </w:t>
            </w:r>
          </w:p>
        </w:tc>
      </w:tr>
      <w:tr>
        <w:trPr/>
        <w:tc>
          <w:tcPr>
            <w:tcW w:w="240" w:type="dxa"/>
            <w:tcBorders/>
            <w:shd w:fill="DCDDDE" w:val="clear"/>
            <w:vAlign w:val="center"/>
          </w:tcPr>
          <w:p>
            <w:pPr>
              <w:pStyle w:val="TableContents"/>
              <w:spacing w:before="0" w:after="283"/>
              <w:jc w:val="center"/>
              <w:rPr/>
            </w:pPr>
            <w:r>
              <w:rPr/>
              <w:t> </w:t>
            </w:r>
          </w:p>
        </w:tc>
        <w:tc>
          <w:tcPr>
            <w:tcW w:w="6668" w:type="dxa"/>
            <w:tcBorders/>
            <w:shd w:fill="DCDDDE" w:val="clear"/>
            <w:vAlign w:val="center"/>
          </w:tcPr>
          <w:p>
            <w:pPr>
              <w:pStyle w:val="TableContents"/>
              <w:spacing w:before="0" w:after="283"/>
              <w:jc w:val="left"/>
              <w:rPr/>
            </w:pPr>
            <w:r>
              <w:rPr/>
              <w:t> </w:t>
            </w:r>
          </w:p>
        </w:tc>
        <w:tc>
          <w:tcPr>
            <w:tcW w:w="1965" w:type="dxa"/>
            <w:tcBorders/>
            <w:shd w:fill="DCDDDE" w:val="clear"/>
            <w:vAlign w:val="center"/>
          </w:tcPr>
          <w:p>
            <w:pPr>
              <w:pStyle w:val="TableContents"/>
              <w:spacing w:before="0" w:after="283"/>
              <w:jc w:val="left"/>
              <w:rPr/>
            </w:pPr>
            <w:r>
              <w:rPr/>
              <w:t> </w:t>
            </w:r>
          </w:p>
        </w:tc>
        <w:tc>
          <w:tcPr>
            <w:tcW w:w="1332" w:type="dxa"/>
            <w:tcBorders/>
            <w:shd w:fill="DCDDDE" w:val="clear"/>
            <w:vAlign w:val="center"/>
          </w:tcPr>
          <w:p>
            <w:pPr>
              <w:pStyle w:val="TableContents"/>
              <w:spacing w:before="0" w:after="283"/>
              <w:jc w:val="left"/>
              <w:rPr/>
            </w:pPr>
            <w:r>
              <w:rPr/>
              <w:t> </w:t>
            </w:r>
          </w:p>
        </w:tc>
      </w:tr>
      <w:tr>
        <w:trPr/>
        <w:tc>
          <w:tcPr>
            <w:tcW w:w="240" w:type="dxa"/>
            <w:tcBorders/>
            <w:shd w:fill="DCDDDE" w:val="clear"/>
            <w:vAlign w:val="center"/>
          </w:tcPr>
          <w:p>
            <w:pPr>
              <w:pStyle w:val="TableContents"/>
              <w:spacing w:before="0" w:after="283"/>
              <w:jc w:val="center"/>
              <w:rPr/>
            </w:pPr>
            <w:r>
              <w:rPr/>
              <w:drawing>
                <wp:inline distT="0" distB="0" distL="0" distR="0">
                  <wp:extent cx="142875" cy="142875"/>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142875" cy="142875"/>
                          </a:xfrm>
                          <a:prstGeom prst="rect">
                            <a:avLst/>
                          </a:prstGeom>
                        </pic:spPr>
                      </pic:pic>
                    </a:graphicData>
                  </a:graphic>
                </wp:inline>
              </w:drawing>
            </w:r>
          </w:p>
        </w:tc>
        <w:tc>
          <w:tcPr>
            <w:tcW w:w="6668" w:type="dxa"/>
            <w:tcBorders/>
            <w:shd w:fill="DCDDDE"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To approve, on an advisory basis, the frequency of shareholder voting on compensation of named executive officers</w:t>
            </w:r>
          </w:p>
        </w:tc>
        <w:tc>
          <w:tcPr>
            <w:tcW w:w="1965" w:type="dxa"/>
            <w:tcBorders/>
            <w:shd w:fill="DCDDDE" w:val="clear"/>
            <w:vAlign w:val="center"/>
          </w:tcPr>
          <w:p>
            <w:pPr>
              <w:pStyle w:val="TableContents"/>
              <w:spacing w:before="0" w:after="283"/>
              <w:jc w:val="left"/>
              <w:rPr>
                <w:rFonts w:ascii="Arial;Helvetica;Sans-Serif" w:hAnsi="Arial;Helvetica;Sans-Serif"/>
                <w:b/>
                <w:color w:val="40A329"/>
                <w:sz w:val="20"/>
              </w:rPr>
            </w:pPr>
            <w:r>
              <w:rPr>
                <w:rFonts w:ascii="Arial;Helvetica;Sans-Serif" w:hAnsi="Arial;Helvetica;Sans-Serif"/>
                <w:b/>
                <w:color w:val="40A329"/>
                <w:sz w:val="20"/>
              </w:rPr>
              <w:t>ONE YEAR</w:t>
            </w:r>
          </w:p>
        </w:tc>
        <w:tc>
          <w:tcPr>
            <w:tcW w:w="1332" w:type="dxa"/>
            <w:tcBorders/>
            <w:shd w:fill="DCDDDE"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Page 62</w:t>
            </w:r>
          </w:p>
        </w:tc>
      </w:tr>
      <w:tr>
        <w:trPr/>
        <w:tc>
          <w:tcPr>
            <w:tcW w:w="240" w:type="dxa"/>
            <w:tcBorders/>
            <w:shd w:fill="DCDDDE" w:val="clear"/>
            <w:vAlign w:val="center"/>
          </w:tcPr>
          <w:p>
            <w:pPr>
              <w:pStyle w:val="TableContents"/>
              <w:spacing w:before="0" w:after="283"/>
              <w:jc w:val="center"/>
              <w:rPr/>
            </w:pPr>
            <w:r>
              <w:rPr/>
              <w:t> </w:t>
            </w:r>
          </w:p>
        </w:tc>
        <w:tc>
          <w:tcPr>
            <w:tcW w:w="6668" w:type="dxa"/>
            <w:tcBorders/>
            <w:shd w:fill="DCDDDE" w:val="clear"/>
            <w:vAlign w:val="center"/>
          </w:tcPr>
          <w:p>
            <w:pPr>
              <w:pStyle w:val="TableContents"/>
              <w:spacing w:before="0" w:after="283"/>
              <w:jc w:val="left"/>
              <w:rPr/>
            </w:pPr>
            <w:r>
              <w:rPr/>
              <w:t> </w:t>
            </w:r>
          </w:p>
        </w:tc>
        <w:tc>
          <w:tcPr>
            <w:tcW w:w="1965" w:type="dxa"/>
            <w:tcBorders/>
            <w:shd w:fill="DCDDDE" w:val="clear"/>
            <w:vAlign w:val="center"/>
          </w:tcPr>
          <w:p>
            <w:pPr>
              <w:pStyle w:val="TableContents"/>
              <w:spacing w:before="0" w:after="283"/>
              <w:jc w:val="left"/>
              <w:rPr/>
            </w:pPr>
            <w:r>
              <w:rPr/>
              <w:t> </w:t>
            </w:r>
          </w:p>
        </w:tc>
        <w:tc>
          <w:tcPr>
            <w:tcW w:w="1332" w:type="dxa"/>
            <w:tcBorders/>
            <w:shd w:fill="DCDDDE" w:val="clear"/>
            <w:vAlign w:val="center"/>
          </w:tcPr>
          <w:p>
            <w:pPr>
              <w:pStyle w:val="TableContents"/>
              <w:spacing w:before="0" w:after="283"/>
              <w:jc w:val="left"/>
              <w:rPr/>
            </w:pPr>
            <w:r>
              <w:rPr/>
              <w:t> </w:t>
            </w:r>
          </w:p>
        </w:tc>
      </w:tr>
      <w:tr>
        <w:trPr/>
        <w:tc>
          <w:tcPr>
            <w:tcW w:w="240" w:type="dxa"/>
            <w:tcBorders/>
            <w:shd w:fill="FFFFFF" w:val="clear"/>
            <w:vAlign w:val="center"/>
          </w:tcPr>
          <w:p>
            <w:pPr>
              <w:pStyle w:val="TableContents"/>
              <w:spacing w:before="0" w:after="283"/>
              <w:jc w:val="center"/>
              <w:rPr/>
            </w:pPr>
            <w:r>
              <w:rPr/>
              <w:t> </w:t>
            </w:r>
          </w:p>
        </w:tc>
        <w:tc>
          <w:tcPr>
            <w:tcW w:w="6668" w:type="dxa"/>
            <w:tcBorders/>
            <w:shd w:fill="FFFFFF" w:val="clear"/>
            <w:vAlign w:val="center"/>
          </w:tcPr>
          <w:p>
            <w:pPr>
              <w:pStyle w:val="TableContents"/>
              <w:spacing w:before="0" w:after="283"/>
              <w:jc w:val="left"/>
              <w:rPr/>
            </w:pPr>
            <w:r>
              <w:rPr/>
              <w:t> </w:t>
            </w:r>
          </w:p>
        </w:tc>
        <w:tc>
          <w:tcPr>
            <w:tcW w:w="1965"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left"/>
              <w:rPr/>
            </w:pPr>
            <w:r>
              <w:rPr/>
              <w:t> </w:t>
            </w:r>
          </w:p>
        </w:tc>
      </w:tr>
      <w:tr>
        <w:trPr/>
        <w:tc>
          <w:tcPr>
            <w:tcW w:w="240" w:type="dxa"/>
            <w:tcBorders/>
            <w:shd w:fill="auto" w:val="clear"/>
            <w:vAlign w:val="center"/>
          </w:tcPr>
          <w:p>
            <w:pPr>
              <w:pStyle w:val="TableContents"/>
              <w:spacing w:before="0" w:after="283"/>
              <w:jc w:val="center"/>
              <w:rPr/>
            </w:pPr>
            <w:r>
              <w:rPr/>
              <w:drawing>
                <wp:inline distT="0" distB="0" distL="0" distR="0">
                  <wp:extent cx="142875" cy="142875"/>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142875" cy="142875"/>
                          </a:xfrm>
                          <a:prstGeom prst="rect">
                            <a:avLst/>
                          </a:prstGeom>
                        </pic:spPr>
                      </pic:pic>
                    </a:graphicData>
                  </a:graphic>
                </wp:inline>
              </w:drawing>
            </w:r>
          </w:p>
        </w:tc>
        <w:tc>
          <w:tcPr>
            <w:tcW w:w="6668" w:type="dxa"/>
            <w:tcBorders/>
            <w:shd w:fill="auto"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To vote on a shareholder proposal to amend the shareholders’ right to call a special meeting of shareholders, if properly presented</w:t>
            </w:r>
          </w:p>
        </w:tc>
        <w:tc>
          <w:tcPr>
            <w:tcW w:w="1965" w:type="dxa"/>
            <w:tcBorders/>
            <w:shd w:fill="auto" w:val="clear"/>
            <w:vAlign w:val="center"/>
          </w:tcPr>
          <w:p>
            <w:pPr>
              <w:pStyle w:val="TableContents"/>
              <w:spacing w:before="0" w:after="283"/>
              <w:jc w:val="left"/>
              <w:rPr>
                <w:rFonts w:ascii="Arial;Helvetica;Sans-Serif" w:hAnsi="Arial;Helvetica;Sans-Serif"/>
                <w:b/>
                <w:color w:val="FF0000"/>
                <w:sz w:val="20"/>
              </w:rPr>
            </w:pPr>
            <w:r>
              <w:rPr>
                <w:rFonts w:ascii="Arial;Helvetica;Sans-Serif" w:hAnsi="Arial;Helvetica;Sans-Serif"/>
                <w:b/>
                <w:color w:val="FF0000"/>
                <w:sz w:val="20"/>
              </w:rPr>
              <w:t>AGAINST</w:t>
            </w:r>
          </w:p>
        </w:tc>
        <w:tc>
          <w:tcPr>
            <w:tcW w:w="1332" w:type="dxa"/>
            <w:tcBorders/>
            <w:shd w:fill="auto" w:val="clear"/>
            <w:vAlign w:val="center"/>
          </w:tcPr>
          <w:p>
            <w:pPr>
              <w:pStyle w:val="TableContents"/>
              <w:spacing w:before="0" w:after="283"/>
              <w:jc w:val="left"/>
              <w:rPr>
                <w:rFonts w:ascii="Arial;Helvetica;Sans-Serif" w:hAnsi="Arial;Helvetica;Sans-Serif"/>
                <w:color w:val="333333"/>
                <w:sz w:val="18"/>
              </w:rPr>
            </w:pPr>
            <w:r>
              <w:rPr>
                <w:rFonts w:ascii="Arial;Helvetica;Sans-Serif" w:hAnsi="Arial;Helvetica;Sans-Serif"/>
                <w:color w:val="333333"/>
                <w:sz w:val="18"/>
              </w:rPr>
              <w:t>Page 63</w:t>
            </w:r>
          </w:p>
        </w:tc>
      </w:tr>
      <w:tr>
        <w:trPr/>
        <w:tc>
          <w:tcPr>
            <w:tcW w:w="240" w:type="dxa"/>
            <w:tcBorders/>
            <w:shd w:fill="FFFFFF" w:val="clear"/>
            <w:vAlign w:val="center"/>
          </w:tcPr>
          <w:p>
            <w:pPr>
              <w:pStyle w:val="TableContents"/>
              <w:spacing w:before="0" w:after="283"/>
              <w:jc w:val="center"/>
              <w:rPr/>
            </w:pPr>
            <w:r>
              <w:rPr/>
              <w:t> </w:t>
            </w:r>
          </w:p>
        </w:tc>
        <w:tc>
          <w:tcPr>
            <w:tcW w:w="6668" w:type="dxa"/>
            <w:tcBorders/>
            <w:shd w:fill="FFFFFF" w:val="clear"/>
            <w:vAlign w:val="center"/>
          </w:tcPr>
          <w:p>
            <w:pPr>
              <w:pStyle w:val="TableContents"/>
              <w:spacing w:before="0" w:after="283"/>
              <w:jc w:val="left"/>
              <w:rPr/>
            </w:pPr>
            <w:r>
              <w:rPr/>
              <w:t> </w:t>
            </w:r>
          </w:p>
        </w:tc>
        <w:tc>
          <w:tcPr>
            <w:tcW w:w="1965" w:type="dxa"/>
            <w:tcBorders/>
            <w:shd w:fill="FFFFFF" w:val="clear"/>
            <w:vAlign w:val="center"/>
          </w:tcPr>
          <w:p>
            <w:pPr>
              <w:pStyle w:val="TableContents"/>
              <w:spacing w:before="0" w:after="283"/>
              <w:jc w:val="left"/>
              <w:rPr/>
            </w:pPr>
            <w:r>
              <w:rPr/>
              <w:t> </w:t>
            </w:r>
          </w:p>
        </w:tc>
        <w:tc>
          <w:tcPr>
            <w:tcW w:w="1332" w:type="dxa"/>
            <w:tcBorders/>
            <w:shd w:fill="FFFFFF" w:val="clear"/>
            <w:vAlign w:val="center"/>
          </w:tcPr>
          <w:p>
            <w:pPr>
              <w:pStyle w:val="TableContents"/>
              <w:spacing w:before="0" w:after="283"/>
              <w:jc w:val="left"/>
              <w:rPr/>
            </w:pPr>
            <w:r>
              <w:rPr/>
              <w:t> </w:t>
            </w:r>
          </w:p>
        </w:tc>
      </w:tr>
      <w:tr>
        <w:trPr/>
        <w:tc>
          <w:tcPr>
            <w:tcW w:w="240" w:type="dxa"/>
            <w:tcBorders/>
            <w:shd w:fill="FFFFFF" w:val="clear"/>
            <w:vAlign w:val="center"/>
          </w:tcPr>
          <w:p>
            <w:pPr>
              <w:pStyle w:val="TableContents"/>
              <w:spacing w:before="0" w:after="283"/>
              <w:jc w:val="center"/>
              <w:rPr/>
            </w:pPr>
            <w:r>
              <w:rPr/>
              <w:t> </w:t>
            </w:r>
          </w:p>
        </w:tc>
        <w:tc>
          <w:tcPr>
            <w:tcW w:w="6668" w:type="dxa"/>
            <w:tcBorders/>
            <w:shd w:fill="FFFFFF" w:val="clear"/>
            <w:vAlign w:val="center"/>
          </w:tcPr>
          <w:p>
            <w:pPr>
              <w:pStyle w:val="TableContents"/>
              <w:spacing w:before="0" w:after="283"/>
              <w:rPr/>
            </w:pPr>
            <w:r>
              <w:rPr/>
              <w:t> </w:t>
            </w:r>
          </w:p>
        </w:tc>
        <w:tc>
          <w:tcPr>
            <w:tcW w:w="1965" w:type="dxa"/>
            <w:tcBorders/>
            <w:shd w:fill="FFFFFF" w:val="clear"/>
            <w:vAlign w:val="center"/>
          </w:tcPr>
          <w:p>
            <w:pPr>
              <w:pStyle w:val="TableContents"/>
              <w:spacing w:before="0" w:after="283"/>
              <w:rPr/>
            </w:pPr>
            <w:r>
              <w:rPr/>
              <w:t> </w:t>
            </w:r>
          </w:p>
        </w:tc>
        <w:tc>
          <w:tcPr>
            <w:tcW w:w="1332" w:type="dxa"/>
            <w:tcBorders/>
            <w:shd w:fill="FFFFFF" w:val="clear"/>
            <w:vAlign w:val="center"/>
          </w:tcPr>
          <w:p>
            <w:pPr>
              <w:pStyle w:val="TableContents"/>
              <w:spacing w:before="0" w:after="283"/>
              <w:rPr/>
            </w:pPr>
            <w:r>
              <w:rPr/>
              <w:t> </w:t>
            </w:r>
          </w:p>
        </w:tc>
      </w:tr>
      <w:tr>
        <w:trPr/>
        <w:tc>
          <w:tcPr>
            <w:tcW w:w="240" w:type="dxa"/>
            <w:tcBorders/>
            <w:shd w:fill="auto" w:val="clear"/>
            <w:vAlign w:val="center"/>
          </w:tcPr>
          <w:p>
            <w:pPr>
              <w:pStyle w:val="TableContents"/>
              <w:spacing w:before="0" w:after="283"/>
              <w:jc w:val="center"/>
              <w:rPr/>
            </w:pPr>
            <w:r>
              <w:rPr/>
              <w:t> </w:t>
            </w:r>
          </w:p>
        </w:tc>
        <w:tc>
          <w:tcPr>
            <w:tcW w:w="9965" w:type="dxa"/>
            <w:gridSpan w:val="3"/>
            <w:tcBorders/>
            <w:shd w:fill="auto" w:val="clear"/>
            <w:vAlign w:val="center"/>
          </w:tcPr>
          <w:p>
            <w:pPr>
              <w:pStyle w:val="TableContents"/>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For complete information regarding our 2023 annual meeting of shareholders, the proposals to be voted on and our performance, please review the entire proxy statement and our 2022 annual report, available at https://investor.FLEETCOR.com and proxyvote.com.</w:t>
            </w:r>
          </w:p>
        </w:tc>
      </w:tr>
    </w:tbl>
    <w:p>
      <w:pPr>
        <w:pStyle w:val="TextBody"/>
        <w:spacing w:before="0" w:after="0"/>
        <w:rPr>
          <w:caps w:val="false"/>
          <w:smallCaps w:val="false"/>
          <w:color w:val="333333"/>
        </w:rPr>
      </w:pPr>
      <w:r>
        <w:rPr>
          <w:caps w:val="false"/>
          <w:smallCaps w:val="false"/>
          <w:color w:val="333333"/>
        </w:rPr>
        <w:t> </w:t>
      </w:r>
    </w:p>
    <w:tbl>
      <w:tblPr>
        <w:tblW w:w="3775" w:type="dxa"/>
        <w:jc w:val="left"/>
        <w:tblInd w:w="0" w:type="dxa"/>
        <w:tblCellMar>
          <w:top w:w="0" w:type="dxa"/>
          <w:left w:w="0" w:type="dxa"/>
          <w:bottom w:w="0" w:type="dxa"/>
          <w:right w:w="0" w:type="dxa"/>
        </w:tblCellMar>
      </w:tblPr>
      <w:tblGrid>
        <w:gridCol w:w="3650"/>
        <w:gridCol w:w="125"/>
      </w:tblGrid>
      <w:tr>
        <w:trPr/>
        <w:tc>
          <w:tcPr>
            <w:tcW w:w="3650" w:type="dxa"/>
            <w:tcBorders/>
            <w:shd w:fill="auto" w:val="clear"/>
            <w:vAlign w:val="center"/>
          </w:tcPr>
          <w:p>
            <w:pPr>
              <w:pStyle w:val="TableContents"/>
              <w:spacing w:before="0" w:after="0"/>
              <w:jc w:val="right"/>
              <w:rPr>
                <w:rFonts w:ascii="Arial;Helvetica;Sans-Serif" w:hAnsi="Arial;Helvetica;Sans-Serif"/>
                <w:b w:val="false"/>
                <w:i w:val="false"/>
                <w:caps w:val="false"/>
                <w:smallCaps w:val="false"/>
                <w:color w:val="333333"/>
                <w:sz w:val="16"/>
              </w:rPr>
            </w:pPr>
            <w:r>
              <w:rPr>
                <w:rFonts w:ascii="Arial;Helvetica;Sans-Serif" w:hAnsi="Arial;Helvetica;Sans-Serif"/>
                <w:b w:val="false"/>
                <w:i w:val="false"/>
                <w:caps w:val="false"/>
                <w:smallCaps w:val="false"/>
                <w:color w:val="333333"/>
                <w:sz w:val="16"/>
              </w:rPr>
              <w:t>2023 Notice of Annual Meeting &amp; Proxy Statement</w:t>
            </w:r>
          </w:p>
        </w:tc>
        <w:tc>
          <w:tcPr>
            <w:tcW w:w="125" w:type="dxa"/>
            <w:tcBorders/>
            <w:shd w:fill="auto" w:val="clear"/>
            <w:vAlign w:val="center"/>
          </w:tcPr>
          <w:p>
            <w:pPr>
              <w:pStyle w:val="TableContents"/>
              <w:spacing w:before="0" w:after="283"/>
              <w:jc w:val="right"/>
              <w:rPr>
                <w:b/>
                <w:color w:val="333333"/>
                <w:sz w:val="16"/>
              </w:rPr>
            </w:pPr>
            <w:r>
              <w:rPr>
                <w:b/>
                <w:color w:val="333333"/>
                <w:sz w:val="16"/>
              </w:rPr>
              <w:t>5</w:t>
            </w:r>
          </w:p>
        </w:tc>
      </w:tr>
    </w:tbl>
    <w:p>
      <w:pPr>
        <w:pStyle w:val="TextBody"/>
        <w:spacing w:before="0" w:after="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rPr>
      </w:pPr>
      <w:r>
        <w:rPr>
          <w:caps w:val="false"/>
          <w:smallCaps w:val="false"/>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bookmarkStart w:id="3" w:name="a003"/>
      <w:bookmarkEnd w:id="3"/>
      <w:r>
        <w:rPr>
          <w:rFonts w:ascii="Arial;Helvetica;Sans-Serif" w:hAnsi="Arial;Helvetica;Sans-Serif"/>
          <w:b/>
          <w:i w:val="false"/>
          <w:caps w:val="false"/>
          <w:smallCaps w:val="false"/>
          <w:sz w:val="20"/>
        </w:rPr>
        <w:t xml:space="preserve">02. </w:t>
      </w:r>
      <w:r>
        <w:rPr>
          <w:rFonts w:ascii="Arial;Helvetica;Sans-Serif" w:hAnsi="Arial;Helvetica;Sans-Serif"/>
          <w:b w:val="false"/>
          <w:i w:val="false"/>
          <w:caps w:val="false"/>
          <w:smallCaps w:val="false"/>
          <w:color w:val="DC0021"/>
          <w:sz w:val="20"/>
        </w:rPr>
        <w:t>FLEETCOR AT A GLANCE</w:t>
      </w:r>
    </w:p>
    <w:p>
      <w:pPr>
        <w:pStyle w:val="TextBody"/>
        <w:spacing w:before="0" w:after="0"/>
        <w:rPr>
          <w:caps w:val="false"/>
          <w:smallCaps w:val="false"/>
        </w:rPr>
      </w:pPr>
      <w:r>
        <w:rPr>
          <w:caps w:val="false"/>
          <w:smallCaps w:val="false"/>
        </w:rPr>
        <w:t> </w:t>
      </w:r>
    </w:p>
    <w:p>
      <w:pPr>
        <w:pStyle w:val="TextBody"/>
        <w:spacing w:before="0" w:after="0"/>
        <w:rPr>
          <w:caps w:val="false"/>
          <w:smallCaps w:val="false"/>
          <w:color w:val="333333"/>
        </w:rPr>
      </w:pPr>
      <w:r>
        <w:rPr>
          <w:caps w:val="false"/>
          <w:smallCaps w:val="false"/>
          <w:color w:val="333333"/>
        </w:rPr>
        <w:t> </w:t>
      </w:r>
      <w:r>
        <mc:AlternateContent>
          <mc:Choice Requires="wps">
            <w:drawing>
              <wp:anchor behindDoc="0" distT="0" distB="0" distL="0" distR="0" simplePos="0" locked="0" layoutInCell="1" allowOverlap="1" relativeHeight="46">
                <wp:simplePos x="0" y="0"/>
                <wp:positionH relativeFrom="column">
                  <wp:align>left</wp:align>
                </wp:positionH>
                <wp:positionV relativeFrom="line">
                  <wp:posOffset>635</wp:posOffset>
                </wp:positionV>
                <wp:extent cx="1943735" cy="7588250"/>
                <wp:effectExtent l="0" t="0" r="0" b="0"/>
                <wp:wrapSquare wrapText="largest"/>
                <wp:docPr id="34" name="Frame7"/>
                <a:graphic xmlns:a="http://schemas.openxmlformats.org/drawingml/2006/main">
                  <a:graphicData uri="http://schemas.microsoft.com/office/word/2010/wordprocessingShape">
                    <wps:wsp>
                      <wps:cNvSpPr txBox="1"/>
                      <wps:spPr>
                        <a:xfrm>
                          <a:off x="0" y="0"/>
                          <a:ext cx="1943735" cy="7588250"/>
                        </a:xfrm>
                        <a:prstGeom prst="rect"/>
                      </wps:spPr>
                      <wps:txbx>
                        <w:txbxContent>
                          <w:tbl>
                            <w:tblPr>
                              <w:tblW w:w="1873" w:type="dxa"/>
                              <w:jc w:val="left"/>
                              <w:tblInd w:w="0" w:type="dxa"/>
                              <w:tblCellMar>
                                <w:top w:w="0" w:type="dxa"/>
                                <w:left w:w="0" w:type="dxa"/>
                                <w:bottom w:w="0" w:type="dxa"/>
                                <w:right w:w="0" w:type="dxa"/>
                              </w:tblCellMar>
                            </w:tblPr>
                            <w:tblGrid>
                              <w:gridCol w:w="1835"/>
                              <w:gridCol w:w="38"/>
                            </w:tblGrid>
                            <w:tr>
                              <w:trPr/>
                              <w:tc>
                                <w:tcPr>
                                  <w:tcW w:w="1835" w:type="dxa"/>
                                  <w:tcBorders/>
                                  <w:shd w:fill="auto" w:val="clear"/>
                                  <w:vAlign w:val="center"/>
                                </w:tcPr>
                                <w:p>
                                  <w:pPr>
                                    <w:pStyle w:val="TableContents"/>
                                    <w:spacing w:before="0" w:after="0"/>
                                    <w:jc w:val="center"/>
                                    <w:rPr>
                                      <w:caps w:val="false"/>
                                      <w:smallCaps w:val="false"/>
                                      <w:color w:val="4C4C4C"/>
                                    </w:rPr>
                                  </w:pPr>
                                  <w:r>
                                    <w:rPr>
                                      <w:caps w:val="false"/>
                                      <w:smallCaps w:val="false"/>
                                      <w:color w:val="4C4C4C"/>
                                    </w:rPr>
                                    <w:drawing>
                                      <wp:inline distT="0" distB="0" distL="0" distR="0">
                                        <wp:extent cx="762000" cy="723900"/>
                                        <wp:effectExtent l="0" t="0" r="0" b="0"/>
                                        <wp:docPr id="35"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3" descr=""/>
                                                <pic:cNvPicPr>
                                                  <a:picLocks noChangeAspect="1" noChangeArrowheads="1"/>
                                                </pic:cNvPicPr>
                                              </pic:nvPicPr>
                                              <pic:blipFill>
                                                <a:blip r:embed="rId24"/>
                                                <a:stretch>
                                                  <a:fillRect/>
                                                </a:stretch>
                                              </pic:blipFill>
                                              <pic:spPr bwMode="auto">
                                                <a:xfrm>
                                                  <a:off x="0" y="0"/>
                                                  <a:ext cx="762000" cy="723900"/>
                                                </a:xfrm>
                                                <a:prstGeom prst="rect">
                                                  <a:avLst/>
                                                </a:prstGeom>
                                              </pic:spPr>
                                            </pic:pic>
                                          </a:graphicData>
                                        </a:graphic>
                                      </wp:inline>
                                    </w:drawing>
                                  </w:r>
                                  <w:r>
                                    <w:rPr>
                                      <w:caps w:val="false"/>
                                      <w:smallCaps w:val="false"/>
                                      <w:color w:val="4C4C4C"/>
                                    </w:rPr>
                                    <w:t> </w:t>
                                  </w:r>
                                </w:p>
                                <w:p>
                                  <w:pPr>
                                    <w:pStyle w:val="TableContents"/>
                                    <w:spacing w:before="0" w:after="0"/>
                                    <w:jc w:val="center"/>
                                    <w:rPr>
                                      <w:rFonts w:ascii="Arial;Helvetica;Sans-Serif" w:hAnsi="Arial;Helvetica;Sans-Serif"/>
                                      <w:b/>
                                      <w:i w:val="false"/>
                                      <w:caps w:val="false"/>
                                      <w:smallCaps w:val="false"/>
                                      <w:color w:val="4C4C4C"/>
                                      <w:sz w:val="36"/>
                                    </w:rPr>
                                  </w:pPr>
                                  <w:r>
                                    <w:rPr>
                                      <w:rFonts w:ascii="Arial;Helvetica;Sans-Serif" w:hAnsi="Arial;Helvetica;Sans-Serif"/>
                                      <w:b/>
                                      <w:i w:val="false"/>
                                      <w:caps w:val="false"/>
                                      <w:smallCaps w:val="false"/>
                                      <w:color w:val="4C4C4C"/>
                                      <w:sz w:val="36"/>
                                    </w:rPr>
                                    <w:t>$3.4B </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rFonts w:ascii="Arial;Helvetica;Sans-Serif" w:hAnsi="Arial;Helvetica;Sans-Serif"/>
                                      <w:b/>
                                      <w:i w:val="false"/>
                                      <w:caps w:val="false"/>
                                      <w:smallCaps w:val="false"/>
                                      <w:color w:val="4C4C4C"/>
                                      <w:sz w:val="20"/>
                                    </w:rPr>
                                  </w:pPr>
                                  <w:r>
                                    <w:rPr>
                                      <w:rFonts w:ascii="Arial;Helvetica;Sans-Serif" w:hAnsi="Arial;Helvetica;Sans-Serif"/>
                                      <w:b/>
                                      <w:i w:val="false"/>
                                      <w:caps w:val="false"/>
                                      <w:smallCaps w:val="false"/>
                                      <w:color w:val="4C4C4C"/>
                                      <w:sz w:val="20"/>
                                    </w:rPr>
                                    <w:t>ANNUAL REVENUE</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drawing>
                                      <wp:inline distT="0" distB="0" distL="0" distR="0">
                                        <wp:extent cx="857250" cy="857250"/>
                                        <wp:effectExtent l="0" t="0" r="0" b="0"/>
                                        <wp:docPr id="36"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4" descr=""/>
                                                <pic:cNvPicPr>
                                                  <a:picLocks noChangeAspect="1" noChangeArrowheads="1"/>
                                                </pic:cNvPicPr>
                                              </pic:nvPicPr>
                                              <pic:blipFill>
                                                <a:blip r:embed="rId25"/>
                                                <a:stretch>
                                                  <a:fillRect/>
                                                </a:stretch>
                                              </pic:blipFill>
                                              <pic:spPr bwMode="auto">
                                                <a:xfrm>
                                                  <a:off x="0" y="0"/>
                                                  <a:ext cx="857250" cy="857250"/>
                                                </a:xfrm>
                                                <a:prstGeom prst="rect">
                                                  <a:avLst/>
                                                </a:prstGeom>
                                              </pic:spPr>
                                            </pic:pic>
                                          </a:graphicData>
                                        </a:graphic>
                                      </wp:inline>
                                    </w:drawing>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rFonts w:ascii="Arial;Helvetica;Sans-Serif" w:hAnsi="Arial;Helvetica;Sans-Serif"/>
                                      <w:b/>
                                      <w:i w:val="false"/>
                                      <w:caps w:val="false"/>
                                      <w:smallCaps w:val="false"/>
                                      <w:color w:val="4C4C4C"/>
                                      <w:sz w:val="36"/>
                                    </w:rPr>
                                  </w:pPr>
                                  <w:r>
                                    <w:rPr>
                                      <w:rFonts w:ascii="Arial;Helvetica;Sans-Serif" w:hAnsi="Arial;Helvetica;Sans-Serif"/>
                                      <w:b/>
                                      <w:i w:val="false"/>
                                      <w:caps w:val="false"/>
                                      <w:smallCaps w:val="false"/>
                                      <w:color w:val="4C4C4C"/>
                                      <w:sz w:val="36"/>
                                    </w:rPr>
                                    <w:t>100+ </w:t>
                                  </w:r>
                                </w:p>
                                <w:p>
                                  <w:pPr>
                                    <w:pStyle w:val="TableContents"/>
                                    <w:spacing w:before="0" w:after="0"/>
                                    <w:jc w:val="center"/>
                                    <w:rPr>
                                      <w:rFonts w:ascii="Arial;Helvetica;Sans-Serif" w:hAnsi="Arial;Helvetica;Sans-Serif"/>
                                      <w:b/>
                                      <w:i w:val="false"/>
                                      <w:caps w:val="false"/>
                                      <w:smallCaps w:val="false"/>
                                      <w:color w:val="4C4C4C"/>
                                      <w:sz w:val="20"/>
                                    </w:rPr>
                                  </w:pPr>
                                  <w:r>
                                    <w:rPr>
                                      <w:rFonts w:ascii="Arial;Helvetica;Sans-Serif" w:hAnsi="Arial;Helvetica;Sans-Serif"/>
                                      <w:b/>
                                      <w:i w:val="false"/>
                                      <w:caps w:val="false"/>
                                      <w:smallCaps w:val="false"/>
                                      <w:color w:val="4C4C4C"/>
                                      <w:sz w:val="20"/>
                                    </w:rPr>
                                    <w:t>COUNTRIES</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drawing>
                                      <wp:inline distT="0" distB="0" distL="0" distR="0">
                                        <wp:extent cx="952500" cy="990600"/>
                                        <wp:effectExtent l="0" t="0" r="0" b="0"/>
                                        <wp:docPr id="3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5" descr=""/>
                                                <pic:cNvPicPr>
                                                  <a:picLocks noChangeAspect="1" noChangeArrowheads="1"/>
                                                </pic:cNvPicPr>
                                              </pic:nvPicPr>
                                              <pic:blipFill>
                                                <a:blip r:embed="rId26"/>
                                                <a:stretch>
                                                  <a:fillRect/>
                                                </a:stretch>
                                              </pic:blipFill>
                                              <pic:spPr bwMode="auto">
                                                <a:xfrm>
                                                  <a:off x="0" y="0"/>
                                                  <a:ext cx="952500" cy="990600"/>
                                                </a:xfrm>
                                                <a:prstGeom prst="rect">
                                                  <a:avLst/>
                                                </a:prstGeom>
                                              </pic:spPr>
                                            </pic:pic>
                                          </a:graphicData>
                                        </a:graphic>
                                      </wp:inline>
                                    </w:drawing>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rFonts w:ascii="Arial;Helvetica;Sans-Serif" w:hAnsi="Arial;Helvetica;Sans-Serif"/>
                                      <w:b/>
                                      <w:i w:val="false"/>
                                      <w:caps w:val="false"/>
                                      <w:smallCaps w:val="false"/>
                                      <w:color w:val="4C4C4C"/>
                                      <w:sz w:val="36"/>
                                    </w:rPr>
                                  </w:pPr>
                                  <w:r>
                                    <w:rPr>
                                      <w:rFonts w:ascii="Arial;Helvetica;Sans-Serif" w:hAnsi="Arial;Helvetica;Sans-Serif"/>
                                      <w:b/>
                                      <w:i w:val="false"/>
                                      <w:caps w:val="false"/>
                                      <w:smallCaps w:val="false"/>
                                      <w:color w:val="4C4C4C"/>
                                      <w:sz w:val="36"/>
                                    </w:rPr>
                                    <w:t>1.7B+ </w:t>
                                  </w:r>
                                </w:p>
                                <w:p>
                                  <w:pPr>
                                    <w:pStyle w:val="TableContents"/>
                                    <w:spacing w:before="0" w:after="0"/>
                                    <w:jc w:val="center"/>
                                    <w:rPr>
                                      <w:rFonts w:ascii="Arial;Helvetica;Sans-Serif" w:hAnsi="Arial;Helvetica;Sans-Serif"/>
                                      <w:b w:val="false"/>
                                      <w:i w:val="false"/>
                                      <w:caps w:val="false"/>
                                      <w:smallCaps w:val="false"/>
                                      <w:color w:val="4C4C4C"/>
                                      <w:sz w:val="20"/>
                                    </w:rPr>
                                  </w:pPr>
                                  <w:r>
                                    <w:rPr>
                                      <w:rFonts w:ascii="Arial;Helvetica;Sans-Serif" w:hAnsi="Arial;Helvetica;Sans-Serif"/>
                                      <w:b/>
                                      <w:i w:val="false"/>
                                      <w:caps w:val="false"/>
                                      <w:smallCaps w:val="false"/>
                                      <w:color w:val="4C4C4C"/>
                                      <w:sz w:val="20"/>
                                    </w:rPr>
                                    <w:t>TRANSACTIONS</w:t>
                                  </w:r>
                                  <w:r>
                                    <w:rPr>
                                      <w:rFonts w:ascii="Arial;Helvetica;Sans-Serif" w:hAnsi="Arial;Helvetica;Sans-Serif"/>
                                      <w:b w:val="false"/>
                                      <w:i w:val="false"/>
                                      <w:caps w:val="false"/>
                                      <w:smallCaps w:val="false"/>
                                      <w:color w:val="4C4C4C"/>
                                      <w:sz w:val="20"/>
                                    </w:rPr>
                                    <w:t> </w:t>
                                  </w:r>
                                </w:p>
                                <w:p>
                                  <w:pPr>
                                    <w:pStyle w:val="TableContents"/>
                                    <w:spacing w:before="0" w:after="0"/>
                                    <w:jc w:val="center"/>
                                    <w:rPr>
                                      <w:rFonts w:ascii="Arial;Helvetica;Sans-Serif" w:hAnsi="Arial;Helvetica;Sans-Serif"/>
                                      <w:b/>
                                      <w:i w:val="false"/>
                                      <w:caps w:val="false"/>
                                      <w:smallCaps w:val="false"/>
                                      <w:color w:val="4C4C4C"/>
                                      <w:sz w:val="20"/>
                                    </w:rPr>
                                  </w:pPr>
                                  <w:r>
                                    <w:rPr>
                                      <w:rFonts w:ascii="Arial;Helvetica;Sans-Serif" w:hAnsi="Arial;Helvetica;Sans-Serif"/>
                                      <w:b/>
                                      <w:i w:val="false"/>
                                      <w:caps w:val="false"/>
                                      <w:smallCaps w:val="false"/>
                                      <w:color w:val="4C4C4C"/>
                                      <w:sz w:val="20"/>
                                    </w:rPr>
                                    <w:t>PER YEAR</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drawing>
                                      <wp:inline distT="0" distB="0" distL="0" distR="0">
                                        <wp:extent cx="952500" cy="952500"/>
                                        <wp:effectExtent l="0" t="0" r="0" b="0"/>
                                        <wp:docPr id="3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6" descr=""/>
                                                <pic:cNvPicPr>
                                                  <a:picLocks noChangeAspect="1" noChangeArrowheads="1"/>
                                                </pic:cNvPicPr>
                                              </pic:nvPicPr>
                                              <pic:blipFill>
                                                <a:blip r:embed="rId27"/>
                                                <a:stretch>
                                                  <a:fillRect/>
                                                </a:stretch>
                                              </pic:blipFill>
                                              <pic:spPr bwMode="auto">
                                                <a:xfrm>
                                                  <a:off x="0" y="0"/>
                                                  <a:ext cx="952500" cy="952500"/>
                                                </a:xfrm>
                                                <a:prstGeom prst="rect">
                                                  <a:avLst/>
                                                </a:prstGeom>
                                              </pic:spPr>
                                            </pic:pic>
                                          </a:graphicData>
                                        </a:graphic>
                                      </wp:inline>
                                    </w:drawing>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rFonts w:ascii="Arial;Helvetica;Sans-Serif" w:hAnsi="Arial;Helvetica;Sans-Serif"/>
                                      <w:b w:val="false"/>
                                      <w:i w:val="false"/>
                                      <w:caps w:val="false"/>
                                      <w:smallCaps w:val="false"/>
                                      <w:color w:val="4C4C4C"/>
                                      <w:sz w:val="36"/>
                                    </w:rPr>
                                  </w:pPr>
                                  <w:r>
                                    <w:rPr>
                                      <w:rFonts w:ascii="Arial;Helvetica;Sans-Serif" w:hAnsi="Arial;Helvetica;Sans-Serif"/>
                                      <w:b/>
                                      <w:i w:val="false"/>
                                      <w:caps w:val="false"/>
                                      <w:smallCaps w:val="false"/>
                                      <w:color w:val="4C4C4C"/>
                                      <w:sz w:val="36"/>
                                    </w:rPr>
                                    <w:t>~10,000</w:t>
                                  </w:r>
                                  <w:r>
                                    <w:rPr>
                                      <w:rFonts w:ascii="Arial;Helvetica;Sans-Serif" w:hAnsi="Arial;Helvetica;Sans-Serif"/>
                                      <w:b w:val="false"/>
                                      <w:i w:val="false"/>
                                      <w:caps w:val="false"/>
                                      <w:smallCaps w:val="false"/>
                                      <w:color w:val="4C4C4C"/>
                                      <w:sz w:val="36"/>
                                    </w:rPr>
                                    <w:t> </w:t>
                                  </w:r>
                                </w:p>
                                <w:p>
                                  <w:pPr>
                                    <w:pStyle w:val="TableContents"/>
                                    <w:spacing w:before="0" w:after="0"/>
                                    <w:jc w:val="center"/>
                                    <w:rPr>
                                      <w:rFonts w:ascii="Arial;Helvetica;Sans-Serif" w:hAnsi="Arial;Helvetica;Sans-Serif"/>
                                      <w:b w:val="false"/>
                                      <w:i w:val="false"/>
                                      <w:caps w:val="false"/>
                                      <w:smallCaps w:val="false"/>
                                      <w:color w:val="4C4C4C"/>
                                      <w:sz w:val="20"/>
                                    </w:rPr>
                                  </w:pPr>
                                  <w:r>
                                    <w:rPr>
                                      <w:rFonts w:ascii="Arial;Helvetica;Sans-Serif" w:hAnsi="Arial;Helvetica;Sans-Serif"/>
                                      <w:b/>
                                      <w:i w:val="false"/>
                                      <w:caps w:val="false"/>
                                      <w:smallCaps w:val="false"/>
                                      <w:color w:val="4C4C4C"/>
                                      <w:sz w:val="20"/>
                                    </w:rPr>
                                    <w:t>EMPLOYEES</w:t>
                                  </w:r>
                                  <w:r>
                                    <w:rPr>
                                      <w:rFonts w:ascii="Arial;Helvetica;Sans-Serif" w:hAnsi="Arial;Helvetica;Sans-Serif"/>
                                      <w:b w:val="false"/>
                                      <w:i w:val="false"/>
                                      <w:caps w:val="false"/>
                                      <w:smallCaps w:val="false"/>
                                      <w:color w:val="4C4C4C"/>
                                      <w:sz w:val="20"/>
                                    </w:rPr>
                                    <w:t> </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597.5pt;mso-wrap-distance-left:0pt;mso-wrap-distance-right:0pt;mso-wrap-distance-top:0pt;mso-wrap-distance-bottom:0pt;margin-top:0pt;mso-position-vertical:top;mso-position-vertical-relative:text;margin-left:0pt;mso-position-horizontal:left;mso-position-horizontal-relative:text">
                <v:textbox>
                  <w:txbxContent>
                    <w:tbl>
                      <w:tblPr>
                        <w:tblW w:w="1873" w:type="dxa"/>
                        <w:jc w:val="left"/>
                        <w:tblInd w:w="0" w:type="dxa"/>
                        <w:tblCellMar>
                          <w:top w:w="0" w:type="dxa"/>
                          <w:left w:w="0" w:type="dxa"/>
                          <w:bottom w:w="0" w:type="dxa"/>
                          <w:right w:w="0" w:type="dxa"/>
                        </w:tblCellMar>
                      </w:tblPr>
                      <w:tblGrid>
                        <w:gridCol w:w="1835"/>
                        <w:gridCol w:w="38"/>
                      </w:tblGrid>
                      <w:tr>
                        <w:trPr/>
                        <w:tc>
                          <w:tcPr>
                            <w:tcW w:w="1835" w:type="dxa"/>
                            <w:tcBorders/>
                            <w:shd w:fill="auto" w:val="clear"/>
                            <w:vAlign w:val="center"/>
                          </w:tcPr>
                          <w:p>
                            <w:pPr>
                              <w:pStyle w:val="TableContents"/>
                              <w:spacing w:before="0" w:after="0"/>
                              <w:jc w:val="center"/>
                              <w:rPr>
                                <w:caps w:val="false"/>
                                <w:smallCaps w:val="false"/>
                                <w:color w:val="4C4C4C"/>
                              </w:rPr>
                            </w:pPr>
                            <w:r>
                              <w:rPr>
                                <w:caps w:val="false"/>
                                <w:smallCaps w:val="false"/>
                                <w:color w:val="4C4C4C"/>
                              </w:rPr>
                              <w:drawing>
                                <wp:inline distT="0" distB="0" distL="0" distR="0">
                                  <wp:extent cx="762000" cy="723900"/>
                                  <wp:effectExtent l="0" t="0" r="0" b="0"/>
                                  <wp:docPr id="39"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3" descr=""/>
                                          <pic:cNvPicPr>
                                            <a:picLocks noChangeAspect="1" noChangeArrowheads="1"/>
                                          </pic:cNvPicPr>
                                        </pic:nvPicPr>
                                        <pic:blipFill>
                                          <a:blip r:embed="rId24"/>
                                          <a:stretch>
                                            <a:fillRect/>
                                          </a:stretch>
                                        </pic:blipFill>
                                        <pic:spPr bwMode="auto">
                                          <a:xfrm>
                                            <a:off x="0" y="0"/>
                                            <a:ext cx="762000" cy="723900"/>
                                          </a:xfrm>
                                          <a:prstGeom prst="rect">
                                            <a:avLst/>
                                          </a:prstGeom>
                                        </pic:spPr>
                                      </pic:pic>
                                    </a:graphicData>
                                  </a:graphic>
                                </wp:inline>
                              </w:drawing>
                            </w:r>
                            <w:r>
                              <w:rPr>
                                <w:caps w:val="false"/>
                                <w:smallCaps w:val="false"/>
                                <w:color w:val="4C4C4C"/>
                              </w:rPr>
                              <w:t> </w:t>
                            </w:r>
                          </w:p>
                          <w:p>
                            <w:pPr>
                              <w:pStyle w:val="TableContents"/>
                              <w:spacing w:before="0" w:after="0"/>
                              <w:jc w:val="center"/>
                              <w:rPr>
                                <w:rFonts w:ascii="Arial;Helvetica;Sans-Serif" w:hAnsi="Arial;Helvetica;Sans-Serif"/>
                                <w:b/>
                                <w:i w:val="false"/>
                                <w:caps w:val="false"/>
                                <w:smallCaps w:val="false"/>
                                <w:color w:val="4C4C4C"/>
                                <w:sz w:val="36"/>
                              </w:rPr>
                            </w:pPr>
                            <w:r>
                              <w:rPr>
                                <w:rFonts w:ascii="Arial;Helvetica;Sans-Serif" w:hAnsi="Arial;Helvetica;Sans-Serif"/>
                                <w:b/>
                                <w:i w:val="false"/>
                                <w:caps w:val="false"/>
                                <w:smallCaps w:val="false"/>
                                <w:color w:val="4C4C4C"/>
                                <w:sz w:val="36"/>
                              </w:rPr>
                              <w:t>$3.4B </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rFonts w:ascii="Arial;Helvetica;Sans-Serif" w:hAnsi="Arial;Helvetica;Sans-Serif"/>
                                <w:b/>
                                <w:i w:val="false"/>
                                <w:caps w:val="false"/>
                                <w:smallCaps w:val="false"/>
                                <w:color w:val="4C4C4C"/>
                                <w:sz w:val="20"/>
                              </w:rPr>
                            </w:pPr>
                            <w:r>
                              <w:rPr>
                                <w:rFonts w:ascii="Arial;Helvetica;Sans-Serif" w:hAnsi="Arial;Helvetica;Sans-Serif"/>
                                <w:b/>
                                <w:i w:val="false"/>
                                <w:caps w:val="false"/>
                                <w:smallCaps w:val="false"/>
                                <w:color w:val="4C4C4C"/>
                                <w:sz w:val="20"/>
                              </w:rPr>
                              <w:t>ANNUAL REVENUE</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drawing>
                                <wp:inline distT="0" distB="0" distL="0" distR="0">
                                  <wp:extent cx="857250" cy="857250"/>
                                  <wp:effectExtent l="0" t="0" r="0" b="0"/>
                                  <wp:docPr id="4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4" descr=""/>
                                          <pic:cNvPicPr>
                                            <a:picLocks noChangeAspect="1" noChangeArrowheads="1"/>
                                          </pic:cNvPicPr>
                                        </pic:nvPicPr>
                                        <pic:blipFill>
                                          <a:blip r:embed="rId25"/>
                                          <a:stretch>
                                            <a:fillRect/>
                                          </a:stretch>
                                        </pic:blipFill>
                                        <pic:spPr bwMode="auto">
                                          <a:xfrm>
                                            <a:off x="0" y="0"/>
                                            <a:ext cx="857250" cy="857250"/>
                                          </a:xfrm>
                                          <a:prstGeom prst="rect">
                                            <a:avLst/>
                                          </a:prstGeom>
                                        </pic:spPr>
                                      </pic:pic>
                                    </a:graphicData>
                                  </a:graphic>
                                </wp:inline>
                              </w:drawing>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rFonts w:ascii="Arial;Helvetica;Sans-Serif" w:hAnsi="Arial;Helvetica;Sans-Serif"/>
                                <w:b/>
                                <w:i w:val="false"/>
                                <w:caps w:val="false"/>
                                <w:smallCaps w:val="false"/>
                                <w:color w:val="4C4C4C"/>
                                <w:sz w:val="36"/>
                              </w:rPr>
                            </w:pPr>
                            <w:r>
                              <w:rPr>
                                <w:rFonts w:ascii="Arial;Helvetica;Sans-Serif" w:hAnsi="Arial;Helvetica;Sans-Serif"/>
                                <w:b/>
                                <w:i w:val="false"/>
                                <w:caps w:val="false"/>
                                <w:smallCaps w:val="false"/>
                                <w:color w:val="4C4C4C"/>
                                <w:sz w:val="36"/>
                              </w:rPr>
                              <w:t>100+ </w:t>
                            </w:r>
                          </w:p>
                          <w:p>
                            <w:pPr>
                              <w:pStyle w:val="TableContents"/>
                              <w:spacing w:before="0" w:after="0"/>
                              <w:jc w:val="center"/>
                              <w:rPr>
                                <w:rFonts w:ascii="Arial;Helvetica;Sans-Serif" w:hAnsi="Arial;Helvetica;Sans-Serif"/>
                                <w:b/>
                                <w:i w:val="false"/>
                                <w:caps w:val="false"/>
                                <w:smallCaps w:val="false"/>
                                <w:color w:val="4C4C4C"/>
                                <w:sz w:val="20"/>
                              </w:rPr>
                            </w:pPr>
                            <w:r>
                              <w:rPr>
                                <w:rFonts w:ascii="Arial;Helvetica;Sans-Serif" w:hAnsi="Arial;Helvetica;Sans-Serif"/>
                                <w:b/>
                                <w:i w:val="false"/>
                                <w:caps w:val="false"/>
                                <w:smallCaps w:val="false"/>
                                <w:color w:val="4C4C4C"/>
                                <w:sz w:val="20"/>
                              </w:rPr>
                              <w:t>COUNTRIES</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drawing>
                                <wp:inline distT="0" distB="0" distL="0" distR="0">
                                  <wp:extent cx="952500" cy="990600"/>
                                  <wp:effectExtent l="0" t="0" r="0" b="0"/>
                                  <wp:docPr id="4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5" descr=""/>
                                          <pic:cNvPicPr>
                                            <a:picLocks noChangeAspect="1" noChangeArrowheads="1"/>
                                          </pic:cNvPicPr>
                                        </pic:nvPicPr>
                                        <pic:blipFill>
                                          <a:blip r:embed="rId26"/>
                                          <a:stretch>
                                            <a:fillRect/>
                                          </a:stretch>
                                        </pic:blipFill>
                                        <pic:spPr bwMode="auto">
                                          <a:xfrm>
                                            <a:off x="0" y="0"/>
                                            <a:ext cx="952500" cy="990600"/>
                                          </a:xfrm>
                                          <a:prstGeom prst="rect">
                                            <a:avLst/>
                                          </a:prstGeom>
                                        </pic:spPr>
                                      </pic:pic>
                                    </a:graphicData>
                                  </a:graphic>
                                </wp:inline>
                              </w:drawing>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rFonts w:ascii="Arial;Helvetica;Sans-Serif" w:hAnsi="Arial;Helvetica;Sans-Serif"/>
                                <w:b/>
                                <w:i w:val="false"/>
                                <w:caps w:val="false"/>
                                <w:smallCaps w:val="false"/>
                                <w:color w:val="4C4C4C"/>
                                <w:sz w:val="36"/>
                              </w:rPr>
                            </w:pPr>
                            <w:r>
                              <w:rPr>
                                <w:rFonts w:ascii="Arial;Helvetica;Sans-Serif" w:hAnsi="Arial;Helvetica;Sans-Serif"/>
                                <w:b/>
                                <w:i w:val="false"/>
                                <w:caps w:val="false"/>
                                <w:smallCaps w:val="false"/>
                                <w:color w:val="4C4C4C"/>
                                <w:sz w:val="36"/>
                              </w:rPr>
                              <w:t>1.7B+ </w:t>
                            </w:r>
                          </w:p>
                          <w:p>
                            <w:pPr>
                              <w:pStyle w:val="TableContents"/>
                              <w:spacing w:before="0" w:after="0"/>
                              <w:jc w:val="center"/>
                              <w:rPr>
                                <w:rFonts w:ascii="Arial;Helvetica;Sans-Serif" w:hAnsi="Arial;Helvetica;Sans-Serif"/>
                                <w:b w:val="false"/>
                                <w:i w:val="false"/>
                                <w:caps w:val="false"/>
                                <w:smallCaps w:val="false"/>
                                <w:color w:val="4C4C4C"/>
                                <w:sz w:val="20"/>
                              </w:rPr>
                            </w:pPr>
                            <w:r>
                              <w:rPr>
                                <w:rFonts w:ascii="Arial;Helvetica;Sans-Serif" w:hAnsi="Arial;Helvetica;Sans-Serif"/>
                                <w:b/>
                                <w:i w:val="false"/>
                                <w:caps w:val="false"/>
                                <w:smallCaps w:val="false"/>
                                <w:color w:val="4C4C4C"/>
                                <w:sz w:val="20"/>
                              </w:rPr>
                              <w:t>TRANSACTIONS</w:t>
                            </w:r>
                            <w:r>
                              <w:rPr>
                                <w:rFonts w:ascii="Arial;Helvetica;Sans-Serif" w:hAnsi="Arial;Helvetica;Sans-Serif"/>
                                <w:b w:val="false"/>
                                <w:i w:val="false"/>
                                <w:caps w:val="false"/>
                                <w:smallCaps w:val="false"/>
                                <w:color w:val="4C4C4C"/>
                                <w:sz w:val="20"/>
                              </w:rPr>
                              <w:t> </w:t>
                            </w:r>
                          </w:p>
                          <w:p>
                            <w:pPr>
                              <w:pStyle w:val="TableContents"/>
                              <w:spacing w:before="0" w:after="0"/>
                              <w:jc w:val="center"/>
                              <w:rPr>
                                <w:rFonts w:ascii="Arial;Helvetica;Sans-Serif" w:hAnsi="Arial;Helvetica;Sans-Serif"/>
                                <w:b/>
                                <w:i w:val="false"/>
                                <w:caps w:val="false"/>
                                <w:smallCaps w:val="false"/>
                                <w:color w:val="4C4C4C"/>
                                <w:sz w:val="20"/>
                              </w:rPr>
                            </w:pPr>
                            <w:r>
                              <w:rPr>
                                <w:rFonts w:ascii="Arial;Helvetica;Sans-Serif" w:hAnsi="Arial;Helvetica;Sans-Serif"/>
                                <w:b/>
                                <w:i w:val="false"/>
                                <w:caps w:val="false"/>
                                <w:smallCaps w:val="false"/>
                                <w:color w:val="4C4C4C"/>
                                <w:sz w:val="20"/>
                              </w:rPr>
                              <w:t>PER YEAR</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drawing>
                                <wp:inline distT="0" distB="0" distL="0" distR="0">
                                  <wp:extent cx="952500" cy="952500"/>
                                  <wp:effectExtent l="0" t="0" r="0" b="0"/>
                                  <wp:docPr id="4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6" descr=""/>
                                          <pic:cNvPicPr>
                                            <a:picLocks noChangeAspect="1" noChangeArrowheads="1"/>
                                          </pic:cNvPicPr>
                                        </pic:nvPicPr>
                                        <pic:blipFill>
                                          <a:blip r:embed="rId27"/>
                                          <a:stretch>
                                            <a:fillRect/>
                                          </a:stretch>
                                        </pic:blipFill>
                                        <pic:spPr bwMode="auto">
                                          <a:xfrm>
                                            <a:off x="0" y="0"/>
                                            <a:ext cx="952500" cy="952500"/>
                                          </a:xfrm>
                                          <a:prstGeom prst="rect">
                                            <a:avLst/>
                                          </a:prstGeom>
                                        </pic:spPr>
                                      </pic:pic>
                                    </a:graphicData>
                                  </a:graphic>
                                </wp:inline>
                              </w:drawing>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rFonts w:ascii="Arial;Helvetica;Sans-Serif" w:hAnsi="Arial;Helvetica;Sans-Serif"/>
                                <w:b w:val="false"/>
                                <w:i w:val="false"/>
                                <w:caps w:val="false"/>
                                <w:smallCaps w:val="false"/>
                                <w:color w:val="4C4C4C"/>
                                <w:sz w:val="36"/>
                              </w:rPr>
                            </w:pPr>
                            <w:r>
                              <w:rPr>
                                <w:rFonts w:ascii="Arial;Helvetica;Sans-Serif" w:hAnsi="Arial;Helvetica;Sans-Serif"/>
                                <w:b/>
                                <w:i w:val="false"/>
                                <w:caps w:val="false"/>
                                <w:smallCaps w:val="false"/>
                                <w:color w:val="4C4C4C"/>
                                <w:sz w:val="36"/>
                              </w:rPr>
                              <w:t>~10,000</w:t>
                            </w:r>
                            <w:r>
                              <w:rPr>
                                <w:rFonts w:ascii="Arial;Helvetica;Sans-Serif" w:hAnsi="Arial;Helvetica;Sans-Serif"/>
                                <w:b w:val="false"/>
                                <w:i w:val="false"/>
                                <w:caps w:val="false"/>
                                <w:smallCaps w:val="false"/>
                                <w:color w:val="4C4C4C"/>
                                <w:sz w:val="36"/>
                              </w:rPr>
                              <w:t> </w:t>
                            </w:r>
                          </w:p>
                          <w:p>
                            <w:pPr>
                              <w:pStyle w:val="TableContents"/>
                              <w:spacing w:before="0" w:after="0"/>
                              <w:jc w:val="center"/>
                              <w:rPr>
                                <w:rFonts w:ascii="Arial;Helvetica;Sans-Serif" w:hAnsi="Arial;Helvetica;Sans-Serif"/>
                                <w:b w:val="false"/>
                                <w:i w:val="false"/>
                                <w:caps w:val="false"/>
                                <w:smallCaps w:val="false"/>
                                <w:color w:val="4C4C4C"/>
                                <w:sz w:val="20"/>
                              </w:rPr>
                            </w:pPr>
                            <w:r>
                              <w:rPr>
                                <w:rFonts w:ascii="Arial;Helvetica;Sans-Serif" w:hAnsi="Arial;Helvetica;Sans-Serif"/>
                                <w:b/>
                                <w:i w:val="false"/>
                                <w:caps w:val="false"/>
                                <w:smallCaps w:val="false"/>
                                <w:color w:val="4C4C4C"/>
                                <w:sz w:val="20"/>
                              </w:rPr>
                              <w:t>EMPLOYEES</w:t>
                            </w:r>
                            <w:r>
                              <w:rPr>
                                <w:rFonts w:ascii="Arial;Helvetica;Sans-Serif" w:hAnsi="Arial;Helvetica;Sans-Serif"/>
                                <w:b w:val="false"/>
                                <w:i w:val="false"/>
                                <w:caps w:val="false"/>
                                <w:smallCaps w:val="false"/>
                                <w:color w:val="4C4C4C"/>
                                <w:sz w:val="20"/>
                              </w:rPr>
                              <w:t> </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t> </w:t>
                            </w:r>
                          </w:p>
                          <w:p>
                            <w:pPr>
                              <w:pStyle w:val="TableContents"/>
                              <w:spacing w:before="0" w:after="0"/>
                              <w:jc w:val="center"/>
                              <w:rPr>
                                <w:caps w:val="false"/>
                                <w:smallCaps w:val="false"/>
                                <w:color w:val="4C4C4C"/>
                              </w:rPr>
                            </w:pPr>
                            <w:r>
                              <w:rPr>
                                <w:caps w:val="false"/>
                                <w:smallCaps w:val="false"/>
                                <w:color w:val="4C4C4C"/>
                              </w:rPr>
                              <w:t> </w:t>
                            </w:r>
                          </w:p>
                        </w:tc>
                        <w:tc>
                          <w:tcPr>
                            <w:tcW w:w="38" w:type="dxa"/>
                            <w:tcBorders/>
                            <w:shd w:fill="auto" w:val="cle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47">
                <wp:simplePos x="0" y="0"/>
                <wp:positionH relativeFrom="column">
                  <wp:align>right</wp:align>
                </wp:positionH>
                <wp:positionV relativeFrom="line">
                  <wp:posOffset>635</wp:posOffset>
                </wp:positionV>
                <wp:extent cx="4341495" cy="7543800"/>
                <wp:effectExtent l="0" t="0" r="0" b="0"/>
                <wp:wrapSquare wrapText="largest"/>
                <wp:docPr id="43" name="Frame8"/>
                <a:graphic xmlns:a="http://schemas.openxmlformats.org/drawingml/2006/main">
                  <a:graphicData uri="http://schemas.microsoft.com/office/word/2010/wordprocessingShape">
                    <wps:wsp>
                      <wps:cNvSpPr txBox="1"/>
                      <wps:spPr>
                        <a:xfrm>
                          <a:off x="0" y="0"/>
                          <a:ext cx="4341495" cy="7543800"/>
                        </a:xfrm>
                        <a:prstGeom prst="rect"/>
                      </wps:spPr>
                      <wps:txbx>
                        <w:txbxContent>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 Technologies, Inc. (“FLEETCOR”) is a leading global provider of digital payment solutions that enables businesses to control purchases and make payments in a smarter, simpler and better way. We serve businesses, partners, merchants, consumers and payment networks in North America, Latin America, Europe, and Asia Pacific.</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Businesses spend an estimated $135 trillion each year with other businesses. In many instances, they lack the proper tools to monitor what is being purchased, and employ manual, paper-based, disparate processes and methods to both approve and make payments for their purchases. This often results in wasted time and money due to unnecessary or unauthorized spending, fraud, receipt collection, data input and consolidation, report generation, reimbursement processing, account reconciliations, employee disciplinary actions, and more.</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Our wide range of modern, digitized solutions generally provides control, reporting, and automation benefits superior to many of the payment methods businesses often used such as cash, paper checks, general purpose credit cards, as well as employee pay and reclaim processes. In addition to delivering meaningful value to our customers, our solutions also share several important and attractive business model characteristics such as:</w:t>
                            </w:r>
                          </w:p>
                          <w:p>
                            <w:pPr>
                              <w:pStyle w:val="TextBody"/>
                              <w:spacing w:before="0" w:after="0"/>
                              <w:rPr>
                                <w:caps w:val="false"/>
                                <w:smallCaps w:val="false"/>
                                <w:color w:val="333333"/>
                              </w:rPr>
                            </w:pPr>
                            <w:r>
                              <w:rPr>
                                <w:caps w:val="false"/>
                                <w:smallCaps w:val="false"/>
                                <w:color w:val="333333"/>
                              </w:rPr>
                              <w:t> </w:t>
                            </w:r>
                          </w:p>
                          <w:tbl>
                            <w:tblPr>
                              <w:tblW w:w="7168" w:type="dxa"/>
                              <w:jc w:val="left"/>
                              <w:tblInd w:w="0" w:type="dxa"/>
                              <w:tblCellMar>
                                <w:top w:w="0" w:type="dxa"/>
                                <w:left w:w="0" w:type="dxa"/>
                                <w:bottom w:w="0" w:type="dxa"/>
                                <w:right w:w="0" w:type="dxa"/>
                              </w:tblCellMar>
                            </w:tblPr>
                            <w:tblGrid>
                              <w:gridCol w:w="38"/>
                              <w:gridCol w:w="165"/>
                              <w:gridCol w:w="6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4"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7" descr=""/>
                                                <pic:cNvPicPr>
                                                  <a:picLocks noChangeAspect="1" noChangeArrowheads="1"/>
                                                </pic:cNvPicPr>
                                              </pic:nvPicPr>
                                              <pic:blipFill>
                                                <a:blip r:embed="rId28"/>
                                                <a:stretch>
                                                  <a:fillRect/>
                                                </a:stretch>
                                              </pic:blipFill>
                                              <pic:spPr bwMode="auto">
                                                <a:xfrm>
                                                  <a:off x="0" y="0"/>
                                                  <a:ext cx="104775" cy="85725"/>
                                                </a:xfrm>
                                                <a:prstGeom prst="rect">
                                                  <a:avLst/>
                                                </a:prstGeom>
                                              </pic:spPr>
                                            </pic:pic>
                                          </a:graphicData>
                                        </a:graphic>
                                      </wp:inline>
                                    </w:drawing>
                                  </w:r>
                                </w:p>
                              </w:tc>
                              <w:tc>
                                <w:tcPr>
                                  <w:tcW w:w="6965" w:type="dxa"/>
                                  <w:tcBorders/>
                                  <w:shd w:fill="auto" w:val="clear"/>
                                  <w:vAlign w:val="center"/>
                                </w:tcPr>
                                <w:p>
                                  <w:pPr>
                                    <w:pStyle w:val="TableContents"/>
                                    <w:spacing w:before="0" w:after="283"/>
                                    <w:jc w:val="left"/>
                                    <w:rPr>
                                      <w:color w:val="333333"/>
                                      <w:sz w:val="18"/>
                                    </w:rPr>
                                  </w:pPr>
                                  <w:r>
                                    <w:rPr>
                                      <w:color w:val="333333"/>
                                      <w:sz w:val="18"/>
                                    </w:rPr>
                                    <w:t>Customers are primarily businesses, which tend to have relatively predictable, consistent volumes;</w:t>
                                  </w:r>
                                </w:p>
                              </w:tc>
                            </w:tr>
                          </w:tbl>
                          <w:tbl>
                            <w:tblPr>
                              <w:tblW w:w="7873" w:type="dxa"/>
                              <w:jc w:val="left"/>
                              <w:tblInd w:w="0" w:type="dxa"/>
                              <w:tblCellMar>
                                <w:top w:w="0" w:type="dxa"/>
                                <w:left w:w="0" w:type="dxa"/>
                                <w:bottom w:w="0" w:type="dxa"/>
                                <w:right w:w="0" w:type="dxa"/>
                              </w:tblCellMar>
                            </w:tblPr>
                            <w:tblGrid>
                              <w:gridCol w:w="38"/>
                              <w:gridCol w:w="165"/>
                              <w:gridCol w:w="76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5"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8" descr=""/>
                                                <pic:cNvPicPr>
                                                  <a:picLocks noChangeAspect="1" noChangeArrowheads="1"/>
                                                </pic:cNvPicPr>
                                              </pic:nvPicPr>
                                              <pic:blipFill>
                                                <a:blip r:embed="rId29"/>
                                                <a:stretch>
                                                  <a:fillRect/>
                                                </a:stretch>
                                              </pic:blipFill>
                                              <pic:spPr bwMode="auto">
                                                <a:xfrm>
                                                  <a:off x="0" y="0"/>
                                                  <a:ext cx="104775" cy="85725"/>
                                                </a:xfrm>
                                                <a:prstGeom prst="rect">
                                                  <a:avLst/>
                                                </a:prstGeom>
                                              </pic:spPr>
                                            </pic:pic>
                                          </a:graphicData>
                                        </a:graphic>
                                      </wp:inline>
                                    </w:drawing>
                                  </w:r>
                                </w:p>
                              </w:tc>
                              <w:tc>
                                <w:tcPr>
                                  <w:tcW w:w="7670" w:type="dxa"/>
                                  <w:tcBorders/>
                                  <w:shd w:fill="auto" w:val="clear"/>
                                  <w:vAlign w:val="center"/>
                                </w:tcPr>
                                <w:p>
                                  <w:pPr>
                                    <w:pStyle w:val="TableContents"/>
                                    <w:spacing w:before="0" w:after="283"/>
                                    <w:jc w:val="left"/>
                                    <w:rPr>
                                      <w:color w:val="333333"/>
                                      <w:sz w:val="18"/>
                                    </w:rPr>
                                  </w:pPr>
                                  <w:r>
                                    <w:rPr>
                                      <w:color w:val="333333"/>
                                      <w:sz w:val="18"/>
                                    </w:rPr>
                                    <w:t>Recurring revenue models driven by recurring volume and higher retention, resulting in predictable revenue;</w:t>
                                  </w:r>
                                </w:p>
                              </w:tc>
                            </w:tr>
                          </w:tbl>
                          <w:tbl>
                            <w:tblPr>
                              <w:tblW w:w="8158" w:type="dxa"/>
                              <w:jc w:val="left"/>
                              <w:tblInd w:w="0" w:type="dxa"/>
                              <w:tblCellMar>
                                <w:top w:w="0" w:type="dxa"/>
                                <w:left w:w="0" w:type="dxa"/>
                                <w:bottom w:w="0" w:type="dxa"/>
                                <w:right w:w="0" w:type="dxa"/>
                              </w:tblCellMar>
                            </w:tblPr>
                            <w:tblGrid>
                              <w:gridCol w:w="38"/>
                              <w:gridCol w:w="165"/>
                              <w:gridCol w:w="79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29" descr=""/>
                                                <pic:cNvPicPr>
                                                  <a:picLocks noChangeAspect="1" noChangeArrowheads="1"/>
                                                </pic:cNvPicPr>
                                              </pic:nvPicPr>
                                              <pic:blipFill>
                                                <a:blip r:embed="rId30"/>
                                                <a:stretch>
                                                  <a:fillRect/>
                                                </a:stretch>
                                              </pic:blipFill>
                                              <pic:spPr bwMode="auto">
                                                <a:xfrm>
                                                  <a:off x="0" y="0"/>
                                                  <a:ext cx="104775" cy="85725"/>
                                                </a:xfrm>
                                                <a:prstGeom prst="rect">
                                                  <a:avLst/>
                                                </a:prstGeom>
                                              </pic:spPr>
                                            </pic:pic>
                                          </a:graphicData>
                                        </a:graphic>
                                      </wp:inline>
                                    </w:drawing>
                                  </w:r>
                                </w:p>
                              </w:tc>
                              <w:tc>
                                <w:tcPr>
                                  <w:tcW w:w="7955" w:type="dxa"/>
                                  <w:tcBorders/>
                                  <w:shd w:fill="auto" w:val="clear"/>
                                  <w:vAlign w:val="center"/>
                                </w:tcPr>
                                <w:p>
                                  <w:pPr>
                                    <w:pStyle w:val="TableContents"/>
                                    <w:spacing w:before="0" w:after="283"/>
                                    <w:jc w:val="left"/>
                                    <w:rPr>
                                      <w:color w:val="333333"/>
                                      <w:sz w:val="18"/>
                                    </w:rPr>
                                  </w:pPr>
                                  <w:r>
                                    <w:rPr>
                                      <w:color w:val="333333"/>
                                      <w:sz w:val="18"/>
                                    </w:rPr>
                                    <w:t>Similar business-to-business (B2B) selling systems with common sales approaches, management and reporting;</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0" descr=""/>
                                                <pic:cNvPicPr>
                                                  <a:picLocks noChangeAspect="1" noChangeArrowheads="1"/>
                                                </pic:cNvPicPr>
                                              </pic:nvPicPr>
                                              <pic:blipFill>
                                                <a:blip r:embed="rId31"/>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color w:val="333333"/>
                                      <w:sz w:val="18"/>
                                    </w:rPr>
                                  </w:pPr>
                                  <w:r>
                                    <w:rPr>
                                      <w:color w:val="333333"/>
                                      <w:sz w:val="18"/>
                                    </w:rPr>
                                    <w:t>Specialized technology platforms and proprietary payment acceptance networks, which create competitive advantages and barriers to entry; and</w:t>
                                  </w:r>
                                </w:p>
                              </w:tc>
                            </w:tr>
                          </w:tbl>
                          <w:tbl>
                            <w:tblPr>
                              <w:tblW w:w="6868" w:type="dxa"/>
                              <w:jc w:val="left"/>
                              <w:tblInd w:w="0" w:type="dxa"/>
                              <w:tblCellMar>
                                <w:top w:w="0" w:type="dxa"/>
                                <w:left w:w="0" w:type="dxa"/>
                                <w:bottom w:w="0" w:type="dxa"/>
                                <w:right w:w="0" w:type="dxa"/>
                              </w:tblCellMar>
                            </w:tblPr>
                            <w:tblGrid>
                              <w:gridCol w:w="38"/>
                              <w:gridCol w:w="165"/>
                              <w:gridCol w:w="66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1" descr=""/>
                                                <pic:cNvPicPr>
                                                  <a:picLocks noChangeAspect="1" noChangeArrowheads="1"/>
                                                </pic:cNvPicPr>
                                              </pic:nvPicPr>
                                              <pic:blipFill>
                                                <a:blip r:embed="rId32"/>
                                                <a:stretch>
                                                  <a:fillRect/>
                                                </a:stretch>
                                              </pic:blipFill>
                                              <pic:spPr bwMode="auto">
                                                <a:xfrm>
                                                  <a:off x="0" y="0"/>
                                                  <a:ext cx="104775" cy="85725"/>
                                                </a:xfrm>
                                                <a:prstGeom prst="rect">
                                                  <a:avLst/>
                                                </a:prstGeom>
                                              </pic:spPr>
                                            </pic:pic>
                                          </a:graphicData>
                                        </a:graphic>
                                      </wp:inline>
                                    </w:drawing>
                                  </w:r>
                                </w:p>
                              </w:tc>
                              <w:tc>
                                <w:tcPr>
                                  <w:tcW w:w="6665" w:type="dxa"/>
                                  <w:tcBorders/>
                                  <w:shd w:fill="auto" w:val="clear"/>
                                  <w:vAlign w:val="center"/>
                                </w:tcPr>
                                <w:p>
                                  <w:pPr>
                                    <w:pStyle w:val="TableContents"/>
                                    <w:spacing w:before="0" w:after="283"/>
                                    <w:jc w:val="left"/>
                                    <w:rPr>
                                      <w:color w:val="333333"/>
                                      <w:sz w:val="18"/>
                                    </w:rPr>
                                  </w:pPr>
                                  <w:r>
                                    <w:rPr>
                                      <w:color w:val="333333"/>
                                      <w:sz w:val="18"/>
                                    </w:rPr>
                                    <w:t>High EBITDA margins and cash flow translation and limited capital investment requirements.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DC0021"/>
                                <w:sz w:val="20"/>
                              </w:rPr>
                            </w:pPr>
                            <w:bookmarkStart w:id="4" w:name="a004"/>
                            <w:bookmarkEnd w:id="4"/>
                            <w:r>
                              <w:rPr>
                                <w:rFonts w:ascii="Arial;Helvetica;Sans-Serif" w:hAnsi="Arial;Helvetica;Sans-Serif"/>
                                <w:b/>
                                <w:i w:val="false"/>
                                <w:caps w:val="false"/>
                                <w:smallCaps w:val="false"/>
                                <w:color w:val="DC0021"/>
                                <w:sz w:val="20"/>
                              </w:rPr>
                              <w:t>Our Vision</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FLEETCOR’s vision is that every payment is digital, every purchase is controlled, and every related decision is informed. Digital payments are faster and more secure than paper-based methods such as checks, and provide timely and detailed data which can be utilized to effectively reduce unauthorized purchases and fraud, automate data entry and reporting, and eliminate reimbursement processes. Combining this payment data with analytical tools delivers powerful insights, which managers can use to better run their businesses.</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i w:val="false"/>
                                <w:caps w:val="false"/>
                                <w:smallCaps w:val="false"/>
                                <w:color w:val="DC0021"/>
                                <w:sz w:val="20"/>
                              </w:rPr>
                            </w:pPr>
                            <w:bookmarkStart w:id="5" w:name="a005"/>
                            <w:bookmarkEnd w:id="5"/>
                            <w:r>
                              <w:rPr>
                                <w:rFonts w:ascii="Arial;Helvetica;Sans-Serif" w:hAnsi="Arial;Helvetica;Sans-Serif"/>
                                <w:b/>
                                <w:i w:val="false"/>
                                <w:caps w:val="false"/>
                                <w:smallCaps w:val="false"/>
                                <w:color w:val="DC0021"/>
                                <w:sz w:val="20"/>
                              </w:rPr>
                              <w:t>Our Mission</w:t>
                            </w:r>
                          </w:p>
                          <w:p>
                            <w:pPr>
                              <w:pStyle w:val="TextBody"/>
                              <w:spacing w:before="0" w:after="0"/>
                              <w:rPr>
                                <w:caps w:val="false"/>
                                <w:smallCaps w:val="false"/>
                                <w:color w:val="DC0021"/>
                              </w:rPr>
                            </w:pPr>
                            <w:r>
                              <w:rPr>
                                <w:caps w:val="false"/>
                                <w:smallCaps w:val="false"/>
                                <w:color w:val="DC0021"/>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FLEETCOR’s mission is to provide businesses with a smarter way to pay. Through the digitalization of payments, we create and support robust ecosystems which benefit all participating constituents: payment-making customers, payment-accepting merchants, tax-collecting governments, and FLEETCOR.</w:t>
                            </w:r>
                          </w:p>
                        </w:txbxContent>
                      </wps:txbx>
                      <wps:bodyPr anchor="t" lIns="0" tIns="0" rIns="0" bIns="0">
                        <a:noAutofit/>
                      </wps:bodyPr>
                    </wps:wsp>
                  </a:graphicData>
                </a:graphic>
                <wp14:sizeRelH relativeFrom="margin">
                  <wp14:pctWidth>67000</wp14:pctWidth>
                </wp14:sizeRelH>
              </wp:anchor>
            </w:drawing>
          </mc:Choice>
          <mc:Fallback>
            <w:pict>
              <v:rect style="position:absolute;rotation:0;width:341.85pt;height:594pt;mso-wrap-distance-left:0pt;mso-wrap-distance-right:0pt;mso-wrap-distance-top:0pt;mso-wrap-distance-bottom:0pt;margin-top:0pt;mso-position-vertical:top;mso-position-vertical-relative:text;margin-left:168.4pt;mso-position-horizontal:right;mso-position-horizontal-relative:text">
                <v:textbox>
                  <w:txbxContent>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 Technologies, Inc. (“FLEETCOR”) is a leading global provider of digital payment solutions that enables businesses to control purchases and make payments in a smarter, simpler and better way. We serve businesses, partners, merchants, consumers and payment networks in North America, Latin America, Europe, and Asia Pacific.</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Businesses spend an estimated $135 trillion each year with other businesses. In many instances, they lack the proper tools to monitor what is being purchased, and employ manual, paper-based, disparate processes and methods to both approve and make payments for their purchases. This often results in wasted time and money due to unnecessary or unauthorized spending, fraud, receipt collection, data input and consolidation, report generation, reimbursement processing, account reconciliations, employee disciplinary actions, and more.</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Our wide range of modern, digitized solutions generally provides control, reporting, and automation benefits superior to many of the payment methods businesses often used such as cash, paper checks, general purpose credit cards, as well as employee pay and reclaim processes. In addition to delivering meaningful value to our customers, our solutions also share several important and attractive business model characteristics such as:</w:t>
                      </w:r>
                    </w:p>
                    <w:p>
                      <w:pPr>
                        <w:pStyle w:val="TextBody"/>
                        <w:spacing w:before="0" w:after="0"/>
                        <w:rPr>
                          <w:caps w:val="false"/>
                          <w:smallCaps w:val="false"/>
                          <w:color w:val="333333"/>
                        </w:rPr>
                      </w:pPr>
                      <w:r>
                        <w:rPr>
                          <w:caps w:val="false"/>
                          <w:smallCaps w:val="false"/>
                          <w:color w:val="333333"/>
                        </w:rPr>
                        <w:t> </w:t>
                      </w:r>
                    </w:p>
                    <w:tbl>
                      <w:tblPr>
                        <w:tblW w:w="7168" w:type="dxa"/>
                        <w:jc w:val="left"/>
                        <w:tblInd w:w="0" w:type="dxa"/>
                        <w:tblCellMar>
                          <w:top w:w="0" w:type="dxa"/>
                          <w:left w:w="0" w:type="dxa"/>
                          <w:bottom w:w="0" w:type="dxa"/>
                          <w:right w:w="0" w:type="dxa"/>
                        </w:tblCellMar>
                      </w:tblPr>
                      <w:tblGrid>
                        <w:gridCol w:w="38"/>
                        <w:gridCol w:w="165"/>
                        <w:gridCol w:w="6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9"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7" descr=""/>
                                          <pic:cNvPicPr>
                                            <a:picLocks noChangeAspect="1" noChangeArrowheads="1"/>
                                          </pic:cNvPicPr>
                                        </pic:nvPicPr>
                                        <pic:blipFill>
                                          <a:blip r:embed="rId28"/>
                                          <a:stretch>
                                            <a:fillRect/>
                                          </a:stretch>
                                        </pic:blipFill>
                                        <pic:spPr bwMode="auto">
                                          <a:xfrm>
                                            <a:off x="0" y="0"/>
                                            <a:ext cx="104775" cy="85725"/>
                                          </a:xfrm>
                                          <a:prstGeom prst="rect">
                                            <a:avLst/>
                                          </a:prstGeom>
                                        </pic:spPr>
                                      </pic:pic>
                                    </a:graphicData>
                                  </a:graphic>
                                </wp:inline>
                              </w:drawing>
                            </w:r>
                          </w:p>
                        </w:tc>
                        <w:tc>
                          <w:tcPr>
                            <w:tcW w:w="6965" w:type="dxa"/>
                            <w:tcBorders/>
                            <w:shd w:fill="auto" w:val="clear"/>
                            <w:vAlign w:val="center"/>
                          </w:tcPr>
                          <w:p>
                            <w:pPr>
                              <w:pStyle w:val="TableContents"/>
                              <w:spacing w:before="0" w:after="283"/>
                              <w:jc w:val="left"/>
                              <w:rPr>
                                <w:color w:val="333333"/>
                                <w:sz w:val="18"/>
                              </w:rPr>
                            </w:pPr>
                            <w:r>
                              <w:rPr>
                                <w:color w:val="333333"/>
                                <w:sz w:val="18"/>
                              </w:rPr>
                              <w:t>Customers are primarily businesses, which tend to have relatively predictable, consistent volumes;</w:t>
                            </w:r>
                          </w:p>
                        </w:tc>
                      </w:tr>
                    </w:tbl>
                    <w:tbl>
                      <w:tblPr>
                        <w:tblW w:w="7873" w:type="dxa"/>
                        <w:jc w:val="left"/>
                        <w:tblInd w:w="0" w:type="dxa"/>
                        <w:tblCellMar>
                          <w:top w:w="0" w:type="dxa"/>
                          <w:left w:w="0" w:type="dxa"/>
                          <w:bottom w:w="0" w:type="dxa"/>
                          <w:right w:w="0" w:type="dxa"/>
                        </w:tblCellMar>
                      </w:tblPr>
                      <w:tblGrid>
                        <w:gridCol w:w="38"/>
                        <w:gridCol w:w="165"/>
                        <w:gridCol w:w="76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50"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28" descr=""/>
                                          <pic:cNvPicPr>
                                            <a:picLocks noChangeAspect="1" noChangeArrowheads="1"/>
                                          </pic:cNvPicPr>
                                        </pic:nvPicPr>
                                        <pic:blipFill>
                                          <a:blip r:embed="rId29"/>
                                          <a:stretch>
                                            <a:fillRect/>
                                          </a:stretch>
                                        </pic:blipFill>
                                        <pic:spPr bwMode="auto">
                                          <a:xfrm>
                                            <a:off x="0" y="0"/>
                                            <a:ext cx="104775" cy="85725"/>
                                          </a:xfrm>
                                          <a:prstGeom prst="rect">
                                            <a:avLst/>
                                          </a:prstGeom>
                                        </pic:spPr>
                                      </pic:pic>
                                    </a:graphicData>
                                  </a:graphic>
                                </wp:inline>
                              </w:drawing>
                            </w:r>
                          </w:p>
                        </w:tc>
                        <w:tc>
                          <w:tcPr>
                            <w:tcW w:w="7670" w:type="dxa"/>
                            <w:tcBorders/>
                            <w:shd w:fill="auto" w:val="clear"/>
                            <w:vAlign w:val="center"/>
                          </w:tcPr>
                          <w:p>
                            <w:pPr>
                              <w:pStyle w:val="TableContents"/>
                              <w:spacing w:before="0" w:after="283"/>
                              <w:jc w:val="left"/>
                              <w:rPr>
                                <w:color w:val="333333"/>
                                <w:sz w:val="18"/>
                              </w:rPr>
                            </w:pPr>
                            <w:r>
                              <w:rPr>
                                <w:color w:val="333333"/>
                                <w:sz w:val="18"/>
                              </w:rPr>
                              <w:t>Recurring revenue models driven by recurring volume and higher retention, resulting in predictable revenue;</w:t>
                            </w:r>
                          </w:p>
                        </w:tc>
                      </w:tr>
                    </w:tbl>
                    <w:tbl>
                      <w:tblPr>
                        <w:tblW w:w="8158" w:type="dxa"/>
                        <w:jc w:val="left"/>
                        <w:tblInd w:w="0" w:type="dxa"/>
                        <w:tblCellMar>
                          <w:top w:w="0" w:type="dxa"/>
                          <w:left w:w="0" w:type="dxa"/>
                          <w:bottom w:w="0" w:type="dxa"/>
                          <w:right w:w="0" w:type="dxa"/>
                        </w:tblCellMar>
                      </w:tblPr>
                      <w:tblGrid>
                        <w:gridCol w:w="38"/>
                        <w:gridCol w:w="165"/>
                        <w:gridCol w:w="79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51"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9" descr=""/>
                                          <pic:cNvPicPr>
                                            <a:picLocks noChangeAspect="1" noChangeArrowheads="1"/>
                                          </pic:cNvPicPr>
                                        </pic:nvPicPr>
                                        <pic:blipFill>
                                          <a:blip r:embed="rId30"/>
                                          <a:stretch>
                                            <a:fillRect/>
                                          </a:stretch>
                                        </pic:blipFill>
                                        <pic:spPr bwMode="auto">
                                          <a:xfrm>
                                            <a:off x="0" y="0"/>
                                            <a:ext cx="104775" cy="85725"/>
                                          </a:xfrm>
                                          <a:prstGeom prst="rect">
                                            <a:avLst/>
                                          </a:prstGeom>
                                        </pic:spPr>
                                      </pic:pic>
                                    </a:graphicData>
                                  </a:graphic>
                                </wp:inline>
                              </w:drawing>
                            </w:r>
                          </w:p>
                        </w:tc>
                        <w:tc>
                          <w:tcPr>
                            <w:tcW w:w="7955" w:type="dxa"/>
                            <w:tcBorders/>
                            <w:shd w:fill="auto" w:val="clear"/>
                            <w:vAlign w:val="center"/>
                          </w:tcPr>
                          <w:p>
                            <w:pPr>
                              <w:pStyle w:val="TableContents"/>
                              <w:spacing w:before="0" w:after="283"/>
                              <w:jc w:val="left"/>
                              <w:rPr>
                                <w:color w:val="333333"/>
                                <w:sz w:val="18"/>
                              </w:rPr>
                            </w:pPr>
                            <w:r>
                              <w:rPr>
                                <w:color w:val="333333"/>
                                <w:sz w:val="18"/>
                              </w:rPr>
                              <w:t>Similar business-to-business (B2B) selling systems with common sales approaches, management and reporting;</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52"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30" descr=""/>
                                          <pic:cNvPicPr>
                                            <a:picLocks noChangeAspect="1" noChangeArrowheads="1"/>
                                          </pic:cNvPicPr>
                                        </pic:nvPicPr>
                                        <pic:blipFill>
                                          <a:blip r:embed="rId31"/>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color w:val="333333"/>
                                <w:sz w:val="18"/>
                              </w:rPr>
                            </w:pPr>
                            <w:r>
                              <w:rPr>
                                <w:color w:val="333333"/>
                                <w:sz w:val="18"/>
                              </w:rPr>
                              <w:t>Specialized technology platforms and proprietary payment acceptance networks, which create competitive advantages and barriers to entry; and</w:t>
                            </w:r>
                          </w:p>
                        </w:tc>
                      </w:tr>
                    </w:tbl>
                    <w:tbl>
                      <w:tblPr>
                        <w:tblW w:w="6868" w:type="dxa"/>
                        <w:jc w:val="left"/>
                        <w:tblInd w:w="0" w:type="dxa"/>
                        <w:tblCellMar>
                          <w:top w:w="0" w:type="dxa"/>
                          <w:left w:w="0" w:type="dxa"/>
                          <w:bottom w:w="0" w:type="dxa"/>
                          <w:right w:w="0" w:type="dxa"/>
                        </w:tblCellMar>
                      </w:tblPr>
                      <w:tblGrid>
                        <w:gridCol w:w="38"/>
                        <w:gridCol w:w="165"/>
                        <w:gridCol w:w="66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53"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31" descr=""/>
                                          <pic:cNvPicPr>
                                            <a:picLocks noChangeAspect="1" noChangeArrowheads="1"/>
                                          </pic:cNvPicPr>
                                        </pic:nvPicPr>
                                        <pic:blipFill>
                                          <a:blip r:embed="rId32"/>
                                          <a:stretch>
                                            <a:fillRect/>
                                          </a:stretch>
                                        </pic:blipFill>
                                        <pic:spPr bwMode="auto">
                                          <a:xfrm>
                                            <a:off x="0" y="0"/>
                                            <a:ext cx="104775" cy="85725"/>
                                          </a:xfrm>
                                          <a:prstGeom prst="rect">
                                            <a:avLst/>
                                          </a:prstGeom>
                                        </pic:spPr>
                                      </pic:pic>
                                    </a:graphicData>
                                  </a:graphic>
                                </wp:inline>
                              </w:drawing>
                            </w:r>
                          </w:p>
                        </w:tc>
                        <w:tc>
                          <w:tcPr>
                            <w:tcW w:w="6665" w:type="dxa"/>
                            <w:tcBorders/>
                            <w:shd w:fill="auto" w:val="clear"/>
                            <w:vAlign w:val="center"/>
                          </w:tcPr>
                          <w:p>
                            <w:pPr>
                              <w:pStyle w:val="TableContents"/>
                              <w:spacing w:before="0" w:after="283"/>
                              <w:jc w:val="left"/>
                              <w:rPr>
                                <w:color w:val="333333"/>
                                <w:sz w:val="18"/>
                              </w:rPr>
                            </w:pPr>
                            <w:r>
                              <w:rPr>
                                <w:color w:val="333333"/>
                                <w:sz w:val="18"/>
                              </w:rPr>
                              <w:t>High EBITDA margins and cash flow translation and limited capital investment requirements.</w:t>
                            </w:r>
                          </w:p>
                        </w:tc>
                      </w:tr>
                    </w:tbl>
                    <w:p>
                      <w:pPr>
                        <w:pStyle w:val="TextBody"/>
                        <w:spacing w:before="0" w:after="0"/>
                        <w:ind w:left="0" w:right="0" w:hanging="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DC0021"/>
                          <w:sz w:val="20"/>
                        </w:rPr>
                      </w:pPr>
                      <w:bookmarkStart w:id="6" w:name="a004"/>
                      <w:bookmarkEnd w:id="6"/>
                      <w:r>
                        <w:rPr>
                          <w:rFonts w:ascii="Arial;Helvetica;Sans-Serif" w:hAnsi="Arial;Helvetica;Sans-Serif"/>
                          <w:b/>
                          <w:i w:val="false"/>
                          <w:caps w:val="false"/>
                          <w:smallCaps w:val="false"/>
                          <w:color w:val="DC0021"/>
                          <w:sz w:val="20"/>
                        </w:rPr>
                        <w:t>Our Vision</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FLEETCOR’s vision is that every payment is digital, every purchase is controlled, and every related decision is informed. Digital payments are faster and more secure than paper-based methods such as checks, and provide timely and detailed data which can be utilized to effectively reduce unauthorized purchases and fraud, automate data entry and reporting, and eliminate reimbursement processes. Combining this payment data with analytical tools delivers powerful insights, which managers can use to better run their businesses.</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i w:val="false"/>
                          <w:caps w:val="false"/>
                          <w:smallCaps w:val="false"/>
                          <w:color w:val="DC0021"/>
                          <w:sz w:val="20"/>
                        </w:rPr>
                      </w:pPr>
                      <w:bookmarkStart w:id="7" w:name="a005"/>
                      <w:bookmarkEnd w:id="7"/>
                      <w:r>
                        <w:rPr>
                          <w:rFonts w:ascii="Arial;Helvetica;Sans-Serif" w:hAnsi="Arial;Helvetica;Sans-Serif"/>
                          <w:b/>
                          <w:i w:val="false"/>
                          <w:caps w:val="false"/>
                          <w:smallCaps w:val="false"/>
                          <w:color w:val="DC0021"/>
                          <w:sz w:val="20"/>
                        </w:rPr>
                        <w:t>Our Mission</w:t>
                      </w:r>
                    </w:p>
                    <w:p>
                      <w:pPr>
                        <w:pStyle w:val="TextBody"/>
                        <w:spacing w:before="0" w:after="0"/>
                        <w:rPr>
                          <w:caps w:val="false"/>
                          <w:smallCaps w:val="false"/>
                          <w:color w:val="DC0021"/>
                        </w:rPr>
                      </w:pPr>
                      <w:r>
                        <w:rPr>
                          <w:caps w:val="false"/>
                          <w:smallCaps w:val="false"/>
                          <w:color w:val="DC0021"/>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FLEETCOR’s mission is to provide businesses with a smarter way to pay. Through the digitalization of payments, we create and support robust ecosystems which benefit all participating constituents: payment-making customers, payment-accepting merchants, tax-collecting governments, and FLEETCOR.</w:t>
                      </w:r>
                    </w:p>
                  </w:txbxContent>
                </v:textbox>
                <w10:wrap type="square" side="left"/>
              </v:rect>
            </w:pict>
          </mc:Fallback>
        </mc:AlternateContent>
      </w:r>
    </w:p>
    <w:p>
      <w:pPr>
        <w:pStyle w:val="TextBody"/>
        <w:spacing w:before="0" w:after="0"/>
        <w:ind w:left="720" w:right="0" w:hanging="0"/>
        <w:rPr>
          <w:rFonts w:ascii="Arial;Helvetica;Sans-Serif" w:hAnsi="Arial;Helvetica;Sans-Serif"/>
          <w:b w:val="false"/>
          <w:i/>
          <w:caps w:val="false"/>
          <w:smallCaps w:val="false"/>
          <w:color w:val="333333"/>
          <w:sz w:val="20"/>
        </w:rPr>
      </w:pPr>
      <w:r>
        <w:rPr>
          <w:rFonts w:ascii="Arial;Helvetica;Sans-Serif" w:hAnsi="Arial;Helvetica;Sans-Serif"/>
          <w:b w:val="false"/>
          <w:i/>
          <w:caps w:val="false"/>
          <w:smallCaps w:val="false"/>
          <w:color w:val="333333"/>
          <w:sz w:val="20"/>
        </w:rPr>
        <w:t>As of December 31, 2022</w:t>
      </w:r>
    </w:p>
    <w:p>
      <w:pPr>
        <w:pStyle w:val="TextBody"/>
        <w:spacing w:before="0" w:after="0"/>
        <w:rPr>
          <w:caps w:val="false"/>
          <w:smallCaps w:val="false"/>
          <w:color w:val="333333"/>
        </w:rPr>
      </w:pPr>
      <w:r>
        <w:rPr>
          <w:caps w:val="false"/>
          <w:smallCaps w:val="false"/>
          <w:color w:val="333333"/>
        </w:rPr>
        <w:t> </w:t>
      </w:r>
    </w:p>
    <w:tbl>
      <w:tblPr>
        <w:tblW w:w="3745" w:type="dxa"/>
        <w:jc w:val="left"/>
        <w:tblInd w:w="0" w:type="dxa"/>
        <w:tblCellMar>
          <w:top w:w="0" w:type="dxa"/>
          <w:left w:w="0" w:type="dxa"/>
          <w:bottom w:w="0" w:type="dxa"/>
          <w:right w:w="0" w:type="dxa"/>
        </w:tblCellMar>
      </w:tblPr>
      <w:tblGrid>
        <w:gridCol w:w="125"/>
        <w:gridCol w:w="3620"/>
      </w:tblGrid>
      <w:tr>
        <w:trPr/>
        <w:tc>
          <w:tcPr>
            <w:tcW w:w="125" w:type="dxa"/>
            <w:tcBorders/>
            <w:shd w:fill="auto" w:val="clear"/>
            <w:vAlign w:val="center"/>
          </w:tcPr>
          <w:p>
            <w:pPr>
              <w:pStyle w:val="TableContents"/>
              <w:spacing w:before="0" w:after="283"/>
              <w:jc w:val="left"/>
              <w:rPr>
                <w:b/>
                <w:color w:val="333333"/>
                <w:sz w:val="16"/>
              </w:rPr>
            </w:pPr>
            <w:r>
              <w:rPr>
                <w:b/>
                <w:color w:val="333333"/>
                <w:sz w:val="16"/>
              </w:rPr>
              <w:t>6</w:t>
            </w:r>
          </w:p>
        </w:tc>
        <w:tc>
          <w:tcPr>
            <w:tcW w:w="3620" w:type="dxa"/>
            <w:tcBorders/>
            <w:shd w:fill="auto" w:val="clear"/>
            <w:vAlign w:val="center"/>
          </w:tcPr>
          <w:p>
            <w:pPr>
              <w:pStyle w:val="TableContents"/>
              <w:spacing w:before="0" w:after="283"/>
              <w:rPr>
                <w:color w:val="333333"/>
                <w:sz w:val="16"/>
              </w:rPr>
            </w:pPr>
            <w:r>
              <w:rPr>
                <w:color w:val="333333"/>
                <w:sz w:val="16"/>
              </w:rPr>
              <w:t>2023 Notice of Annual Meeting &amp; Proxy Statement</w:t>
            </w:r>
          </w:p>
        </w:tc>
      </w:tr>
    </w:tbl>
    <w:p>
      <w:pPr>
        <w:pStyle w:val="TextBody"/>
        <w:spacing w:before="0" w:after="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rPr>
      </w:pPr>
      <w:r>
        <w:rPr>
          <w:caps w:val="false"/>
          <w:smallCaps w:val="false"/>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02. </w:t>
      </w:r>
      <w:r>
        <w:rPr>
          <w:rFonts w:ascii="Arial;Helvetica;Sans-Serif" w:hAnsi="Arial;Helvetica;Sans-Serif"/>
          <w:b w:val="false"/>
          <w:i w:val="false"/>
          <w:caps w:val="false"/>
          <w:smallCaps w:val="false"/>
          <w:color w:val="DC0021"/>
          <w:sz w:val="20"/>
        </w:rPr>
        <w:t>FLEETCOR AT A GLANCE</w:t>
      </w:r>
    </w:p>
    <w:p>
      <w:pPr>
        <w:pStyle w:val="TextBody"/>
        <w:spacing w:before="0" w:after="0"/>
        <w:rPr>
          <w:caps w:val="false"/>
          <w:smallCaps w:val="false"/>
        </w:rPr>
      </w:pPr>
      <w:r>
        <w:rPr>
          <w:caps w:val="false"/>
          <w:smallCaps w:val="false"/>
        </w:rPr>
        <w:t> </w:t>
      </w:r>
    </w:p>
    <w:p>
      <w:pPr>
        <w:pStyle w:val="TextBody"/>
        <w:spacing w:before="0" w:after="0"/>
        <w:rPr>
          <w:caps w:val="false"/>
          <w:smallCaps w:val="false"/>
          <w:color w:val="333333"/>
        </w:rPr>
      </w:pPr>
      <w:r>
        <w:rPr>
          <w:caps w:val="false"/>
          <w:smallCaps w:val="false"/>
          <w:color w:val="333333"/>
        </w:rPr>
        <w:t> </w:t>
      </w:r>
      <w:r>
        <mc:AlternateContent>
          <mc:Choice Requires="wps">
            <w:drawing>
              <wp:anchor behindDoc="0" distT="0" distB="0" distL="0" distR="0" simplePos="0" locked="0" layoutInCell="1" allowOverlap="1" relativeHeight="48">
                <wp:simplePos x="0" y="0"/>
                <wp:positionH relativeFrom="column">
                  <wp:align>left</wp:align>
                </wp:positionH>
                <wp:positionV relativeFrom="line">
                  <wp:posOffset>635</wp:posOffset>
                </wp:positionV>
                <wp:extent cx="3175000" cy="1898650"/>
                <wp:effectExtent l="0" t="0" r="0" b="0"/>
                <wp:wrapSquare wrapText="largest"/>
                <wp:docPr id="54" name="Frame9"/>
                <a:graphic xmlns:a="http://schemas.openxmlformats.org/drawingml/2006/main">
                  <a:graphicData uri="http://schemas.microsoft.com/office/word/2010/wordprocessingShape">
                    <wps:wsp>
                      <wps:cNvSpPr txBox="1"/>
                      <wps:spPr>
                        <a:xfrm>
                          <a:off x="0" y="0"/>
                          <a:ext cx="3175000" cy="1898650"/>
                        </a:xfrm>
                        <a:prstGeom prst="rect"/>
                      </wps:spPr>
                      <wps:txbx>
                        <w:txbxContent>
                          <w:p>
                            <w:pPr>
                              <w:pStyle w:val="TextBody"/>
                              <w:spacing w:before="0" w:after="0"/>
                              <w:rPr>
                                <w:rFonts w:ascii="Arial;Helvetica;Sans-Serif" w:hAnsi="Arial;Helvetica;Sans-Serif"/>
                                <w:b/>
                                <w:i w:val="false"/>
                                <w:caps w:val="false"/>
                                <w:smallCaps w:val="false"/>
                                <w:color w:val="DC0021"/>
                                <w:sz w:val="20"/>
                              </w:rPr>
                            </w:pPr>
                            <w:bookmarkStart w:id="8" w:name="a006"/>
                            <w:bookmarkEnd w:id="8"/>
                            <w:r>
                              <w:rPr>
                                <w:rFonts w:ascii="Arial;Helvetica;Sans-Serif" w:hAnsi="Arial;Helvetica;Sans-Serif"/>
                                <w:b/>
                                <w:i w:val="false"/>
                                <w:caps w:val="false"/>
                                <w:smallCaps w:val="false"/>
                                <w:color w:val="DC0021"/>
                                <w:sz w:val="20"/>
                              </w:rPr>
                              <w:t>Our Strategy</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We are executing on a strategy of optimizing assets, leveraging similar selling methods, and bundling and cross-selling value-added solutions. We continue to enhance our solutions to displace inferior payment methods, improve customers’ mobile and digital experiences, and extend utility. We actively market and sell to current and prospective customers leveraging a multi-channel go-to-market approach, which includes comprehensive digital channels, direct sales forces and strategic partner relationships. We supplement our organic growth strategy and sales efforts by pursuing attractive acquisition opportunities, which serve to strengthen and extend our</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4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DC0021"/>
                          <w:sz w:val="20"/>
                        </w:rPr>
                      </w:pPr>
                      <w:bookmarkStart w:id="9" w:name="a006"/>
                      <w:bookmarkEnd w:id="9"/>
                      <w:r>
                        <w:rPr>
                          <w:rFonts w:ascii="Arial;Helvetica;Sans-Serif" w:hAnsi="Arial;Helvetica;Sans-Serif"/>
                          <w:b/>
                          <w:i w:val="false"/>
                          <w:caps w:val="false"/>
                          <w:smallCaps w:val="false"/>
                          <w:color w:val="DC0021"/>
                          <w:sz w:val="20"/>
                        </w:rPr>
                        <w:t>Our Strategy</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We are executing on a strategy of optimizing assets, leveraging similar selling methods, and bundling and cross-selling value-added solutions. We continue to enhance our solutions to displace inferior payment methods, improve customers’ mobile and digital experiences, and extend utility. We actively market and sell to current and prospective customers leveraging a multi-channel go-to-market approach, which includes comprehensive digital channels, direct sales forces and strategic partner relationships. We supplement our organic growth strategy and sales efforts by pursuing attractive acquisition opportunities, which serve to strengthen and extend our</w:t>
                      </w:r>
                    </w:p>
                  </w:txbxContent>
                </v:textbox>
                <w10:wrap type="square" side="right"/>
              </v:rect>
            </w:pict>
          </mc:Fallback>
        </mc:AlternateContent>
      </w:r>
      <w:r>
        <mc:AlternateContent>
          <mc:Choice Requires="wps">
            <w:drawing>
              <wp:anchor behindDoc="0" distT="0" distB="0" distL="0" distR="0" simplePos="0" locked="0" layoutInCell="1" allowOverlap="1" relativeHeight="49">
                <wp:simplePos x="0" y="0"/>
                <wp:positionH relativeFrom="column">
                  <wp:align>right</wp:align>
                </wp:positionH>
                <wp:positionV relativeFrom="line">
                  <wp:posOffset>635</wp:posOffset>
                </wp:positionV>
                <wp:extent cx="3175000" cy="1679575"/>
                <wp:effectExtent l="0" t="0" r="0" b="0"/>
                <wp:wrapSquare wrapText="largest"/>
                <wp:docPr id="55" name="Frame10"/>
                <a:graphic xmlns:a="http://schemas.openxmlformats.org/drawingml/2006/main">
                  <a:graphicData uri="http://schemas.microsoft.com/office/word/2010/wordprocessingShape">
                    <wps:wsp>
                      <wps:cNvSpPr txBox="1"/>
                      <wps:spPr>
                        <a:xfrm>
                          <a:off x="0" y="0"/>
                          <a:ext cx="3175000" cy="1679575"/>
                        </a:xfrm>
                        <a:prstGeom prst="rect"/>
                      </wps:spPr>
                      <wps:txbx>
                        <w:txbxContent>
                          <w:p>
                            <w:pPr>
                              <w:pStyle w:val="TextBody"/>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market positions and create value even faster. With a long, proven operating history, FLEETCOR now serves hundreds of thousands of business customers with millions of cardholders making payments to millions of vendors around the world.</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i w:val="false"/>
                                <w:caps w:val="false"/>
                                <w:smallCaps w:val="false"/>
                                <w:color w:val="DC0021"/>
                                <w:sz w:val="20"/>
                              </w:rPr>
                            </w:pPr>
                            <w:bookmarkStart w:id="10" w:name="a007"/>
                            <w:bookmarkEnd w:id="10"/>
                            <w:r>
                              <w:rPr>
                                <w:rFonts w:ascii="Arial;Helvetica;Sans-Serif" w:hAnsi="Arial;Helvetica;Sans-Serif"/>
                                <w:b/>
                                <w:i w:val="false"/>
                                <w:caps w:val="false"/>
                                <w:smallCaps w:val="false"/>
                                <w:color w:val="DC0021"/>
                                <w:sz w:val="20"/>
                              </w:rPr>
                              <w:t>Our Performance</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 has become a global leader in business payments by delivering a superior track record of growth, generating compound annual growth rates of 18% in revenue and 20% in adjusted net income per diluted share (or “Adjusted EPS”) since going public in 2010.</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2.2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market positions and create value even faster. With a long, proven operating history, FLEETCOR now serves hundreds of thousands of business customers with millions of cardholders making payments to millions of vendors around the world.</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i w:val="false"/>
                          <w:caps w:val="false"/>
                          <w:smallCaps w:val="false"/>
                          <w:color w:val="DC0021"/>
                          <w:sz w:val="20"/>
                        </w:rPr>
                      </w:pPr>
                      <w:bookmarkStart w:id="11" w:name="a007"/>
                      <w:bookmarkEnd w:id="11"/>
                      <w:r>
                        <w:rPr>
                          <w:rFonts w:ascii="Arial;Helvetica;Sans-Serif" w:hAnsi="Arial;Helvetica;Sans-Serif"/>
                          <w:b/>
                          <w:i w:val="false"/>
                          <w:caps w:val="false"/>
                          <w:smallCaps w:val="false"/>
                          <w:color w:val="DC0021"/>
                          <w:sz w:val="20"/>
                        </w:rPr>
                        <w:t>Our Performance</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 has become a global leader in business payments by delivering a superior track record of growth, generating compound annual growth rates of 18% in revenue and 20% in adjusted net income per diluted share (or “Adjusted EPS”) since going public in 2010.</w:t>
                      </w:r>
                    </w:p>
                  </w:txbxContent>
                </v:textbox>
                <w10:wrap type="square" side="left"/>
              </v:rect>
            </w:pict>
          </mc:Fallback>
        </mc:AlternateContent>
      </w:r>
    </w:p>
    <w:p>
      <w:pPr>
        <w:pStyle w:val="TextBody"/>
        <w:spacing w:before="0" w:after="0"/>
        <w:rPr>
          <w:caps w:val="false"/>
          <w:smallCaps w:val="false"/>
          <w:color w:val="333333"/>
        </w:rPr>
      </w:pPr>
      <w:r>
        <w:rPr>
          <w:caps w:val="false"/>
          <w:smallCaps w:val="false"/>
          <w:color w:val="333333"/>
        </w:rPr>
        <w:t> </w:t>
      </w:r>
      <w:r>
        <mc:AlternateContent>
          <mc:Choice Requires="wps">
            <w:drawing>
              <wp:anchor behindDoc="0" distT="0" distB="0" distL="0" distR="0" simplePos="0" locked="0" layoutInCell="1" allowOverlap="1" relativeHeight="52">
                <wp:simplePos x="0" y="0"/>
                <wp:positionH relativeFrom="column">
                  <wp:align>left</wp:align>
                </wp:positionH>
                <wp:positionV relativeFrom="line">
                  <wp:posOffset>635</wp:posOffset>
                </wp:positionV>
                <wp:extent cx="3175000" cy="4114800"/>
                <wp:effectExtent l="0" t="0" r="0" b="0"/>
                <wp:wrapSquare wrapText="largest"/>
                <wp:docPr id="56" name="Frame11"/>
                <a:graphic xmlns:a="http://schemas.openxmlformats.org/drawingml/2006/main">
                  <a:graphicData uri="http://schemas.microsoft.com/office/word/2010/wordprocessingShape">
                    <wps:wsp>
                      <wps:cNvSpPr txBox="1"/>
                      <wps:spPr>
                        <a:xfrm>
                          <a:off x="0" y="0"/>
                          <a:ext cx="3175000" cy="4114800"/>
                        </a:xfrm>
                        <a:prstGeom prst="rect"/>
                      </wps:spPr>
                      <wps:txbx>
                        <w:txbxContent>
                          <w:p>
                            <w:pPr>
                              <w:pStyle w:val="TextBody"/>
                              <w:spacing w:before="0" w:after="0"/>
                              <w:ind w:left="0" w:right="0" w:hanging="0"/>
                              <w:jc w:val="center"/>
                              <w:rPr>
                                <w:caps w:val="false"/>
                                <w:smallCaps w:val="false"/>
                                <w:color w:val="333333"/>
                              </w:rPr>
                            </w:pPr>
                            <w:r>
                              <w:rPr>
                                <w:caps w:val="false"/>
                                <w:smallCaps w:val="false"/>
                                <w:color w:val="333333"/>
                              </w:rPr>
                              <w:drawing>
                                <wp:inline distT="0" distB="0" distL="0" distR="0">
                                  <wp:extent cx="3333750" cy="4114800"/>
                                  <wp:effectExtent l="0" t="0" r="0" b="0"/>
                                  <wp:docPr id="5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32" descr=""/>
                                          <pic:cNvPicPr>
                                            <a:picLocks noChangeAspect="1" noChangeArrowheads="1"/>
                                          </pic:cNvPicPr>
                                        </pic:nvPicPr>
                                        <pic:blipFill>
                                          <a:blip r:embed="rId33"/>
                                          <a:stretch>
                                            <a:fillRect/>
                                          </a:stretch>
                                        </pic:blipFill>
                                        <pic:spPr bwMode="auto">
                                          <a:xfrm>
                                            <a:off x="0" y="0"/>
                                            <a:ext cx="3333750" cy="4114800"/>
                                          </a:xfrm>
                                          <a:prstGeom prst="rect">
                                            <a:avLst/>
                                          </a:prstGeom>
                                        </pic:spPr>
                                      </pic:pic>
                                    </a:graphicData>
                                  </a:graphic>
                                </wp:inline>
                              </w:drawing>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24pt;mso-wrap-distance-left:0pt;mso-wrap-distance-right:0pt;mso-wrap-distance-top:0pt;mso-wrap-distance-bottom:0pt;margin-top:0pt;mso-position-vertical:top;mso-position-vertical-relative:text;margin-left:250pt;mso-position-horizontal:left;mso-position-horizontal-relative:text">
                <v:textbox>
                  <w:txbxContent>
                    <w:p>
                      <w:pPr>
                        <w:pStyle w:val="TextBody"/>
                        <w:spacing w:before="0" w:after="0"/>
                        <w:ind w:left="0" w:right="0" w:hanging="0"/>
                        <w:jc w:val="center"/>
                        <w:rPr>
                          <w:caps w:val="false"/>
                          <w:smallCaps w:val="false"/>
                          <w:color w:val="333333"/>
                        </w:rPr>
                      </w:pPr>
                      <w:r>
                        <w:rPr>
                          <w:caps w:val="false"/>
                          <w:smallCaps w:val="false"/>
                          <w:color w:val="333333"/>
                        </w:rPr>
                        <w:drawing>
                          <wp:inline distT="0" distB="0" distL="0" distR="0">
                            <wp:extent cx="3333750" cy="4114800"/>
                            <wp:effectExtent l="0" t="0" r="0" b="0"/>
                            <wp:docPr id="5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32" descr=""/>
                                    <pic:cNvPicPr>
                                      <a:picLocks noChangeAspect="1" noChangeArrowheads="1"/>
                                    </pic:cNvPicPr>
                                  </pic:nvPicPr>
                                  <pic:blipFill>
                                    <a:blip r:embed="rId33"/>
                                    <a:stretch>
                                      <a:fillRect/>
                                    </a:stretch>
                                  </pic:blipFill>
                                  <pic:spPr bwMode="auto">
                                    <a:xfrm>
                                      <a:off x="0" y="0"/>
                                      <a:ext cx="3333750" cy="4114800"/>
                                    </a:xfrm>
                                    <a:prstGeom prst="rect">
                                      <a:avLst/>
                                    </a:prstGeom>
                                  </pic:spPr>
                                </pic:pic>
                              </a:graphicData>
                            </a:graphic>
                          </wp:inline>
                        </w:drawing>
                      </w:r>
                    </w:p>
                  </w:txbxContent>
                </v:textbox>
                <w10:wrap type="square" side="right"/>
              </v:rect>
            </w:pict>
          </mc:Fallback>
        </mc:AlternateContent>
      </w:r>
      <w:r>
        <mc:AlternateContent>
          <mc:Choice Requires="wps">
            <w:drawing>
              <wp:anchor behindDoc="0" distT="0" distB="0" distL="0" distR="0" simplePos="0" locked="0" layoutInCell="1" allowOverlap="1" relativeHeight="53">
                <wp:simplePos x="0" y="0"/>
                <wp:positionH relativeFrom="column">
                  <wp:align>right</wp:align>
                </wp:positionH>
                <wp:positionV relativeFrom="line">
                  <wp:posOffset>635</wp:posOffset>
                </wp:positionV>
                <wp:extent cx="3175000" cy="4048125"/>
                <wp:effectExtent l="0" t="0" r="0" b="0"/>
                <wp:wrapSquare wrapText="largest"/>
                <wp:docPr id="59" name="Frame12"/>
                <a:graphic xmlns:a="http://schemas.openxmlformats.org/drawingml/2006/main">
                  <a:graphicData uri="http://schemas.microsoft.com/office/word/2010/wordprocessingShape">
                    <wps:wsp>
                      <wps:cNvSpPr txBox="1"/>
                      <wps:spPr>
                        <a:xfrm>
                          <a:off x="0" y="0"/>
                          <a:ext cx="3175000" cy="4048125"/>
                        </a:xfrm>
                        <a:prstGeom prst="rect"/>
                      </wps:spPr>
                      <wps:txbx>
                        <w:txbxContent>
                          <w:p>
                            <w:pPr>
                              <w:pStyle w:val="TextBody"/>
                              <w:spacing w:before="0" w:after="0"/>
                              <w:ind w:left="0" w:right="0" w:hanging="0"/>
                              <w:jc w:val="center"/>
                              <w:rPr>
                                <w:caps w:val="false"/>
                                <w:smallCaps w:val="false"/>
                                <w:color w:val="333333"/>
                              </w:rPr>
                            </w:pPr>
                            <w:r>
                              <w:rPr>
                                <w:caps w:val="false"/>
                                <w:smallCaps w:val="false"/>
                                <w:color w:val="333333"/>
                              </w:rPr>
                              <w:drawing>
                                <wp:inline distT="0" distB="0" distL="0" distR="0">
                                  <wp:extent cx="3333750" cy="4048125"/>
                                  <wp:effectExtent l="0" t="0" r="0" b="0"/>
                                  <wp:docPr id="60"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33" descr=""/>
                                          <pic:cNvPicPr>
                                            <a:picLocks noChangeAspect="1" noChangeArrowheads="1"/>
                                          </pic:cNvPicPr>
                                        </pic:nvPicPr>
                                        <pic:blipFill>
                                          <a:blip r:embed="rId34"/>
                                          <a:stretch>
                                            <a:fillRect/>
                                          </a:stretch>
                                        </pic:blipFill>
                                        <pic:spPr bwMode="auto">
                                          <a:xfrm>
                                            <a:off x="0" y="0"/>
                                            <a:ext cx="3333750" cy="4048125"/>
                                          </a:xfrm>
                                          <a:prstGeom prst="rect">
                                            <a:avLst/>
                                          </a:prstGeom>
                                        </pic:spPr>
                                      </pic:pic>
                                    </a:graphicData>
                                  </a:graphic>
                                </wp:inline>
                              </w:drawing>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8.75pt;mso-wrap-distance-left:0pt;mso-wrap-distance-right:0pt;mso-wrap-distance-top:0pt;mso-wrap-distance-bottom:0pt;margin-top:0pt;mso-position-vertical:top;mso-position-vertical-relative:text;margin-left:10.2pt;mso-position-horizontal:right;mso-position-horizontal-relative:text">
                <v:textbox>
                  <w:txbxContent>
                    <w:p>
                      <w:pPr>
                        <w:pStyle w:val="TextBody"/>
                        <w:spacing w:before="0" w:after="0"/>
                        <w:ind w:left="0" w:right="0" w:hanging="0"/>
                        <w:jc w:val="center"/>
                        <w:rPr>
                          <w:caps w:val="false"/>
                          <w:smallCaps w:val="false"/>
                          <w:color w:val="333333"/>
                        </w:rPr>
                      </w:pPr>
                      <w:r>
                        <w:rPr>
                          <w:caps w:val="false"/>
                          <w:smallCaps w:val="false"/>
                          <w:color w:val="333333"/>
                        </w:rPr>
                        <w:drawing>
                          <wp:inline distT="0" distB="0" distL="0" distR="0">
                            <wp:extent cx="3333750" cy="4048125"/>
                            <wp:effectExtent l="0" t="0" r="0" b="0"/>
                            <wp:docPr id="6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3" descr=""/>
                                    <pic:cNvPicPr>
                                      <a:picLocks noChangeAspect="1" noChangeArrowheads="1"/>
                                    </pic:cNvPicPr>
                                  </pic:nvPicPr>
                                  <pic:blipFill>
                                    <a:blip r:embed="rId34"/>
                                    <a:stretch>
                                      <a:fillRect/>
                                    </a:stretch>
                                  </pic:blipFill>
                                  <pic:spPr bwMode="auto">
                                    <a:xfrm>
                                      <a:off x="0" y="0"/>
                                      <a:ext cx="3333750" cy="4048125"/>
                                    </a:xfrm>
                                    <a:prstGeom prst="rect">
                                      <a:avLst/>
                                    </a:prstGeom>
                                  </pic:spPr>
                                </pic:pic>
                              </a:graphicData>
                            </a:graphic>
                          </wp:inline>
                        </w:drawing>
                      </w:r>
                    </w:p>
                  </w:txbxContent>
                </v:textbox>
                <w10:wrap type="square" side="left"/>
              </v:rect>
            </w:pict>
          </mc:Fallback>
        </mc:AlternateContent>
      </w:r>
    </w:p>
    <w:p>
      <w:pPr>
        <w:pStyle w:val="TextBody"/>
        <w:spacing w:before="0" w:after="0"/>
        <w:jc w:val="left"/>
        <w:rPr>
          <w:rFonts w:ascii="Arial;Helvetica;Sans-Serif" w:hAnsi="Arial;Helvetica;Sans-Serif"/>
          <w:b w:val="false"/>
          <w:i/>
          <w:caps w:val="false"/>
          <w:smallCaps w:val="false"/>
          <w:color w:val="333333"/>
          <w:sz w:val="16"/>
        </w:rPr>
      </w:pPr>
      <w:r>
        <w:rPr>
          <w:rFonts w:ascii="Arial;Helvetica;Sans-Serif" w:hAnsi="Arial;Helvetica;Sans-Serif"/>
          <w:b w:val="false"/>
          <w:i/>
          <w:caps w:val="false"/>
          <w:smallCaps w:val="false"/>
          <w:color w:val="333333"/>
          <w:sz w:val="16"/>
        </w:rPr>
        <w:t>(1) Revenues before 2018 are presented pre-adoption of ASC 606.</w:t>
      </w:r>
    </w:p>
    <w:p>
      <w:pPr>
        <w:pStyle w:val="TextBody"/>
        <w:spacing w:before="0" w:after="0"/>
        <w:jc w:val="left"/>
        <w:rPr>
          <w:rFonts w:ascii="Arial;Helvetica;Sans-Serif" w:hAnsi="Arial;Helvetica;Sans-Serif"/>
          <w:b w:val="false"/>
          <w:i/>
          <w:caps w:val="false"/>
          <w:smallCaps w:val="false"/>
          <w:color w:val="333333"/>
          <w:sz w:val="16"/>
        </w:rPr>
      </w:pPr>
      <w:r>
        <w:rPr>
          <w:rFonts w:ascii="Arial;Helvetica;Sans-Serif" w:hAnsi="Arial;Helvetica;Sans-Serif"/>
          <w:b w:val="false"/>
          <w:i/>
          <w:caps w:val="false"/>
          <w:smallCaps w:val="false"/>
          <w:color w:val="333333"/>
          <w:sz w:val="16"/>
        </w:rPr>
        <w:t>(2) Non-GAAP financial measures. See appendix for reconciliation of non-GAAP measures to GAAP. </w:t>
      </w:r>
    </w:p>
    <w:p>
      <w:pPr>
        <w:pStyle w:val="TextBody"/>
        <w:spacing w:before="0" w:after="0"/>
        <w:rPr>
          <w:caps w:val="false"/>
          <w:smallCaps w:val="false"/>
          <w:color w:val="333333"/>
        </w:rPr>
      </w:pPr>
      <w:r>
        <w:rPr>
          <w:caps w:val="false"/>
          <w:smallCaps w:val="false"/>
          <w:color w:val="333333"/>
        </w:rPr>
        <w:t> </w:t>
      </w:r>
    </w:p>
    <w:tbl>
      <w:tblPr>
        <w:tblW w:w="3775" w:type="dxa"/>
        <w:jc w:val="left"/>
        <w:tblInd w:w="0" w:type="dxa"/>
        <w:tblCellMar>
          <w:top w:w="0" w:type="dxa"/>
          <w:left w:w="0" w:type="dxa"/>
          <w:bottom w:w="0" w:type="dxa"/>
          <w:right w:w="0" w:type="dxa"/>
        </w:tblCellMar>
      </w:tblPr>
      <w:tblGrid>
        <w:gridCol w:w="3650"/>
        <w:gridCol w:w="125"/>
      </w:tblGrid>
      <w:tr>
        <w:trPr/>
        <w:tc>
          <w:tcPr>
            <w:tcW w:w="3650" w:type="dxa"/>
            <w:tcBorders/>
            <w:shd w:fill="auto" w:val="clear"/>
            <w:vAlign w:val="center"/>
          </w:tcPr>
          <w:p>
            <w:pPr>
              <w:pStyle w:val="TableContents"/>
              <w:spacing w:before="0" w:after="0"/>
              <w:jc w:val="right"/>
              <w:rPr>
                <w:rFonts w:ascii="Arial;Helvetica;Sans-Serif" w:hAnsi="Arial;Helvetica;Sans-Serif"/>
                <w:b w:val="false"/>
                <w:i w:val="false"/>
                <w:caps w:val="false"/>
                <w:smallCaps w:val="false"/>
                <w:color w:val="333333"/>
                <w:sz w:val="16"/>
              </w:rPr>
            </w:pPr>
            <w:r>
              <w:rPr>
                <w:rFonts w:ascii="Arial;Helvetica;Sans-Serif" w:hAnsi="Arial;Helvetica;Sans-Serif"/>
                <w:b w:val="false"/>
                <w:i w:val="false"/>
                <w:caps w:val="false"/>
                <w:smallCaps w:val="false"/>
                <w:color w:val="333333"/>
                <w:sz w:val="16"/>
              </w:rPr>
              <w:t>2023 Notice of Annual Meeting &amp; Proxy Statement</w:t>
            </w:r>
          </w:p>
        </w:tc>
        <w:tc>
          <w:tcPr>
            <w:tcW w:w="125" w:type="dxa"/>
            <w:tcBorders/>
            <w:shd w:fill="auto" w:val="clear"/>
            <w:vAlign w:val="center"/>
          </w:tcPr>
          <w:p>
            <w:pPr>
              <w:pStyle w:val="TableContents"/>
              <w:spacing w:before="0" w:after="283"/>
              <w:jc w:val="right"/>
              <w:rPr>
                <w:b/>
                <w:color w:val="333333"/>
                <w:sz w:val="16"/>
              </w:rPr>
            </w:pPr>
            <w:r>
              <w:rPr>
                <w:b/>
                <w:color w:val="333333"/>
                <w:sz w:val="16"/>
              </w:rPr>
              <w:t>7</w:t>
            </w:r>
          </w:p>
        </w:tc>
      </w:tr>
    </w:tbl>
    <w:p>
      <w:pPr>
        <w:pStyle w:val="TextBody"/>
        <w:spacing w:before="0" w:after="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rPr>
      </w:pPr>
      <w:r>
        <w:rPr>
          <w:caps w:val="false"/>
          <w:smallCaps w:val="false"/>
        </w:rPr>
        <w:t> </w:t>
      </w:r>
    </w:p>
    <w:p>
      <w:pPr>
        <w:pStyle w:val="HorizontalLine"/>
        <w:spacing w:before="200" w:after="200"/>
        <w:rPr/>
      </w:pPr>
      <w:r>
        <w:rPr/>
      </w:r>
    </w:p>
    <w:p>
      <w:pPr>
        <w:pStyle w:val="TextBody"/>
        <w:spacing w:before="0" w:after="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02. </w:t>
      </w:r>
      <w:r>
        <w:rPr>
          <w:rFonts w:ascii="Arial;Helvetica;Sans-Serif" w:hAnsi="Arial;Helvetica;Sans-Serif"/>
          <w:b w:val="false"/>
          <w:i w:val="false"/>
          <w:caps w:val="false"/>
          <w:smallCaps w:val="false"/>
          <w:color w:val="DC0021"/>
          <w:sz w:val="20"/>
        </w:rPr>
        <w:t>FLEETCOR AT A GLANCE</w:t>
      </w:r>
    </w:p>
    <w:p>
      <w:pPr>
        <w:pStyle w:val="TextBody"/>
        <w:spacing w:before="0" w:after="0"/>
        <w:rPr>
          <w:caps w:val="false"/>
          <w:smallCaps w:val="false"/>
          <w:color w:val="DC0021"/>
        </w:rPr>
      </w:pPr>
      <w:r>
        <w:rPr>
          <w:caps w:val="false"/>
          <w:smallCaps w:val="false"/>
          <w:color w:val="DC0021"/>
        </w:rPr>
        <w:t> </w:t>
      </w:r>
    </w:p>
    <w:p>
      <w:pPr>
        <w:pStyle w:val="TextBody"/>
        <w:spacing w:before="0" w:after="0"/>
        <w:rPr>
          <w:caps w:val="false"/>
          <w:smallCaps w:val="false"/>
          <w:color w:val="333333"/>
        </w:rPr>
      </w:pPr>
      <w:r>
        <w:rPr>
          <w:caps w:val="false"/>
          <w:smallCaps w:val="false"/>
          <w:color w:val="333333"/>
        </w:rPr>
        <w:t> </w:t>
      </w:r>
      <w:r>
        <mc:AlternateContent>
          <mc:Choice Requires="wps">
            <w:drawing>
              <wp:anchor behindDoc="0" distT="0" distB="0" distL="0" distR="0" simplePos="0" locked="0" layoutInCell="1" allowOverlap="1" relativeHeight="54">
                <wp:simplePos x="0" y="0"/>
                <wp:positionH relativeFrom="column">
                  <wp:align>left</wp:align>
                </wp:positionH>
                <wp:positionV relativeFrom="line">
                  <wp:posOffset>635</wp:posOffset>
                </wp:positionV>
                <wp:extent cx="3175000" cy="9972040"/>
                <wp:effectExtent l="0" t="0" r="0" b="0"/>
                <wp:wrapSquare wrapText="largest"/>
                <wp:docPr id="62" name="Frame13"/>
                <a:graphic xmlns:a="http://schemas.openxmlformats.org/drawingml/2006/main">
                  <a:graphicData uri="http://schemas.microsoft.com/office/word/2010/wordprocessingShape">
                    <wps:wsp>
                      <wps:cNvSpPr txBox="1"/>
                      <wps:spPr>
                        <a:xfrm>
                          <a:off x="0" y="0"/>
                          <a:ext cx="3175000" cy="9972040"/>
                        </a:xfrm>
                        <a:prstGeom prst="rect"/>
                      </wps:spPr>
                      <wps:txbx>
                        <w:txbxContent>
                          <w:p>
                            <w:pPr>
                              <w:pStyle w:val="TextBody"/>
                              <w:spacing w:before="0" w:after="0"/>
                              <w:jc w:val="left"/>
                              <w:rPr>
                                <w:rFonts w:ascii="Arial;Helvetica;Sans-Serif" w:hAnsi="Arial;Helvetica;Sans-Serif"/>
                                <w:b/>
                                <w:i w:val="false"/>
                                <w:caps w:val="false"/>
                                <w:smallCaps w:val="false"/>
                                <w:color w:val="DC0021"/>
                                <w:sz w:val="20"/>
                              </w:rPr>
                            </w:pPr>
                            <w:bookmarkStart w:id="12" w:name="a008"/>
                            <w:bookmarkEnd w:id="12"/>
                            <w:r>
                              <w:rPr>
                                <w:rFonts w:ascii="Arial;Helvetica;Sans-Serif" w:hAnsi="Arial;Helvetica;Sans-Serif"/>
                                <w:b/>
                                <w:i w:val="false"/>
                                <w:caps w:val="false"/>
                                <w:smallCaps w:val="false"/>
                                <w:color w:val="DC0021"/>
                                <w:sz w:val="20"/>
                              </w:rPr>
                              <w:t>Our Board of Directors</w:t>
                            </w:r>
                          </w:p>
                          <w:p>
                            <w:pPr>
                              <w:pStyle w:val="TextBody"/>
                              <w:spacing w:before="0" w:after="0"/>
                              <w:jc w:val="left"/>
                              <w:rPr>
                                <w:caps w:val="false"/>
                                <w:smallCaps w:val="false"/>
                                <w:color w:val="DC0021"/>
                              </w:rPr>
                            </w:pPr>
                            <w:r>
                              <w:rPr>
                                <w:caps w:val="false"/>
                                <w:smallCaps w:val="false"/>
                                <w:color w:val="DC0021"/>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In order to oversee our complex, global business, our Board is comprised of experienced individuals who are engaged in their duties and invested in our Company’s success. Our Board recognizes the importance of independence from management and ensures its responsiveness to shareholders by directly connecting directors’ interests with those of our shareholders. Our Board and management have taken a long-term view toward shareholder engagement and recognize that continuous solicitation and consideration of shareholder feedback is critical to driving growth and creating shareholder value.</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As a result, we regularly engage with our shareholders throughout the year by multiple means to encourage ongoing, meaningful dialogue.</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We encourage you to visit the “Corporate Governance” area of the “Investor Relations” section of our website (https://investor. FLEETCOR.com) where you will find detailed information about our corporate governance practices, including our key governance documents listed below:</w:t>
                            </w:r>
                          </w:p>
                          <w:p>
                            <w:pPr>
                              <w:pStyle w:val="TextBody"/>
                              <w:spacing w:before="0" w:after="0"/>
                              <w:jc w:val="left"/>
                              <w:rPr>
                                <w:caps w:val="false"/>
                                <w:smallCaps w:val="false"/>
                                <w:color w:val="333333"/>
                              </w:rPr>
                            </w:pPr>
                            <w:r>
                              <w:rPr>
                                <w:caps w:val="false"/>
                                <w:smallCaps w:val="false"/>
                                <w:color w:val="333333"/>
                              </w:rPr>
                              <w:t> </w:t>
                            </w:r>
                          </w:p>
                          <w:tbl>
                            <w:tblPr>
                              <w:tblW w:w="2968" w:type="dxa"/>
                              <w:jc w:val="left"/>
                              <w:tblInd w:w="0" w:type="dxa"/>
                              <w:tblCellMar>
                                <w:top w:w="0" w:type="dxa"/>
                                <w:left w:w="0" w:type="dxa"/>
                                <w:bottom w:w="0" w:type="dxa"/>
                                <w:right w:w="0" w:type="dxa"/>
                              </w:tblCellMar>
                            </w:tblPr>
                            <w:tblGrid>
                              <w:gridCol w:w="38"/>
                              <w:gridCol w:w="165"/>
                              <w:gridCol w:w="27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6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4" descr=""/>
                                                <pic:cNvPicPr>
                                                  <a:picLocks noChangeAspect="1" noChangeArrowheads="1"/>
                                                </pic:cNvPicPr>
                                              </pic:nvPicPr>
                                              <pic:blipFill>
                                                <a:blip r:embed="rId35"/>
                                                <a:stretch>
                                                  <a:fillRect/>
                                                </a:stretch>
                                              </pic:blipFill>
                                              <pic:spPr bwMode="auto">
                                                <a:xfrm>
                                                  <a:off x="0" y="0"/>
                                                  <a:ext cx="104775" cy="85725"/>
                                                </a:xfrm>
                                                <a:prstGeom prst="rect">
                                                  <a:avLst/>
                                                </a:prstGeom>
                                              </pic:spPr>
                                            </pic:pic>
                                          </a:graphicData>
                                        </a:graphic>
                                      </wp:inline>
                                    </w:drawing>
                                  </w:r>
                                </w:p>
                              </w:tc>
                              <w:tc>
                                <w:tcPr>
                                  <w:tcW w:w="2765" w:type="dxa"/>
                                  <w:tcBorders/>
                                  <w:shd w:fill="auto" w:val="clear"/>
                                  <w:vAlign w:val="center"/>
                                </w:tcPr>
                                <w:p>
                                  <w:pPr>
                                    <w:pStyle w:val="TableContents"/>
                                    <w:spacing w:before="0" w:after="283"/>
                                    <w:jc w:val="left"/>
                                    <w:rPr>
                                      <w:color w:val="333333"/>
                                      <w:sz w:val="18"/>
                                    </w:rPr>
                                  </w:pPr>
                                  <w:r>
                                    <w:rPr>
                                      <w:color w:val="333333"/>
                                      <w:sz w:val="18"/>
                                    </w:rPr>
                                    <w:t xml:space="preserve">Code of Business Conduct and Ethics </w:t>
                                  </w:r>
                                </w:p>
                              </w:tc>
                            </w:tr>
                          </w:tbl>
                          <w:tbl>
                            <w:tblPr>
                              <w:tblW w:w="5908" w:type="dxa"/>
                              <w:jc w:val="left"/>
                              <w:tblInd w:w="0" w:type="dxa"/>
                              <w:tblCellMar>
                                <w:top w:w="0" w:type="dxa"/>
                                <w:left w:w="0" w:type="dxa"/>
                                <w:bottom w:w="0" w:type="dxa"/>
                                <w:right w:w="0" w:type="dxa"/>
                              </w:tblCellMar>
                            </w:tblPr>
                            <w:tblGrid>
                              <w:gridCol w:w="38"/>
                              <w:gridCol w:w="165"/>
                              <w:gridCol w:w="570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6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35" descr=""/>
                                                <pic:cNvPicPr>
                                                  <a:picLocks noChangeAspect="1" noChangeArrowheads="1"/>
                                                </pic:cNvPicPr>
                                              </pic:nvPicPr>
                                              <pic:blipFill>
                                                <a:blip r:embed="rId36"/>
                                                <a:stretch>
                                                  <a:fillRect/>
                                                </a:stretch>
                                              </pic:blipFill>
                                              <pic:spPr bwMode="auto">
                                                <a:xfrm>
                                                  <a:off x="0" y="0"/>
                                                  <a:ext cx="104775" cy="85725"/>
                                                </a:xfrm>
                                                <a:prstGeom prst="rect">
                                                  <a:avLst/>
                                                </a:prstGeom>
                                              </pic:spPr>
                                            </pic:pic>
                                          </a:graphicData>
                                        </a:graphic>
                                      </wp:inline>
                                    </w:drawing>
                                  </w:r>
                                </w:p>
                              </w:tc>
                              <w:tc>
                                <w:tcPr>
                                  <w:tcW w:w="5705" w:type="dxa"/>
                                  <w:tcBorders/>
                                  <w:shd w:fill="auto" w:val="clear"/>
                                  <w:vAlign w:val="center"/>
                                </w:tcPr>
                                <w:p>
                                  <w:pPr>
                                    <w:pStyle w:val="TableContents"/>
                                    <w:spacing w:before="0" w:after="283"/>
                                    <w:jc w:val="left"/>
                                    <w:rPr>
                                      <w:color w:val="333333"/>
                                      <w:sz w:val="18"/>
                                    </w:rPr>
                                  </w:pPr>
                                  <w:r>
                                    <w:rPr>
                                      <w:color w:val="333333"/>
                                      <w:sz w:val="18"/>
                                    </w:rPr>
                                    <w:t xml:space="preserve">Policy Regarding Interested Party Communications with the Board of Directors </w:t>
                                  </w:r>
                                </w:p>
                              </w:tc>
                            </w:tr>
                          </w:tbl>
                          <w:tbl>
                            <w:tblPr>
                              <w:tblW w:w="2698" w:type="dxa"/>
                              <w:jc w:val="left"/>
                              <w:tblInd w:w="0" w:type="dxa"/>
                              <w:tblCellMar>
                                <w:top w:w="0" w:type="dxa"/>
                                <w:left w:w="0" w:type="dxa"/>
                                <w:bottom w:w="0" w:type="dxa"/>
                                <w:right w:w="0" w:type="dxa"/>
                              </w:tblCellMar>
                            </w:tblPr>
                            <w:tblGrid>
                              <w:gridCol w:w="38"/>
                              <w:gridCol w:w="165"/>
                              <w:gridCol w:w="249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6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6" descr=""/>
                                                <pic:cNvPicPr>
                                                  <a:picLocks noChangeAspect="1" noChangeArrowheads="1"/>
                                                </pic:cNvPicPr>
                                              </pic:nvPicPr>
                                              <pic:blipFill>
                                                <a:blip r:embed="rId37"/>
                                                <a:stretch>
                                                  <a:fillRect/>
                                                </a:stretch>
                                              </pic:blipFill>
                                              <pic:spPr bwMode="auto">
                                                <a:xfrm>
                                                  <a:off x="0" y="0"/>
                                                  <a:ext cx="104775" cy="85725"/>
                                                </a:xfrm>
                                                <a:prstGeom prst="rect">
                                                  <a:avLst/>
                                                </a:prstGeom>
                                              </pic:spPr>
                                            </pic:pic>
                                          </a:graphicData>
                                        </a:graphic>
                                      </wp:inline>
                                    </w:drawing>
                                  </w:r>
                                </w:p>
                              </w:tc>
                              <w:tc>
                                <w:tcPr>
                                  <w:tcW w:w="2495" w:type="dxa"/>
                                  <w:tcBorders/>
                                  <w:shd w:fill="auto" w:val="clear"/>
                                  <w:vAlign w:val="center"/>
                                </w:tcPr>
                                <w:p>
                                  <w:pPr>
                                    <w:pStyle w:val="TableContents"/>
                                    <w:spacing w:before="0" w:after="283"/>
                                    <w:jc w:val="left"/>
                                    <w:rPr>
                                      <w:color w:val="333333"/>
                                      <w:sz w:val="18"/>
                                    </w:rPr>
                                  </w:pPr>
                                  <w:r>
                                    <w:rPr>
                                      <w:color w:val="333333"/>
                                      <w:sz w:val="18"/>
                                    </w:rPr>
                                    <w:t xml:space="preserve">Corporate Governance Guidelines </w:t>
                                  </w:r>
                                </w:p>
                              </w:tc>
                            </w:tr>
                          </w:tbl>
                          <w:tbl>
                            <w:tblPr>
                              <w:tblW w:w="1873" w:type="dxa"/>
                              <w:jc w:val="left"/>
                              <w:tblInd w:w="0" w:type="dxa"/>
                              <w:tblCellMar>
                                <w:top w:w="0" w:type="dxa"/>
                                <w:left w:w="0" w:type="dxa"/>
                                <w:bottom w:w="0" w:type="dxa"/>
                                <w:right w:w="0" w:type="dxa"/>
                              </w:tblCellMar>
                            </w:tblPr>
                            <w:tblGrid>
                              <w:gridCol w:w="38"/>
                              <w:gridCol w:w="165"/>
                              <w:gridCol w:w="16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66"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37" descr=""/>
                                                <pic:cNvPicPr>
                                                  <a:picLocks noChangeAspect="1" noChangeArrowheads="1"/>
                                                </pic:cNvPicPr>
                                              </pic:nvPicPr>
                                              <pic:blipFill>
                                                <a:blip r:embed="rId38"/>
                                                <a:stretch>
                                                  <a:fillRect/>
                                                </a:stretch>
                                              </pic:blipFill>
                                              <pic:spPr bwMode="auto">
                                                <a:xfrm>
                                                  <a:off x="0" y="0"/>
                                                  <a:ext cx="104775" cy="85725"/>
                                                </a:xfrm>
                                                <a:prstGeom prst="rect">
                                                  <a:avLst/>
                                                </a:prstGeom>
                                              </pic:spPr>
                                            </pic:pic>
                                          </a:graphicData>
                                        </a:graphic>
                                      </wp:inline>
                                    </w:drawing>
                                  </w:r>
                                </w:p>
                              </w:tc>
                              <w:tc>
                                <w:tcPr>
                                  <w:tcW w:w="1670" w:type="dxa"/>
                                  <w:tcBorders/>
                                  <w:shd w:fill="auto" w:val="clear"/>
                                  <w:vAlign w:val="center"/>
                                </w:tcPr>
                                <w:p>
                                  <w:pPr>
                                    <w:pStyle w:val="TableContents"/>
                                    <w:spacing w:before="0" w:after="283"/>
                                    <w:jc w:val="left"/>
                                    <w:rPr>
                                      <w:color w:val="333333"/>
                                      <w:sz w:val="18"/>
                                    </w:rPr>
                                  </w:pPr>
                                  <w:r>
                                    <w:rPr>
                                      <w:color w:val="333333"/>
                                      <w:sz w:val="18"/>
                                    </w:rPr>
                                    <w:t xml:space="preserve">Insider Trading Policy </w:t>
                                  </w:r>
                                </w:p>
                              </w:tc>
                            </w:tr>
                          </w:tbl>
                          <w:tbl>
                            <w:tblPr>
                              <w:tblW w:w="2173" w:type="dxa"/>
                              <w:jc w:val="left"/>
                              <w:tblInd w:w="0" w:type="dxa"/>
                              <w:tblCellMar>
                                <w:top w:w="0" w:type="dxa"/>
                                <w:left w:w="0" w:type="dxa"/>
                                <w:bottom w:w="0" w:type="dxa"/>
                                <w:right w:w="0" w:type="dxa"/>
                              </w:tblCellMar>
                            </w:tblPr>
                            <w:tblGrid>
                              <w:gridCol w:w="38"/>
                              <w:gridCol w:w="165"/>
                              <w:gridCol w:w="19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67"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8" descr=""/>
                                                <pic:cNvPicPr>
                                                  <a:picLocks noChangeAspect="1" noChangeArrowheads="1"/>
                                                </pic:cNvPicPr>
                                              </pic:nvPicPr>
                                              <pic:blipFill>
                                                <a:blip r:embed="rId39"/>
                                                <a:stretch>
                                                  <a:fillRect/>
                                                </a:stretch>
                                              </pic:blipFill>
                                              <pic:spPr bwMode="auto">
                                                <a:xfrm>
                                                  <a:off x="0" y="0"/>
                                                  <a:ext cx="104775" cy="85725"/>
                                                </a:xfrm>
                                                <a:prstGeom prst="rect">
                                                  <a:avLst/>
                                                </a:prstGeom>
                                              </pic:spPr>
                                            </pic:pic>
                                          </a:graphicData>
                                        </a:graphic>
                                      </wp:inline>
                                    </w:drawing>
                                  </w:r>
                                </w:p>
                              </w:tc>
                              <w:tc>
                                <w:tcPr>
                                  <w:tcW w:w="1970" w:type="dxa"/>
                                  <w:tcBorders/>
                                  <w:shd w:fill="auto" w:val="clear"/>
                                  <w:vAlign w:val="center"/>
                                </w:tcPr>
                                <w:p>
                                  <w:pPr>
                                    <w:pStyle w:val="TableContents"/>
                                    <w:spacing w:before="0" w:after="283"/>
                                    <w:jc w:val="left"/>
                                    <w:rPr>
                                      <w:color w:val="333333"/>
                                      <w:sz w:val="18"/>
                                    </w:rPr>
                                  </w:pPr>
                                  <w:r>
                                    <w:rPr>
                                      <w:color w:val="333333"/>
                                      <w:sz w:val="18"/>
                                    </w:rPr>
                                    <w:t xml:space="preserve">Board Committee Charters </w:t>
                                  </w:r>
                                </w:p>
                              </w:tc>
                            </w:tr>
                          </w:tbl>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The reports and other information contained on websites referred to in this proxy statement (other than to the extent specifically referred to herein as required by the rules of the NYSE or the SEC) are not part of this proxy solicitation and are not incorporated by reference into this proxy statement or any other proxy materials.</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i w:val="false"/>
                                <w:caps w:val="false"/>
                                <w:smallCaps w:val="false"/>
                                <w:color w:val="DC0021"/>
                                <w:sz w:val="18"/>
                              </w:rPr>
                            </w:pPr>
                            <w:bookmarkStart w:id="13" w:name="a009"/>
                            <w:bookmarkEnd w:id="13"/>
                            <w:r>
                              <w:rPr>
                                <w:rFonts w:ascii="Arial;Helvetica;Sans-Serif" w:hAnsi="Arial;Helvetica;Sans-Serif"/>
                                <w:b/>
                                <w:i w:val="false"/>
                                <w:caps w:val="false"/>
                                <w:smallCaps w:val="false"/>
                                <w:color w:val="DC0021"/>
                                <w:sz w:val="18"/>
                              </w:rPr>
                              <w:t>Forward-Leaning Corporate Governance</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In response to our shareholder engagement efforts and recent shareholder votes at our annual meetings, we have taken significant steps to adopt many corporate governance best practices:</w:t>
                            </w:r>
                          </w:p>
                          <w:p>
                            <w:pPr>
                              <w:pStyle w:val="TextBody"/>
                              <w:spacing w:before="0" w:after="0"/>
                              <w:jc w:val="left"/>
                              <w:rPr>
                                <w:caps w:val="false"/>
                                <w:smallCaps w:val="false"/>
                                <w:color w:val="333333"/>
                              </w:rPr>
                            </w:pPr>
                            <w:r>
                              <w:rPr>
                                <w:caps w:val="false"/>
                                <w:smallCaps w:val="false"/>
                                <w:color w:val="333333"/>
                              </w:rPr>
                              <w:t> </w:t>
                            </w:r>
                          </w:p>
                          <w:tbl>
                            <w:tblPr>
                              <w:tblW w:w="3118" w:type="dxa"/>
                              <w:jc w:val="left"/>
                              <w:tblInd w:w="0" w:type="dxa"/>
                              <w:tblCellMar>
                                <w:top w:w="0" w:type="dxa"/>
                                <w:left w:w="0" w:type="dxa"/>
                                <w:bottom w:w="0" w:type="dxa"/>
                                <w:right w:w="0" w:type="dxa"/>
                              </w:tblCellMar>
                            </w:tblPr>
                            <w:tblGrid>
                              <w:gridCol w:w="38"/>
                              <w:gridCol w:w="165"/>
                              <w:gridCol w:w="29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68"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39" descr=""/>
                                                <pic:cNvPicPr>
                                                  <a:picLocks noChangeAspect="1" noChangeArrowheads="1"/>
                                                </pic:cNvPicPr>
                                              </pic:nvPicPr>
                                              <pic:blipFill>
                                                <a:blip r:embed="rId40"/>
                                                <a:stretch>
                                                  <a:fillRect/>
                                                </a:stretch>
                                              </pic:blipFill>
                                              <pic:spPr bwMode="auto">
                                                <a:xfrm>
                                                  <a:off x="0" y="0"/>
                                                  <a:ext cx="104775" cy="85725"/>
                                                </a:xfrm>
                                                <a:prstGeom prst="rect">
                                                  <a:avLst/>
                                                </a:prstGeom>
                                              </pic:spPr>
                                            </pic:pic>
                                          </a:graphicData>
                                        </a:graphic>
                                      </wp:inline>
                                    </w:drawing>
                                  </w:r>
                                </w:p>
                              </w:tc>
                              <w:tc>
                                <w:tcPr>
                                  <w:tcW w:w="2915" w:type="dxa"/>
                                  <w:tcBorders/>
                                  <w:shd w:fill="auto" w:val="clear"/>
                                  <w:vAlign w:val="center"/>
                                </w:tcPr>
                                <w:p>
                                  <w:pPr>
                                    <w:pStyle w:val="TableContents"/>
                                    <w:spacing w:before="0" w:after="283"/>
                                    <w:jc w:val="left"/>
                                    <w:rPr>
                                      <w:sz w:val="18"/>
                                    </w:rPr>
                                  </w:pPr>
                                  <w:r>
                                    <w:rPr>
                                      <w:sz w:val="18"/>
                                    </w:rPr>
                                    <w:t>Broader Director diversity search criteria</w:t>
                                  </w:r>
                                </w:p>
                              </w:tc>
                            </w:tr>
                          </w:tbl>
                          <w:tbl>
                            <w:tblPr>
                              <w:tblW w:w="2488" w:type="dxa"/>
                              <w:jc w:val="left"/>
                              <w:tblInd w:w="0" w:type="dxa"/>
                              <w:tblCellMar>
                                <w:top w:w="0" w:type="dxa"/>
                                <w:left w:w="0" w:type="dxa"/>
                                <w:bottom w:w="0" w:type="dxa"/>
                                <w:right w:w="0" w:type="dxa"/>
                              </w:tblCellMar>
                            </w:tblPr>
                            <w:tblGrid>
                              <w:gridCol w:w="38"/>
                              <w:gridCol w:w="165"/>
                              <w:gridCol w:w="22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69"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40" descr=""/>
                                                <pic:cNvPicPr>
                                                  <a:picLocks noChangeAspect="1" noChangeArrowheads="1"/>
                                                </pic:cNvPicPr>
                                              </pic:nvPicPr>
                                              <pic:blipFill>
                                                <a:blip r:embed="rId41"/>
                                                <a:stretch>
                                                  <a:fillRect/>
                                                </a:stretch>
                                              </pic:blipFill>
                                              <pic:spPr bwMode="auto">
                                                <a:xfrm>
                                                  <a:off x="0" y="0"/>
                                                  <a:ext cx="104775" cy="85725"/>
                                                </a:xfrm>
                                                <a:prstGeom prst="rect">
                                                  <a:avLst/>
                                                </a:prstGeom>
                                              </pic:spPr>
                                            </pic:pic>
                                          </a:graphicData>
                                        </a:graphic>
                                      </wp:inline>
                                    </w:drawing>
                                  </w:r>
                                </w:p>
                              </w:tc>
                              <w:tc>
                                <w:tcPr>
                                  <w:tcW w:w="2285" w:type="dxa"/>
                                  <w:tcBorders/>
                                  <w:shd w:fill="auto" w:val="clear"/>
                                  <w:vAlign w:val="center"/>
                                </w:tcPr>
                                <w:p>
                                  <w:pPr>
                                    <w:pStyle w:val="TableContents"/>
                                    <w:spacing w:before="0" w:after="283"/>
                                    <w:jc w:val="left"/>
                                    <w:rPr>
                                      <w:sz w:val="18"/>
                                    </w:rPr>
                                  </w:pPr>
                                  <w:r>
                                    <w:rPr>
                                      <w:sz w:val="18"/>
                                    </w:rPr>
                                    <w:t>Declassified Board of Directors</w:t>
                                  </w:r>
                                </w:p>
                              </w:tc>
                            </w:tr>
                          </w:tbl>
                          <w:tbl>
                            <w:tblPr>
                              <w:tblW w:w="2128" w:type="dxa"/>
                              <w:jc w:val="left"/>
                              <w:tblInd w:w="0" w:type="dxa"/>
                              <w:tblCellMar>
                                <w:top w:w="0" w:type="dxa"/>
                                <w:left w:w="0" w:type="dxa"/>
                                <w:bottom w:w="0" w:type="dxa"/>
                                <w:right w:w="0" w:type="dxa"/>
                              </w:tblCellMar>
                            </w:tblPr>
                            <w:tblGrid>
                              <w:gridCol w:w="38"/>
                              <w:gridCol w:w="165"/>
                              <w:gridCol w:w="19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0"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41" descr=""/>
                                                <pic:cNvPicPr>
                                                  <a:picLocks noChangeAspect="1" noChangeArrowheads="1"/>
                                                </pic:cNvPicPr>
                                              </pic:nvPicPr>
                                              <pic:blipFill>
                                                <a:blip r:embed="rId42"/>
                                                <a:stretch>
                                                  <a:fillRect/>
                                                </a:stretch>
                                              </pic:blipFill>
                                              <pic:spPr bwMode="auto">
                                                <a:xfrm>
                                                  <a:off x="0" y="0"/>
                                                  <a:ext cx="104775" cy="85725"/>
                                                </a:xfrm>
                                                <a:prstGeom prst="rect">
                                                  <a:avLst/>
                                                </a:prstGeom>
                                              </pic:spPr>
                                            </pic:pic>
                                          </a:graphicData>
                                        </a:graphic>
                                      </wp:inline>
                                    </w:drawing>
                                  </w:r>
                                </w:p>
                              </w:tc>
                              <w:tc>
                                <w:tcPr>
                                  <w:tcW w:w="1925" w:type="dxa"/>
                                  <w:tcBorders/>
                                  <w:shd w:fill="auto" w:val="clear"/>
                                  <w:vAlign w:val="center"/>
                                </w:tcPr>
                                <w:p>
                                  <w:pPr>
                                    <w:pStyle w:val="TableContents"/>
                                    <w:spacing w:before="0" w:after="283"/>
                                    <w:jc w:val="left"/>
                                    <w:rPr>
                                      <w:sz w:val="18"/>
                                    </w:rPr>
                                  </w:pPr>
                                  <w:r>
                                    <w:rPr>
                                      <w:sz w:val="18"/>
                                    </w:rPr>
                                    <w:t>Lead Independent Director</w:t>
                                  </w:r>
                                </w:p>
                              </w:tc>
                            </w:tr>
                          </w:tbl>
                          <w:tbl>
                            <w:tblPr>
                              <w:tblW w:w="2818" w:type="dxa"/>
                              <w:jc w:val="left"/>
                              <w:tblInd w:w="0" w:type="dxa"/>
                              <w:tblCellMar>
                                <w:top w:w="0" w:type="dxa"/>
                                <w:left w:w="0" w:type="dxa"/>
                                <w:bottom w:w="0" w:type="dxa"/>
                                <w:right w:w="0" w:type="dxa"/>
                              </w:tblCellMar>
                            </w:tblPr>
                            <w:tblGrid>
                              <w:gridCol w:w="38"/>
                              <w:gridCol w:w="165"/>
                              <w:gridCol w:w="26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1"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42" descr=""/>
                                                <pic:cNvPicPr>
                                                  <a:picLocks noChangeAspect="1" noChangeArrowheads="1"/>
                                                </pic:cNvPicPr>
                                              </pic:nvPicPr>
                                              <pic:blipFill>
                                                <a:blip r:embed="rId43"/>
                                                <a:stretch>
                                                  <a:fillRect/>
                                                </a:stretch>
                                              </pic:blipFill>
                                              <pic:spPr bwMode="auto">
                                                <a:xfrm>
                                                  <a:off x="0" y="0"/>
                                                  <a:ext cx="104775" cy="85725"/>
                                                </a:xfrm>
                                                <a:prstGeom prst="rect">
                                                  <a:avLst/>
                                                </a:prstGeom>
                                              </pic:spPr>
                                            </pic:pic>
                                          </a:graphicData>
                                        </a:graphic>
                                      </wp:inline>
                                    </w:drawing>
                                  </w:r>
                                </w:p>
                              </w:tc>
                              <w:tc>
                                <w:tcPr>
                                  <w:tcW w:w="2615" w:type="dxa"/>
                                  <w:tcBorders/>
                                  <w:shd w:fill="auto" w:val="clear"/>
                                  <w:vAlign w:val="center"/>
                                </w:tcPr>
                                <w:p>
                                  <w:pPr>
                                    <w:pStyle w:val="TableContents"/>
                                    <w:spacing w:before="0" w:after="283"/>
                                    <w:jc w:val="left"/>
                                    <w:rPr>
                                      <w:sz w:val="18"/>
                                    </w:rPr>
                                  </w:pPr>
                                  <w:r>
                                    <w:rPr>
                                      <w:sz w:val="18"/>
                                    </w:rPr>
                                    <w:t>Majority voting in Director elections</w:t>
                                  </w:r>
                                </w:p>
                              </w:tc>
                            </w:tr>
                          </w:tbl>
                          <w:tbl>
                            <w:tblPr>
                              <w:tblW w:w="2698" w:type="dxa"/>
                              <w:jc w:val="left"/>
                              <w:tblInd w:w="0" w:type="dxa"/>
                              <w:tblCellMar>
                                <w:top w:w="0" w:type="dxa"/>
                                <w:left w:w="0" w:type="dxa"/>
                                <w:bottom w:w="0" w:type="dxa"/>
                                <w:right w:w="0" w:type="dxa"/>
                              </w:tblCellMar>
                            </w:tblPr>
                            <w:tblGrid>
                              <w:gridCol w:w="38"/>
                              <w:gridCol w:w="165"/>
                              <w:gridCol w:w="249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2"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43" descr=""/>
                                                <pic:cNvPicPr>
                                                  <a:picLocks noChangeAspect="1" noChangeArrowheads="1"/>
                                                </pic:cNvPicPr>
                                              </pic:nvPicPr>
                                              <pic:blipFill>
                                                <a:blip r:embed="rId44"/>
                                                <a:stretch>
                                                  <a:fillRect/>
                                                </a:stretch>
                                              </pic:blipFill>
                                              <pic:spPr bwMode="auto">
                                                <a:xfrm>
                                                  <a:off x="0" y="0"/>
                                                  <a:ext cx="104775" cy="85725"/>
                                                </a:xfrm>
                                                <a:prstGeom prst="rect">
                                                  <a:avLst/>
                                                </a:prstGeom>
                                              </pic:spPr>
                                            </pic:pic>
                                          </a:graphicData>
                                        </a:graphic>
                                      </wp:inline>
                                    </w:drawing>
                                  </w:r>
                                </w:p>
                              </w:tc>
                              <w:tc>
                                <w:tcPr>
                                  <w:tcW w:w="2495" w:type="dxa"/>
                                  <w:tcBorders/>
                                  <w:shd w:fill="auto" w:val="clear"/>
                                  <w:vAlign w:val="center"/>
                                </w:tcPr>
                                <w:p>
                                  <w:pPr>
                                    <w:pStyle w:val="TableContents"/>
                                    <w:spacing w:before="0" w:after="283"/>
                                    <w:jc w:val="left"/>
                                    <w:rPr>
                                      <w:sz w:val="18"/>
                                    </w:rPr>
                                  </w:pPr>
                                  <w:r>
                                    <w:rPr>
                                      <w:sz w:val="18"/>
                                    </w:rPr>
                                    <w:t>Expanded shareholder engagement</w:t>
                                  </w:r>
                                </w:p>
                              </w:tc>
                            </w:tr>
                          </w:tbl>
                          <w:tbl>
                            <w:tblPr>
                              <w:tblW w:w="1168" w:type="dxa"/>
                              <w:jc w:val="left"/>
                              <w:tblInd w:w="0" w:type="dxa"/>
                              <w:tblCellMar>
                                <w:top w:w="0" w:type="dxa"/>
                                <w:left w:w="0" w:type="dxa"/>
                                <w:bottom w:w="0" w:type="dxa"/>
                                <w:right w:w="0" w:type="dxa"/>
                              </w:tblCellMar>
                            </w:tblPr>
                            <w:tblGrid>
                              <w:gridCol w:w="38"/>
                              <w:gridCol w:w="165"/>
                              <w:gridCol w:w="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44" descr=""/>
                                                <pic:cNvPicPr>
                                                  <a:picLocks noChangeAspect="1" noChangeArrowheads="1"/>
                                                </pic:cNvPicPr>
                                              </pic:nvPicPr>
                                              <pic:blipFill>
                                                <a:blip r:embed="rId45"/>
                                                <a:stretch>
                                                  <a:fillRect/>
                                                </a:stretch>
                                              </pic:blipFill>
                                              <pic:spPr bwMode="auto">
                                                <a:xfrm>
                                                  <a:off x="0" y="0"/>
                                                  <a:ext cx="104775" cy="85725"/>
                                                </a:xfrm>
                                                <a:prstGeom prst="rect">
                                                  <a:avLst/>
                                                </a:prstGeom>
                                              </pic:spPr>
                                            </pic:pic>
                                          </a:graphicData>
                                        </a:graphic>
                                      </wp:inline>
                                    </w:drawing>
                                  </w:r>
                                </w:p>
                              </w:tc>
                              <w:tc>
                                <w:tcPr>
                                  <w:tcW w:w="965" w:type="dxa"/>
                                  <w:tcBorders/>
                                  <w:shd w:fill="auto" w:val="clear"/>
                                  <w:vAlign w:val="center"/>
                                </w:tcPr>
                                <w:p>
                                  <w:pPr>
                                    <w:pStyle w:val="TableContents"/>
                                    <w:spacing w:before="0" w:after="283"/>
                                    <w:jc w:val="left"/>
                                    <w:rPr>
                                      <w:sz w:val="18"/>
                                    </w:rPr>
                                  </w:pPr>
                                  <w:r>
                                    <w:rPr>
                                      <w:sz w:val="18"/>
                                    </w:rPr>
                                    <w:t>Proxy access</w:t>
                                  </w:r>
                                </w:p>
                              </w:tc>
                            </w:tr>
                          </w:tbl>
                          <w:tbl>
                            <w:tblPr>
                              <w:tblW w:w="3133" w:type="dxa"/>
                              <w:jc w:val="left"/>
                              <w:tblInd w:w="0" w:type="dxa"/>
                              <w:tblCellMar>
                                <w:top w:w="0" w:type="dxa"/>
                                <w:left w:w="0" w:type="dxa"/>
                                <w:bottom w:w="0" w:type="dxa"/>
                                <w:right w:w="0" w:type="dxa"/>
                              </w:tblCellMar>
                            </w:tblPr>
                            <w:tblGrid>
                              <w:gridCol w:w="38"/>
                              <w:gridCol w:w="165"/>
                              <w:gridCol w:w="293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4"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45" descr=""/>
                                                <pic:cNvPicPr>
                                                  <a:picLocks noChangeAspect="1" noChangeArrowheads="1"/>
                                                </pic:cNvPicPr>
                                              </pic:nvPicPr>
                                              <pic:blipFill>
                                                <a:blip r:embed="rId46"/>
                                                <a:stretch>
                                                  <a:fillRect/>
                                                </a:stretch>
                                              </pic:blipFill>
                                              <pic:spPr bwMode="auto">
                                                <a:xfrm>
                                                  <a:off x="0" y="0"/>
                                                  <a:ext cx="104775" cy="85725"/>
                                                </a:xfrm>
                                                <a:prstGeom prst="rect">
                                                  <a:avLst/>
                                                </a:prstGeom>
                                              </pic:spPr>
                                            </pic:pic>
                                          </a:graphicData>
                                        </a:graphic>
                                      </wp:inline>
                                    </w:drawing>
                                  </w:r>
                                </w:p>
                              </w:tc>
                              <w:tc>
                                <w:tcPr>
                                  <w:tcW w:w="2930" w:type="dxa"/>
                                  <w:tcBorders/>
                                  <w:shd w:fill="auto" w:val="clear"/>
                                  <w:vAlign w:val="center"/>
                                </w:tcPr>
                                <w:p>
                                  <w:pPr>
                                    <w:pStyle w:val="TableContents"/>
                                    <w:spacing w:before="0" w:after="283"/>
                                    <w:jc w:val="left"/>
                                    <w:rPr>
                                      <w:sz w:val="18"/>
                                    </w:rPr>
                                  </w:pPr>
                                  <w:r>
                                    <w:rPr>
                                      <w:sz w:val="18"/>
                                    </w:rPr>
                                    <w:t>Shareholder right to call special meetings</w:t>
                                  </w:r>
                                </w:p>
                              </w:tc>
                            </w:tr>
                          </w:tbl>
                          <w:tbl>
                            <w:tblPr>
                              <w:tblW w:w="3238" w:type="dxa"/>
                              <w:jc w:val="left"/>
                              <w:tblInd w:w="0" w:type="dxa"/>
                              <w:tblCellMar>
                                <w:top w:w="0" w:type="dxa"/>
                                <w:left w:w="0" w:type="dxa"/>
                                <w:bottom w:w="0" w:type="dxa"/>
                                <w:right w:w="0" w:type="dxa"/>
                              </w:tblCellMar>
                            </w:tblPr>
                            <w:tblGrid>
                              <w:gridCol w:w="38"/>
                              <w:gridCol w:w="165"/>
                              <w:gridCol w:w="303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5"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46" descr=""/>
                                                <pic:cNvPicPr>
                                                  <a:picLocks noChangeAspect="1" noChangeArrowheads="1"/>
                                                </pic:cNvPicPr>
                                              </pic:nvPicPr>
                                              <pic:blipFill>
                                                <a:blip r:embed="rId47"/>
                                                <a:stretch>
                                                  <a:fillRect/>
                                                </a:stretch>
                                              </pic:blipFill>
                                              <pic:spPr bwMode="auto">
                                                <a:xfrm>
                                                  <a:off x="0" y="0"/>
                                                  <a:ext cx="104775" cy="85725"/>
                                                </a:xfrm>
                                                <a:prstGeom prst="rect">
                                                  <a:avLst/>
                                                </a:prstGeom>
                                              </pic:spPr>
                                            </pic:pic>
                                          </a:graphicData>
                                        </a:graphic>
                                      </wp:inline>
                                    </w:drawing>
                                  </w:r>
                                </w:p>
                              </w:tc>
                              <w:tc>
                                <w:tcPr>
                                  <w:tcW w:w="3035" w:type="dxa"/>
                                  <w:tcBorders/>
                                  <w:shd w:fill="auto" w:val="clear"/>
                                  <w:vAlign w:val="center"/>
                                </w:tcPr>
                                <w:p>
                                  <w:pPr>
                                    <w:pStyle w:val="TableContents"/>
                                    <w:spacing w:before="0" w:after="283"/>
                                    <w:jc w:val="left"/>
                                    <w:rPr>
                                      <w:sz w:val="18"/>
                                    </w:rPr>
                                  </w:pPr>
                                  <w:r>
                                    <w:rPr>
                                      <w:sz w:val="18"/>
                                    </w:rPr>
                                    <w:t>Shareholder right to act by written consent</w:t>
                                  </w:r>
                                </w:p>
                              </w:tc>
                            </w:tr>
                          </w:tbl>
                          <w:p>
                            <w:pPr>
                              <w:pStyle w:val="TextBody"/>
                              <w:spacing w:before="0" w:after="0"/>
                              <w:jc w:val="left"/>
                              <w:rPr>
                                <w:caps w:val="false"/>
                                <w:smallCaps w:val="false"/>
                                <w:color w:val="333333"/>
                              </w:rPr>
                            </w:pPr>
                            <w:r>
                              <w:rPr>
                                <w:caps w:val="false"/>
                                <w:smallCaps w:val="false"/>
                                <w:color w:val="333333"/>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left"/>
                        <w:rPr>
                          <w:rFonts w:ascii="Arial;Helvetica;Sans-Serif" w:hAnsi="Arial;Helvetica;Sans-Serif"/>
                          <w:b/>
                          <w:i w:val="false"/>
                          <w:caps w:val="false"/>
                          <w:smallCaps w:val="false"/>
                          <w:color w:val="DC0021"/>
                          <w:sz w:val="20"/>
                        </w:rPr>
                      </w:pPr>
                      <w:bookmarkStart w:id="14" w:name="a008"/>
                      <w:bookmarkEnd w:id="14"/>
                      <w:r>
                        <w:rPr>
                          <w:rFonts w:ascii="Arial;Helvetica;Sans-Serif" w:hAnsi="Arial;Helvetica;Sans-Serif"/>
                          <w:b/>
                          <w:i w:val="false"/>
                          <w:caps w:val="false"/>
                          <w:smallCaps w:val="false"/>
                          <w:color w:val="DC0021"/>
                          <w:sz w:val="20"/>
                        </w:rPr>
                        <w:t>Our Board of Directors</w:t>
                      </w:r>
                    </w:p>
                    <w:p>
                      <w:pPr>
                        <w:pStyle w:val="TextBody"/>
                        <w:spacing w:before="0" w:after="0"/>
                        <w:jc w:val="left"/>
                        <w:rPr>
                          <w:caps w:val="false"/>
                          <w:smallCaps w:val="false"/>
                          <w:color w:val="DC0021"/>
                        </w:rPr>
                      </w:pPr>
                      <w:r>
                        <w:rPr>
                          <w:caps w:val="false"/>
                          <w:smallCaps w:val="false"/>
                          <w:color w:val="DC0021"/>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In order to oversee our complex, global business, our Board is comprised of experienced individuals who are engaged in their duties and invested in our Company’s success. Our Board recognizes the importance of independence from management and ensures its responsiveness to shareholders by directly connecting directors’ interests with those of our shareholders. Our Board and management have taken a long-term view toward shareholder engagement and recognize that continuous solicitation and consideration of shareholder feedback is critical to driving growth and creating shareholder value.</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As a result, we regularly engage with our shareholders throughout the year by multiple means to encourage ongoing, meaningful dialogue.</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We encourage you to visit the “Corporate Governance” area of the “Investor Relations” section of our website (https://investor. FLEETCOR.com) where you will find detailed information about our corporate governance practices, including our key governance documents listed below:</w:t>
                      </w:r>
                    </w:p>
                    <w:p>
                      <w:pPr>
                        <w:pStyle w:val="TextBody"/>
                        <w:spacing w:before="0" w:after="0"/>
                        <w:jc w:val="left"/>
                        <w:rPr>
                          <w:caps w:val="false"/>
                          <w:smallCaps w:val="false"/>
                          <w:color w:val="333333"/>
                        </w:rPr>
                      </w:pPr>
                      <w:r>
                        <w:rPr>
                          <w:caps w:val="false"/>
                          <w:smallCaps w:val="false"/>
                          <w:color w:val="333333"/>
                        </w:rPr>
                        <w:t> </w:t>
                      </w:r>
                    </w:p>
                    <w:tbl>
                      <w:tblPr>
                        <w:tblW w:w="2968" w:type="dxa"/>
                        <w:jc w:val="left"/>
                        <w:tblInd w:w="0" w:type="dxa"/>
                        <w:tblCellMar>
                          <w:top w:w="0" w:type="dxa"/>
                          <w:left w:w="0" w:type="dxa"/>
                          <w:bottom w:w="0" w:type="dxa"/>
                          <w:right w:w="0" w:type="dxa"/>
                        </w:tblCellMar>
                      </w:tblPr>
                      <w:tblGrid>
                        <w:gridCol w:w="38"/>
                        <w:gridCol w:w="165"/>
                        <w:gridCol w:w="27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6"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4" descr=""/>
                                          <pic:cNvPicPr>
                                            <a:picLocks noChangeAspect="1" noChangeArrowheads="1"/>
                                          </pic:cNvPicPr>
                                        </pic:nvPicPr>
                                        <pic:blipFill>
                                          <a:blip r:embed="rId35"/>
                                          <a:stretch>
                                            <a:fillRect/>
                                          </a:stretch>
                                        </pic:blipFill>
                                        <pic:spPr bwMode="auto">
                                          <a:xfrm>
                                            <a:off x="0" y="0"/>
                                            <a:ext cx="104775" cy="85725"/>
                                          </a:xfrm>
                                          <a:prstGeom prst="rect">
                                            <a:avLst/>
                                          </a:prstGeom>
                                        </pic:spPr>
                                      </pic:pic>
                                    </a:graphicData>
                                  </a:graphic>
                                </wp:inline>
                              </w:drawing>
                            </w:r>
                          </w:p>
                        </w:tc>
                        <w:tc>
                          <w:tcPr>
                            <w:tcW w:w="2765" w:type="dxa"/>
                            <w:tcBorders/>
                            <w:shd w:fill="auto" w:val="clear"/>
                            <w:vAlign w:val="center"/>
                          </w:tcPr>
                          <w:p>
                            <w:pPr>
                              <w:pStyle w:val="TableContents"/>
                              <w:spacing w:before="0" w:after="283"/>
                              <w:jc w:val="left"/>
                              <w:rPr>
                                <w:color w:val="333333"/>
                                <w:sz w:val="18"/>
                              </w:rPr>
                            </w:pPr>
                            <w:r>
                              <w:rPr>
                                <w:color w:val="333333"/>
                                <w:sz w:val="18"/>
                              </w:rPr>
                              <w:t xml:space="preserve">Code of Business Conduct and Ethics </w:t>
                            </w:r>
                          </w:p>
                        </w:tc>
                      </w:tr>
                    </w:tbl>
                    <w:tbl>
                      <w:tblPr>
                        <w:tblW w:w="5908" w:type="dxa"/>
                        <w:jc w:val="left"/>
                        <w:tblInd w:w="0" w:type="dxa"/>
                        <w:tblCellMar>
                          <w:top w:w="0" w:type="dxa"/>
                          <w:left w:w="0" w:type="dxa"/>
                          <w:bottom w:w="0" w:type="dxa"/>
                          <w:right w:w="0" w:type="dxa"/>
                        </w:tblCellMar>
                      </w:tblPr>
                      <w:tblGrid>
                        <w:gridCol w:w="38"/>
                        <w:gridCol w:w="165"/>
                        <w:gridCol w:w="570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7"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5" descr=""/>
                                          <pic:cNvPicPr>
                                            <a:picLocks noChangeAspect="1" noChangeArrowheads="1"/>
                                          </pic:cNvPicPr>
                                        </pic:nvPicPr>
                                        <pic:blipFill>
                                          <a:blip r:embed="rId36"/>
                                          <a:stretch>
                                            <a:fillRect/>
                                          </a:stretch>
                                        </pic:blipFill>
                                        <pic:spPr bwMode="auto">
                                          <a:xfrm>
                                            <a:off x="0" y="0"/>
                                            <a:ext cx="104775" cy="85725"/>
                                          </a:xfrm>
                                          <a:prstGeom prst="rect">
                                            <a:avLst/>
                                          </a:prstGeom>
                                        </pic:spPr>
                                      </pic:pic>
                                    </a:graphicData>
                                  </a:graphic>
                                </wp:inline>
                              </w:drawing>
                            </w:r>
                          </w:p>
                        </w:tc>
                        <w:tc>
                          <w:tcPr>
                            <w:tcW w:w="5705" w:type="dxa"/>
                            <w:tcBorders/>
                            <w:shd w:fill="auto" w:val="clear"/>
                            <w:vAlign w:val="center"/>
                          </w:tcPr>
                          <w:p>
                            <w:pPr>
                              <w:pStyle w:val="TableContents"/>
                              <w:spacing w:before="0" w:after="283"/>
                              <w:jc w:val="left"/>
                              <w:rPr>
                                <w:color w:val="333333"/>
                                <w:sz w:val="18"/>
                              </w:rPr>
                            </w:pPr>
                            <w:r>
                              <w:rPr>
                                <w:color w:val="333333"/>
                                <w:sz w:val="18"/>
                              </w:rPr>
                              <w:t xml:space="preserve">Policy Regarding Interested Party Communications with the Board of Directors </w:t>
                            </w:r>
                          </w:p>
                        </w:tc>
                      </w:tr>
                    </w:tbl>
                    <w:tbl>
                      <w:tblPr>
                        <w:tblW w:w="2698" w:type="dxa"/>
                        <w:jc w:val="left"/>
                        <w:tblInd w:w="0" w:type="dxa"/>
                        <w:tblCellMar>
                          <w:top w:w="0" w:type="dxa"/>
                          <w:left w:w="0" w:type="dxa"/>
                          <w:bottom w:w="0" w:type="dxa"/>
                          <w:right w:w="0" w:type="dxa"/>
                        </w:tblCellMar>
                      </w:tblPr>
                      <w:tblGrid>
                        <w:gridCol w:w="38"/>
                        <w:gridCol w:w="165"/>
                        <w:gridCol w:w="249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8"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6" descr=""/>
                                          <pic:cNvPicPr>
                                            <a:picLocks noChangeAspect="1" noChangeArrowheads="1"/>
                                          </pic:cNvPicPr>
                                        </pic:nvPicPr>
                                        <pic:blipFill>
                                          <a:blip r:embed="rId37"/>
                                          <a:stretch>
                                            <a:fillRect/>
                                          </a:stretch>
                                        </pic:blipFill>
                                        <pic:spPr bwMode="auto">
                                          <a:xfrm>
                                            <a:off x="0" y="0"/>
                                            <a:ext cx="104775" cy="85725"/>
                                          </a:xfrm>
                                          <a:prstGeom prst="rect">
                                            <a:avLst/>
                                          </a:prstGeom>
                                        </pic:spPr>
                                      </pic:pic>
                                    </a:graphicData>
                                  </a:graphic>
                                </wp:inline>
                              </w:drawing>
                            </w:r>
                          </w:p>
                        </w:tc>
                        <w:tc>
                          <w:tcPr>
                            <w:tcW w:w="2495" w:type="dxa"/>
                            <w:tcBorders/>
                            <w:shd w:fill="auto" w:val="clear"/>
                            <w:vAlign w:val="center"/>
                          </w:tcPr>
                          <w:p>
                            <w:pPr>
                              <w:pStyle w:val="TableContents"/>
                              <w:spacing w:before="0" w:after="283"/>
                              <w:jc w:val="left"/>
                              <w:rPr>
                                <w:color w:val="333333"/>
                                <w:sz w:val="18"/>
                              </w:rPr>
                            </w:pPr>
                            <w:r>
                              <w:rPr>
                                <w:color w:val="333333"/>
                                <w:sz w:val="18"/>
                              </w:rPr>
                              <w:t xml:space="preserve">Corporate Governance Guidelines </w:t>
                            </w:r>
                          </w:p>
                        </w:tc>
                      </w:tr>
                    </w:tbl>
                    <w:tbl>
                      <w:tblPr>
                        <w:tblW w:w="1873" w:type="dxa"/>
                        <w:jc w:val="left"/>
                        <w:tblInd w:w="0" w:type="dxa"/>
                        <w:tblCellMar>
                          <w:top w:w="0" w:type="dxa"/>
                          <w:left w:w="0" w:type="dxa"/>
                          <w:bottom w:w="0" w:type="dxa"/>
                          <w:right w:w="0" w:type="dxa"/>
                        </w:tblCellMar>
                      </w:tblPr>
                      <w:tblGrid>
                        <w:gridCol w:w="38"/>
                        <w:gridCol w:w="165"/>
                        <w:gridCol w:w="16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79"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7" descr=""/>
                                          <pic:cNvPicPr>
                                            <a:picLocks noChangeAspect="1" noChangeArrowheads="1"/>
                                          </pic:cNvPicPr>
                                        </pic:nvPicPr>
                                        <pic:blipFill>
                                          <a:blip r:embed="rId38"/>
                                          <a:stretch>
                                            <a:fillRect/>
                                          </a:stretch>
                                        </pic:blipFill>
                                        <pic:spPr bwMode="auto">
                                          <a:xfrm>
                                            <a:off x="0" y="0"/>
                                            <a:ext cx="104775" cy="85725"/>
                                          </a:xfrm>
                                          <a:prstGeom prst="rect">
                                            <a:avLst/>
                                          </a:prstGeom>
                                        </pic:spPr>
                                      </pic:pic>
                                    </a:graphicData>
                                  </a:graphic>
                                </wp:inline>
                              </w:drawing>
                            </w:r>
                          </w:p>
                        </w:tc>
                        <w:tc>
                          <w:tcPr>
                            <w:tcW w:w="1670" w:type="dxa"/>
                            <w:tcBorders/>
                            <w:shd w:fill="auto" w:val="clear"/>
                            <w:vAlign w:val="center"/>
                          </w:tcPr>
                          <w:p>
                            <w:pPr>
                              <w:pStyle w:val="TableContents"/>
                              <w:spacing w:before="0" w:after="283"/>
                              <w:jc w:val="left"/>
                              <w:rPr>
                                <w:color w:val="333333"/>
                                <w:sz w:val="18"/>
                              </w:rPr>
                            </w:pPr>
                            <w:r>
                              <w:rPr>
                                <w:color w:val="333333"/>
                                <w:sz w:val="18"/>
                              </w:rPr>
                              <w:t xml:space="preserve">Insider Trading Policy </w:t>
                            </w:r>
                          </w:p>
                        </w:tc>
                      </w:tr>
                    </w:tbl>
                    <w:tbl>
                      <w:tblPr>
                        <w:tblW w:w="2173" w:type="dxa"/>
                        <w:jc w:val="left"/>
                        <w:tblInd w:w="0" w:type="dxa"/>
                        <w:tblCellMar>
                          <w:top w:w="0" w:type="dxa"/>
                          <w:left w:w="0" w:type="dxa"/>
                          <w:bottom w:w="0" w:type="dxa"/>
                          <w:right w:w="0" w:type="dxa"/>
                        </w:tblCellMar>
                      </w:tblPr>
                      <w:tblGrid>
                        <w:gridCol w:w="38"/>
                        <w:gridCol w:w="165"/>
                        <w:gridCol w:w="19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0"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38" descr=""/>
                                          <pic:cNvPicPr>
                                            <a:picLocks noChangeAspect="1" noChangeArrowheads="1"/>
                                          </pic:cNvPicPr>
                                        </pic:nvPicPr>
                                        <pic:blipFill>
                                          <a:blip r:embed="rId39"/>
                                          <a:stretch>
                                            <a:fillRect/>
                                          </a:stretch>
                                        </pic:blipFill>
                                        <pic:spPr bwMode="auto">
                                          <a:xfrm>
                                            <a:off x="0" y="0"/>
                                            <a:ext cx="104775" cy="85725"/>
                                          </a:xfrm>
                                          <a:prstGeom prst="rect">
                                            <a:avLst/>
                                          </a:prstGeom>
                                        </pic:spPr>
                                      </pic:pic>
                                    </a:graphicData>
                                  </a:graphic>
                                </wp:inline>
                              </w:drawing>
                            </w:r>
                          </w:p>
                        </w:tc>
                        <w:tc>
                          <w:tcPr>
                            <w:tcW w:w="1970" w:type="dxa"/>
                            <w:tcBorders/>
                            <w:shd w:fill="auto" w:val="clear"/>
                            <w:vAlign w:val="center"/>
                          </w:tcPr>
                          <w:p>
                            <w:pPr>
                              <w:pStyle w:val="TableContents"/>
                              <w:spacing w:before="0" w:after="283"/>
                              <w:jc w:val="left"/>
                              <w:rPr>
                                <w:color w:val="333333"/>
                                <w:sz w:val="18"/>
                              </w:rPr>
                            </w:pPr>
                            <w:r>
                              <w:rPr>
                                <w:color w:val="333333"/>
                                <w:sz w:val="18"/>
                              </w:rPr>
                              <w:t xml:space="preserve">Board Committee Charters </w:t>
                            </w:r>
                          </w:p>
                        </w:tc>
                      </w:tr>
                    </w:tbl>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The reports and other information contained on websites referred to in this proxy statement (other than to the extent specifically referred to herein as required by the rules of the NYSE or the SEC) are not part of this proxy solicitation and are not incorporated by reference into this proxy statement or any other proxy materials.</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i w:val="false"/>
                          <w:caps w:val="false"/>
                          <w:smallCaps w:val="false"/>
                          <w:color w:val="DC0021"/>
                          <w:sz w:val="18"/>
                        </w:rPr>
                      </w:pPr>
                      <w:bookmarkStart w:id="15" w:name="a009"/>
                      <w:bookmarkEnd w:id="15"/>
                      <w:r>
                        <w:rPr>
                          <w:rFonts w:ascii="Arial;Helvetica;Sans-Serif" w:hAnsi="Arial;Helvetica;Sans-Serif"/>
                          <w:b/>
                          <w:i w:val="false"/>
                          <w:caps w:val="false"/>
                          <w:smallCaps w:val="false"/>
                          <w:color w:val="DC0021"/>
                          <w:sz w:val="18"/>
                        </w:rPr>
                        <w:t>Forward-Leaning Corporate Governance</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In response to our shareholder engagement efforts and recent shareholder votes at our annual meetings, we have taken significant steps to adopt many corporate governance best practices:</w:t>
                      </w:r>
                    </w:p>
                    <w:p>
                      <w:pPr>
                        <w:pStyle w:val="TextBody"/>
                        <w:spacing w:before="0" w:after="0"/>
                        <w:jc w:val="left"/>
                        <w:rPr>
                          <w:caps w:val="false"/>
                          <w:smallCaps w:val="false"/>
                          <w:color w:val="333333"/>
                        </w:rPr>
                      </w:pPr>
                      <w:r>
                        <w:rPr>
                          <w:caps w:val="false"/>
                          <w:smallCaps w:val="false"/>
                          <w:color w:val="333333"/>
                        </w:rPr>
                        <w:t> </w:t>
                      </w:r>
                    </w:p>
                    <w:tbl>
                      <w:tblPr>
                        <w:tblW w:w="3118" w:type="dxa"/>
                        <w:jc w:val="left"/>
                        <w:tblInd w:w="0" w:type="dxa"/>
                        <w:tblCellMar>
                          <w:top w:w="0" w:type="dxa"/>
                          <w:left w:w="0" w:type="dxa"/>
                          <w:bottom w:w="0" w:type="dxa"/>
                          <w:right w:w="0" w:type="dxa"/>
                        </w:tblCellMar>
                      </w:tblPr>
                      <w:tblGrid>
                        <w:gridCol w:w="38"/>
                        <w:gridCol w:w="165"/>
                        <w:gridCol w:w="29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9" descr=""/>
                                          <pic:cNvPicPr>
                                            <a:picLocks noChangeAspect="1" noChangeArrowheads="1"/>
                                          </pic:cNvPicPr>
                                        </pic:nvPicPr>
                                        <pic:blipFill>
                                          <a:blip r:embed="rId40"/>
                                          <a:stretch>
                                            <a:fillRect/>
                                          </a:stretch>
                                        </pic:blipFill>
                                        <pic:spPr bwMode="auto">
                                          <a:xfrm>
                                            <a:off x="0" y="0"/>
                                            <a:ext cx="104775" cy="85725"/>
                                          </a:xfrm>
                                          <a:prstGeom prst="rect">
                                            <a:avLst/>
                                          </a:prstGeom>
                                        </pic:spPr>
                                      </pic:pic>
                                    </a:graphicData>
                                  </a:graphic>
                                </wp:inline>
                              </w:drawing>
                            </w:r>
                          </w:p>
                        </w:tc>
                        <w:tc>
                          <w:tcPr>
                            <w:tcW w:w="2915" w:type="dxa"/>
                            <w:tcBorders/>
                            <w:shd w:fill="auto" w:val="clear"/>
                            <w:vAlign w:val="center"/>
                          </w:tcPr>
                          <w:p>
                            <w:pPr>
                              <w:pStyle w:val="TableContents"/>
                              <w:spacing w:before="0" w:after="283"/>
                              <w:jc w:val="left"/>
                              <w:rPr>
                                <w:sz w:val="18"/>
                              </w:rPr>
                            </w:pPr>
                            <w:r>
                              <w:rPr>
                                <w:sz w:val="18"/>
                              </w:rPr>
                              <w:t>Broader Director diversity search criteria</w:t>
                            </w:r>
                          </w:p>
                        </w:tc>
                      </w:tr>
                    </w:tbl>
                    <w:tbl>
                      <w:tblPr>
                        <w:tblW w:w="2488" w:type="dxa"/>
                        <w:jc w:val="left"/>
                        <w:tblInd w:w="0" w:type="dxa"/>
                        <w:tblCellMar>
                          <w:top w:w="0" w:type="dxa"/>
                          <w:left w:w="0" w:type="dxa"/>
                          <w:bottom w:w="0" w:type="dxa"/>
                          <w:right w:w="0" w:type="dxa"/>
                        </w:tblCellMar>
                      </w:tblPr>
                      <w:tblGrid>
                        <w:gridCol w:w="38"/>
                        <w:gridCol w:w="165"/>
                        <w:gridCol w:w="22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2"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0" descr=""/>
                                          <pic:cNvPicPr>
                                            <a:picLocks noChangeAspect="1" noChangeArrowheads="1"/>
                                          </pic:cNvPicPr>
                                        </pic:nvPicPr>
                                        <pic:blipFill>
                                          <a:blip r:embed="rId41"/>
                                          <a:stretch>
                                            <a:fillRect/>
                                          </a:stretch>
                                        </pic:blipFill>
                                        <pic:spPr bwMode="auto">
                                          <a:xfrm>
                                            <a:off x="0" y="0"/>
                                            <a:ext cx="104775" cy="85725"/>
                                          </a:xfrm>
                                          <a:prstGeom prst="rect">
                                            <a:avLst/>
                                          </a:prstGeom>
                                        </pic:spPr>
                                      </pic:pic>
                                    </a:graphicData>
                                  </a:graphic>
                                </wp:inline>
                              </w:drawing>
                            </w:r>
                          </w:p>
                        </w:tc>
                        <w:tc>
                          <w:tcPr>
                            <w:tcW w:w="2285" w:type="dxa"/>
                            <w:tcBorders/>
                            <w:shd w:fill="auto" w:val="clear"/>
                            <w:vAlign w:val="center"/>
                          </w:tcPr>
                          <w:p>
                            <w:pPr>
                              <w:pStyle w:val="TableContents"/>
                              <w:spacing w:before="0" w:after="283"/>
                              <w:jc w:val="left"/>
                              <w:rPr>
                                <w:sz w:val="18"/>
                              </w:rPr>
                            </w:pPr>
                            <w:r>
                              <w:rPr>
                                <w:sz w:val="18"/>
                              </w:rPr>
                              <w:t>Declassified Board of Directors</w:t>
                            </w:r>
                          </w:p>
                        </w:tc>
                      </w:tr>
                    </w:tbl>
                    <w:tbl>
                      <w:tblPr>
                        <w:tblW w:w="2128" w:type="dxa"/>
                        <w:jc w:val="left"/>
                        <w:tblInd w:w="0" w:type="dxa"/>
                        <w:tblCellMar>
                          <w:top w:w="0" w:type="dxa"/>
                          <w:left w:w="0" w:type="dxa"/>
                          <w:bottom w:w="0" w:type="dxa"/>
                          <w:right w:w="0" w:type="dxa"/>
                        </w:tblCellMar>
                      </w:tblPr>
                      <w:tblGrid>
                        <w:gridCol w:w="38"/>
                        <w:gridCol w:w="165"/>
                        <w:gridCol w:w="19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3"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1" descr=""/>
                                          <pic:cNvPicPr>
                                            <a:picLocks noChangeAspect="1" noChangeArrowheads="1"/>
                                          </pic:cNvPicPr>
                                        </pic:nvPicPr>
                                        <pic:blipFill>
                                          <a:blip r:embed="rId42"/>
                                          <a:stretch>
                                            <a:fillRect/>
                                          </a:stretch>
                                        </pic:blipFill>
                                        <pic:spPr bwMode="auto">
                                          <a:xfrm>
                                            <a:off x="0" y="0"/>
                                            <a:ext cx="104775" cy="85725"/>
                                          </a:xfrm>
                                          <a:prstGeom prst="rect">
                                            <a:avLst/>
                                          </a:prstGeom>
                                        </pic:spPr>
                                      </pic:pic>
                                    </a:graphicData>
                                  </a:graphic>
                                </wp:inline>
                              </w:drawing>
                            </w:r>
                          </w:p>
                        </w:tc>
                        <w:tc>
                          <w:tcPr>
                            <w:tcW w:w="1925" w:type="dxa"/>
                            <w:tcBorders/>
                            <w:shd w:fill="auto" w:val="clear"/>
                            <w:vAlign w:val="center"/>
                          </w:tcPr>
                          <w:p>
                            <w:pPr>
                              <w:pStyle w:val="TableContents"/>
                              <w:spacing w:before="0" w:after="283"/>
                              <w:jc w:val="left"/>
                              <w:rPr>
                                <w:sz w:val="18"/>
                              </w:rPr>
                            </w:pPr>
                            <w:r>
                              <w:rPr>
                                <w:sz w:val="18"/>
                              </w:rPr>
                              <w:t>Lead Independent Director</w:t>
                            </w:r>
                          </w:p>
                        </w:tc>
                      </w:tr>
                    </w:tbl>
                    <w:tbl>
                      <w:tblPr>
                        <w:tblW w:w="2818" w:type="dxa"/>
                        <w:jc w:val="left"/>
                        <w:tblInd w:w="0" w:type="dxa"/>
                        <w:tblCellMar>
                          <w:top w:w="0" w:type="dxa"/>
                          <w:left w:w="0" w:type="dxa"/>
                          <w:bottom w:w="0" w:type="dxa"/>
                          <w:right w:w="0" w:type="dxa"/>
                        </w:tblCellMar>
                      </w:tblPr>
                      <w:tblGrid>
                        <w:gridCol w:w="38"/>
                        <w:gridCol w:w="165"/>
                        <w:gridCol w:w="26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4"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2" descr=""/>
                                          <pic:cNvPicPr>
                                            <a:picLocks noChangeAspect="1" noChangeArrowheads="1"/>
                                          </pic:cNvPicPr>
                                        </pic:nvPicPr>
                                        <pic:blipFill>
                                          <a:blip r:embed="rId43"/>
                                          <a:stretch>
                                            <a:fillRect/>
                                          </a:stretch>
                                        </pic:blipFill>
                                        <pic:spPr bwMode="auto">
                                          <a:xfrm>
                                            <a:off x="0" y="0"/>
                                            <a:ext cx="104775" cy="85725"/>
                                          </a:xfrm>
                                          <a:prstGeom prst="rect">
                                            <a:avLst/>
                                          </a:prstGeom>
                                        </pic:spPr>
                                      </pic:pic>
                                    </a:graphicData>
                                  </a:graphic>
                                </wp:inline>
                              </w:drawing>
                            </w:r>
                          </w:p>
                        </w:tc>
                        <w:tc>
                          <w:tcPr>
                            <w:tcW w:w="2615" w:type="dxa"/>
                            <w:tcBorders/>
                            <w:shd w:fill="auto" w:val="clear"/>
                            <w:vAlign w:val="center"/>
                          </w:tcPr>
                          <w:p>
                            <w:pPr>
                              <w:pStyle w:val="TableContents"/>
                              <w:spacing w:before="0" w:after="283"/>
                              <w:jc w:val="left"/>
                              <w:rPr>
                                <w:sz w:val="18"/>
                              </w:rPr>
                            </w:pPr>
                            <w:r>
                              <w:rPr>
                                <w:sz w:val="18"/>
                              </w:rPr>
                              <w:t>Majority voting in Director elections</w:t>
                            </w:r>
                          </w:p>
                        </w:tc>
                      </w:tr>
                    </w:tbl>
                    <w:tbl>
                      <w:tblPr>
                        <w:tblW w:w="2698" w:type="dxa"/>
                        <w:jc w:val="left"/>
                        <w:tblInd w:w="0" w:type="dxa"/>
                        <w:tblCellMar>
                          <w:top w:w="0" w:type="dxa"/>
                          <w:left w:w="0" w:type="dxa"/>
                          <w:bottom w:w="0" w:type="dxa"/>
                          <w:right w:w="0" w:type="dxa"/>
                        </w:tblCellMar>
                      </w:tblPr>
                      <w:tblGrid>
                        <w:gridCol w:w="38"/>
                        <w:gridCol w:w="165"/>
                        <w:gridCol w:w="249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5"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3" descr=""/>
                                          <pic:cNvPicPr>
                                            <a:picLocks noChangeAspect="1" noChangeArrowheads="1"/>
                                          </pic:cNvPicPr>
                                        </pic:nvPicPr>
                                        <pic:blipFill>
                                          <a:blip r:embed="rId44"/>
                                          <a:stretch>
                                            <a:fillRect/>
                                          </a:stretch>
                                        </pic:blipFill>
                                        <pic:spPr bwMode="auto">
                                          <a:xfrm>
                                            <a:off x="0" y="0"/>
                                            <a:ext cx="104775" cy="85725"/>
                                          </a:xfrm>
                                          <a:prstGeom prst="rect">
                                            <a:avLst/>
                                          </a:prstGeom>
                                        </pic:spPr>
                                      </pic:pic>
                                    </a:graphicData>
                                  </a:graphic>
                                </wp:inline>
                              </w:drawing>
                            </w:r>
                          </w:p>
                        </w:tc>
                        <w:tc>
                          <w:tcPr>
                            <w:tcW w:w="2495" w:type="dxa"/>
                            <w:tcBorders/>
                            <w:shd w:fill="auto" w:val="clear"/>
                            <w:vAlign w:val="center"/>
                          </w:tcPr>
                          <w:p>
                            <w:pPr>
                              <w:pStyle w:val="TableContents"/>
                              <w:spacing w:before="0" w:after="283"/>
                              <w:jc w:val="left"/>
                              <w:rPr>
                                <w:sz w:val="18"/>
                              </w:rPr>
                            </w:pPr>
                            <w:r>
                              <w:rPr>
                                <w:sz w:val="18"/>
                              </w:rPr>
                              <w:t>Expanded shareholder engagement</w:t>
                            </w:r>
                          </w:p>
                        </w:tc>
                      </w:tr>
                    </w:tbl>
                    <w:tbl>
                      <w:tblPr>
                        <w:tblW w:w="1168" w:type="dxa"/>
                        <w:jc w:val="left"/>
                        <w:tblInd w:w="0" w:type="dxa"/>
                        <w:tblCellMar>
                          <w:top w:w="0" w:type="dxa"/>
                          <w:left w:w="0" w:type="dxa"/>
                          <w:bottom w:w="0" w:type="dxa"/>
                          <w:right w:w="0" w:type="dxa"/>
                        </w:tblCellMar>
                      </w:tblPr>
                      <w:tblGrid>
                        <w:gridCol w:w="38"/>
                        <w:gridCol w:w="165"/>
                        <w:gridCol w:w="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6"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4" descr=""/>
                                          <pic:cNvPicPr>
                                            <a:picLocks noChangeAspect="1" noChangeArrowheads="1"/>
                                          </pic:cNvPicPr>
                                        </pic:nvPicPr>
                                        <pic:blipFill>
                                          <a:blip r:embed="rId45"/>
                                          <a:stretch>
                                            <a:fillRect/>
                                          </a:stretch>
                                        </pic:blipFill>
                                        <pic:spPr bwMode="auto">
                                          <a:xfrm>
                                            <a:off x="0" y="0"/>
                                            <a:ext cx="104775" cy="85725"/>
                                          </a:xfrm>
                                          <a:prstGeom prst="rect">
                                            <a:avLst/>
                                          </a:prstGeom>
                                        </pic:spPr>
                                      </pic:pic>
                                    </a:graphicData>
                                  </a:graphic>
                                </wp:inline>
                              </w:drawing>
                            </w:r>
                          </w:p>
                        </w:tc>
                        <w:tc>
                          <w:tcPr>
                            <w:tcW w:w="965" w:type="dxa"/>
                            <w:tcBorders/>
                            <w:shd w:fill="auto" w:val="clear"/>
                            <w:vAlign w:val="center"/>
                          </w:tcPr>
                          <w:p>
                            <w:pPr>
                              <w:pStyle w:val="TableContents"/>
                              <w:spacing w:before="0" w:after="283"/>
                              <w:jc w:val="left"/>
                              <w:rPr>
                                <w:sz w:val="18"/>
                              </w:rPr>
                            </w:pPr>
                            <w:r>
                              <w:rPr>
                                <w:sz w:val="18"/>
                              </w:rPr>
                              <w:t>Proxy access</w:t>
                            </w:r>
                          </w:p>
                        </w:tc>
                      </w:tr>
                    </w:tbl>
                    <w:tbl>
                      <w:tblPr>
                        <w:tblW w:w="3133" w:type="dxa"/>
                        <w:jc w:val="left"/>
                        <w:tblInd w:w="0" w:type="dxa"/>
                        <w:tblCellMar>
                          <w:top w:w="0" w:type="dxa"/>
                          <w:left w:w="0" w:type="dxa"/>
                          <w:bottom w:w="0" w:type="dxa"/>
                          <w:right w:w="0" w:type="dxa"/>
                        </w:tblCellMar>
                      </w:tblPr>
                      <w:tblGrid>
                        <w:gridCol w:w="38"/>
                        <w:gridCol w:w="165"/>
                        <w:gridCol w:w="293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7"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5" descr=""/>
                                          <pic:cNvPicPr>
                                            <a:picLocks noChangeAspect="1" noChangeArrowheads="1"/>
                                          </pic:cNvPicPr>
                                        </pic:nvPicPr>
                                        <pic:blipFill>
                                          <a:blip r:embed="rId46"/>
                                          <a:stretch>
                                            <a:fillRect/>
                                          </a:stretch>
                                        </pic:blipFill>
                                        <pic:spPr bwMode="auto">
                                          <a:xfrm>
                                            <a:off x="0" y="0"/>
                                            <a:ext cx="104775" cy="85725"/>
                                          </a:xfrm>
                                          <a:prstGeom prst="rect">
                                            <a:avLst/>
                                          </a:prstGeom>
                                        </pic:spPr>
                                      </pic:pic>
                                    </a:graphicData>
                                  </a:graphic>
                                </wp:inline>
                              </w:drawing>
                            </w:r>
                          </w:p>
                        </w:tc>
                        <w:tc>
                          <w:tcPr>
                            <w:tcW w:w="2930" w:type="dxa"/>
                            <w:tcBorders/>
                            <w:shd w:fill="auto" w:val="clear"/>
                            <w:vAlign w:val="center"/>
                          </w:tcPr>
                          <w:p>
                            <w:pPr>
                              <w:pStyle w:val="TableContents"/>
                              <w:spacing w:before="0" w:after="283"/>
                              <w:jc w:val="left"/>
                              <w:rPr>
                                <w:sz w:val="18"/>
                              </w:rPr>
                            </w:pPr>
                            <w:r>
                              <w:rPr>
                                <w:sz w:val="18"/>
                              </w:rPr>
                              <w:t>Shareholder right to call special meetings</w:t>
                            </w:r>
                          </w:p>
                        </w:tc>
                      </w:tr>
                    </w:tbl>
                    <w:tbl>
                      <w:tblPr>
                        <w:tblW w:w="3238" w:type="dxa"/>
                        <w:jc w:val="left"/>
                        <w:tblInd w:w="0" w:type="dxa"/>
                        <w:tblCellMar>
                          <w:top w:w="0" w:type="dxa"/>
                          <w:left w:w="0" w:type="dxa"/>
                          <w:bottom w:w="0" w:type="dxa"/>
                          <w:right w:w="0" w:type="dxa"/>
                        </w:tblCellMar>
                      </w:tblPr>
                      <w:tblGrid>
                        <w:gridCol w:w="38"/>
                        <w:gridCol w:w="165"/>
                        <w:gridCol w:w="303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8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6" descr=""/>
                                          <pic:cNvPicPr>
                                            <a:picLocks noChangeAspect="1" noChangeArrowheads="1"/>
                                          </pic:cNvPicPr>
                                        </pic:nvPicPr>
                                        <pic:blipFill>
                                          <a:blip r:embed="rId47"/>
                                          <a:stretch>
                                            <a:fillRect/>
                                          </a:stretch>
                                        </pic:blipFill>
                                        <pic:spPr bwMode="auto">
                                          <a:xfrm>
                                            <a:off x="0" y="0"/>
                                            <a:ext cx="104775" cy="85725"/>
                                          </a:xfrm>
                                          <a:prstGeom prst="rect">
                                            <a:avLst/>
                                          </a:prstGeom>
                                        </pic:spPr>
                                      </pic:pic>
                                    </a:graphicData>
                                  </a:graphic>
                                </wp:inline>
                              </w:drawing>
                            </w:r>
                          </w:p>
                        </w:tc>
                        <w:tc>
                          <w:tcPr>
                            <w:tcW w:w="3035" w:type="dxa"/>
                            <w:tcBorders/>
                            <w:shd w:fill="auto" w:val="clear"/>
                            <w:vAlign w:val="center"/>
                          </w:tcPr>
                          <w:p>
                            <w:pPr>
                              <w:pStyle w:val="TableContents"/>
                              <w:spacing w:before="0" w:after="283"/>
                              <w:jc w:val="left"/>
                              <w:rPr>
                                <w:sz w:val="18"/>
                              </w:rPr>
                            </w:pPr>
                            <w:r>
                              <w:rPr>
                                <w:sz w:val="18"/>
                              </w:rPr>
                              <w:t>Shareholder right to act by written consent</w:t>
                            </w:r>
                          </w:p>
                        </w:tc>
                      </w:tr>
                    </w:tbl>
                    <w:p>
                      <w:pPr>
                        <w:pStyle w:val="TextBody"/>
                        <w:spacing w:before="0" w:after="0"/>
                        <w:jc w:val="left"/>
                        <w:rPr>
                          <w:caps w:val="false"/>
                          <w:smallCaps w:val="false"/>
                          <w:color w:val="333333"/>
                        </w:rPr>
                      </w:pPr>
                      <w:r>
                        <w:rPr>
                          <w:caps w:val="false"/>
                          <w:smallCaps w:val="false"/>
                          <w:color w:val="333333"/>
                        </w:rPr>
                        <w:t> </w:t>
                      </w:r>
                    </w:p>
                  </w:txbxContent>
                </v:textbox>
                <w10:wrap type="square" side="right"/>
              </v:rect>
            </w:pict>
          </mc:Fallback>
        </mc:AlternateContent>
      </w:r>
      <w:r>
        <mc:AlternateContent>
          <mc:Choice Requires="wps">
            <w:drawing>
              <wp:anchor behindDoc="0" distT="0" distB="0" distL="0" distR="0" simplePos="0" locked="0" layoutInCell="1" allowOverlap="1" relativeHeight="55">
                <wp:simplePos x="0" y="0"/>
                <wp:positionH relativeFrom="column">
                  <wp:align>right</wp:align>
                </wp:positionH>
                <wp:positionV relativeFrom="line">
                  <wp:posOffset>635</wp:posOffset>
                </wp:positionV>
                <wp:extent cx="3175000" cy="9972040"/>
                <wp:effectExtent l="0" t="0" r="0" b="0"/>
                <wp:wrapSquare wrapText="largest"/>
                <wp:docPr id="89" name="Frame14"/>
                <a:graphic xmlns:a="http://schemas.openxmlformats.org/drawingml/2006/main">
                  <a:graphicData uri="http://schemas.microsoft.com/office/word/2010/wordprocessingShape">
                    <wps:wsp>
                      <wps:cNvSpPr txBox="1"/>
                      <wps:spPr>
                        <a:xfrm>
                          <a:off x="0" y="0"/>
                          <a:ext cx="3175000" cy="9972040"/>
                        </a:xfrm>
                        <a:prstGeom prst="rect"/>
                      </wps:spPr>
                      <wps:txbx>
                        <w:txbxContent>
                          <w:tbl>
                            <w:tblPr>
                              <w:tblW w:w="2848" w:type="dxa"/>
                              <w:jc w:val="left"/>
                              <w:tblInd w:w="0" w:type="dxa"/>
                              <w:tblCellMar>
                                <w:top w:w="0" w:type="dxa"/>
                                <w:left w:w="0" w:type="dxa"/>
                                <w:bottom w:w="0" w:type="dxa"/>
                                <w:right w:w="0" w:type="dxa"/>
                              </w:tblCellMar>
                            </w:tblPr>
                            <w:tblGrid>
                              <w:gridCol w:w="38"/>
                              <w:gridCol w:w="165"/>
                              <w:gridCol w:w="26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47" descr=""/>
                                                <pic:cNvPicPr>
                                                  <a:picLocks noChangeAspect="1" noChangeArrowheads="1"/>
                                                </pic:cNvPicPr>
                                              </pic:nvPicPr>
                                              <pic:blipFill>
                                                <a:blip r:embed="rId48"/>
                                                <a:stretch>
                                                  <a:fillRect/>
                                                </a:stretch>
                                              </pic:blipFill>
                                              <pic:spPr bwMode="auto">
                                                <a:xfrm>
                                                  <a:off x="0" y="0"/>
                                                  <a:ext cx="104775" cy="85725"/>
                                                </a:xfrm>
                                                <a:prstGeom prst="rect">
                                                  <a:avLst/>
                                                </a:prstGeom>
                                              </pic:spPr>
                                            </pic:pic>
                                          </a:graphicData>
                                        </a:graphic>
                                      </wp:inline>
                                    </w:drawing>
                                  </w:r>
                                </w:p>
                              </w:tc>
                              <w:tc>
                                <w:tcPr>
                                  <w:tcW w:w="2645" w:type="dxa"/>
                                  <w:tcBorders/>
                                  <w:shd w:fill="auto" w:val="clear"/>
                                  <w:vAlign w:val="center"/>
                                </w:tcPr>
                                <w:p>
                                  <w:pPr>
                                    <w:pStyle w:val="TableContents"/>
                                    <w:spacing w:before="0" w:after="283"/>
                                    <w:jc w:val="left"/>
                                    <w:rPr>
                                      <w:sz w:val="18"/>
                                    </w:rPr>
                                  </w:pPr>
                                  <w:r>
                                    <w:rPr>
                                      <w:sz w:val="18"/>
                                    </w:rPr>
                                    <w:t>No supermajority shareholder voting</w:t>
                                  </w:r>
                                </w:p>
                              </w:tc>
                            </w:tr>
                          </w:tbl>
                          <w:tbl>
                            <w:tblPr>
                              <w:tblW w:w="3028" w:type="dxa"/>
                              <w:jc w:val="left"/>
                              <w:tblInd w:w="0" w:type="dxa"/>
                              <w:tblCellMar>
                                <w:top w:w="0" w:type="dxa"/>
                                <w:left w:w="0" w:type="dxa"/>
                                <w:bottom w:w="0" w:type="dxa"/>
                                <w:right w:w="0" w:type="dxa"/>
                              </w:tblCellMar>
                            </w:tblPr>
                            <w:tblGrid>
                              <w:gridCol w:w="38"/>
                              <w:gridCol w:w="165"/>
                              <w:gridCol w:w="28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48" descr=""/>
                                                <pic:cNvPicPr>
                                                  <a:picLocks noChangeAspect="1" noChangeArrowheads="1"/>
                                                </pic:cNvPicPr>
                                              </pic:nvPicPr>
                                              <pic:blipFill>
                                                <a:blip r:embed="rId49"/>
                                                <a:stretch>
                                                  <a:fillRect/>
                                                </a:stretch>
                                              </pic:blipFill>
                                              <pic:spPr bwMode="auto">
                                                <a:xfrm>
                                                  <a:off x="0" y="0"/>
                                                  <a:ext cx="104775" cy="85725"/>
                                                </a:xfrm>
                                                <a:prstGeom prst="rect">
                                                  <a:avLst/>
                                                </a:prstGeom>
                                              </pic:spPr>
                                            </pic:pic>
                                          </a:graphicData>
                                        </a:graphic>
                                      </wp:inline>
                                    </w:drawing>
                                  </w:r>
                                </w:p>
                              </w:tc>
                              <w:tc>
                                <w:tcPr>
                                  <w:tcW w:w="2825" w:type="dxa"/>
                                  <w:tcBorders/>
                                  <w:shd w:fill="auto" w:val="clear"/>
                                  <w:vAlign w:val="center"/>
                                </w:tcPr>
                                <w:p>
                                  <w:pPr>
                                    <w:pStyle w:val="TableContents"/>
                                    <w:spacing w:before="0" w:after="283"/>
                                    <w:jc w:val="left"/>
                                    <w:rPr>
                                      <w:sz w:val="18"/>
                                    </w:rPr>
                                  </w:pPr>
                                  <w:r>
                                    <w:rPr>
                                      <w:sz w:val="18"/>
                                    </w:rPr>
                                    <w:t>Regular review of governance practices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49" descr=""/>
                                                <pic:cNvPicPr>
                                                  <a:picLocks noChangeAspect="1" noChangeArrowheads="1"/>
                                                </pic:cNvPicPr>
                                              </pic:nvPicPr>
                                              <pic:blipFill>
                                                <a:blip r:embed="rId50"/>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sz w:val="18"/>
                                    </w:rPr>
                                  </w:pPr>
                                  <w:r>
                                    <w:rPr>
                                      <w:sz w:val="18"/>
                                    </w:rPr>
                                    <w:t>Continued the expansion of our environmental, social and governance (ESG) initiatives, including the continued publication of annual Corporate Responsibility and Sustainability report</w:t>
                                  </w:r>
                                </w:p>
                              </w:tc>
                            </w:tr>
                          </w:tbl>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i w:val="false"/>
                                <w:caps w:val="false"/>
                                <w:smallCaps w:val="false"/>
                                <w:color w:val="DC0021"/>
                                <w:sz w:val="20"/>
                              </w:rPr>
                            </w:pPr>
                            <w:bookmarkStart w:id="16" w:name="a010"/>
                            <w:bookmarkEnd w:id="16"/>
                            <w:r>
                              <w:rPr>
                                <w:rFonts w:ascii="Arial;Helvetica;Sans-Serif" w:hAnsi="Arial;Helvetica;Sans-Serif"/>
                                <w:b/>
                                <w:i w:val="false"/>
                                <w:caps w:val="false"/>
                                <w:smallCaps w:val="false"/>
                                <w:color w:val="DC0021"/>
                                <w:sz w:val="20"/>
                              </w:rPr>
                              <w:t>Forward-Leaning Compensation Practices</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 has also embraced best practices in our compensation programs, which strongly support our pay-for-performance philosophy and culture:</w:t>
                            </w:r>
                          </w:p>
                          <w:p>
                            <w:pPr>
                              <w:pStyle w:val="TextBody"/>
                              <w:spacing w:before="0" w:after="0"/>
                              <w:jc w:val="left"/>
                              <w:rPr>
                                <w:caps w:val="false"/>
                                <w:smallCaps w:val="false"/>
                                <w:color w:val="333333"/>
                              </w:rPr>
                            </w:pPr>
                            <w:r>
                              <w:rPr>
                                <w:caps w:val="false"/>
                                <w:smallCaps w:val="false"/>
                                <w:color w:val="333333"/>
                              </w:rPr>
                              <w:t> </w:t>
                            </w:r>
                          </w:p>
                          <w:tbl>
                            <w:tblPr>
                              <w:tblW w:w="6163" w:type="dxa"/>
                              <w:jc w:val="left"/>
                              <w:tblInd w:w="0" w:type="dxa"/>
                              <w:tblCellMar>
                                <w:top w:w="0" w:type="dxa"/>
                                <w:left w:w="0" w:type="dxa"/>
                                <w:bottom w:w="0" w:type="dxa"/>
                                <w:right w:w="0" w:type="dxa"/>
                              </w:tblCellMar>
                            </w:tblPr>
                            <w:tblGrid>
                              <w:gridCol w:w="38"/>
                              <w:gridCol w:w="165"/>
                              <w:gridCol w:w="59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0" descr=""/>
                                                <pic:cNvPicPr>
                                                  <a:picLocks noChangeAspect="1" noChangeArrowheads="1"/>
                                                </pic:cNvPicPr>
                                              </pic:nvPicPr>
                                              <pic:blipFill>
                                                <a:blip r:embed="rId51"/>
                                                <a:stretch>
                                                  <a:fillRect/>
                                                </a:stretch>
                                              </pic:blipFill>
                                              <pic:spPr bwMode="auto">
                                                <a:xfrm>
                                                  <a:off x="0" y="0"/>
                                                  <a:ext cx="104775" cy="85725"/>
                                                </a:xfrm>
                                                <a:prstGeom prst="rect">
                                                  <a:avLst/>
                                                </a:prstGeom>
                                              </pic:spPr>
                                            </pic:pic>
                                          </a:graphicData>
                                        </a:graphic>
                                      </wp:inline>
                                    </w:drawing>
                                  </w:r>
                                </w:p>
                              </w:tc>
                              <w:tc>
                                <w:tcPr>
                                  <w:tcW w:w="5960" w:type="dxa"/>
                                  <w:tcBorders/>
                                  <w:shd w:fill="auto" w:val="clear"/>
                                  <w:vAlign w:val="center"/>
                                </w:tcPr>
                                <w:p>
                                  <w:pPr>
                                    <w:pStyle w:val="TableContents"/>
                                    <w:spacing w:before="0" w:after="283"/>
                                    <w:jc w:val="left"/>
                                    <w:rPr>
                                      <w:sz w:val="18"/>
                                    </w:rPr>
                                  </w:pPr>
                                  <w:r>
                                    <w:rPr>
                                      <w:sz w:val="18"/>
                                    </w:rPr>
                                    <w:t>NEO compensation aligned with Company and, as applicable, division performance</w:t>
                                  </w:r>
                                </w:p>
                              </w:tc>
                            </w:tr>
                          </w:tbl>
                          <w:tbl>
                            <w:tblPr>
                              <w:tblW w:w="3928" w:type="dxa"/>
                              <w:jc w:val="left"/>
                              <w:tblInd w:w="0" w:type="dxa"/>
                              <w:tblCellMar>
                                <w:top w:w="0" w:type="dxa"/>
                                <w:left w:w="0" w:type="dxa"/>
                                <w:bottom w:w="0" w:type="dxa"/>
                                <w:right w:w="0" w:type="dxa"/>
                              </w:tblCellMar>
                            </w:tblPr>
                            <w:tblGrid>
                              <w:gridCol w:w="38"/>
                              <w:gridCol w:w="165"/>
                              <w:gridCol w:w="37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1" descr=""/>
                                                <pic:cNvPicPr>
                                                  <a:picLocks noChangeAspect="1" noChangeArrowheads="1"/>
                                                </pic:cNvPicPr>
                                              </pic:nvPicPr>
                                              <pic:blipFill>
                                                <a:blip r:embed="rId52"/>
                                                <a:stretch>
                                                  <a:fillRect/>
                                                </a:stretch>
                                              </pic:blipFill>
                                              <pic:spPr bwMode="auto">
                                                <a:xfrm>
                                                  <a:off x="0" y="0"/>
                                                  <a:ext cx="104775" cy="85725"/>
                                                </a:xfrm>
                                                <a:prstGeom prst="rect">
                                                  <a:avLst/>
                                                </a:prstGeom>
                                              </pic:spPr>
                                            </pic:pic>
                                          </a:graphicData>
                                        </a:graphic>
                                      </wp:inline>
                                    </w:drawing>
                                  </w:r>
                                </w:p>
                              </w:tc>
                              <w:tc>
                                <w:tcPr>
                                  <w:tcW w:w="3725" w:type="dxa"/>
                                  <w:tcBorders/>
                                  <w:shd w:fill="auto" w:val="clear"/>
                                  <w:vAlign w:val="center"/>
                                </w:tcPr>
                                <w:p>
                                  <w:pPr>
                                    <w:pStyle w:val="TableContents"/>
                                    <w:spacing w:before="0" w:after="283"/>
                                    <w:jc w:val="left"/>
                                    <w:rPr>
                                      <w:sz w:val="18"/>
                                    </w:rPr>
                                  </w:pPr>
                                  <w:r>
                                    <w:rPr>
                                      <w:sz w:val="18"/>
                                    </w:rPr>
                                    <w:t>Base salary levels generally at or below peer median</w:t>
                                  </w:r>
                                </w:p>
                              </w:tc>
                            </w:tr>
                          </w:tbl>
                          <w:tbl>
                            <w:tblPr>
                              <w:tblW w:w="4738" w:type="dxa"/>
                              <w:jc w:val="left"/>
                              <w:tblInd w:w="0" w:type="dxa"/>
                              <w:tblCellMar>
                                <w:top w:w="0" w:type="dxa"/>
                                <w:left w:w="0" w:type="dxa"/>
                                <w:bottom w:w="0" w:type="dxa"/>
                                <w:right w:w="0" w:type="dxa"/>
                              </w:tblCellMar>
                            </w:tblPr>
                            <w:tblGrid>
                              <w:gridCol w:w="38"/>
                              <w:gridCol w:w="165"/>
                              <w:gridCol w:w="453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2" descr=""/>
                                                <pic:cNvPicPr>
                                                  <a:picLocks noChangeAspect="1" noChangeArrowheads="1"/>
                                                </pic:cNvPicPr>
                                              </pic:nvPicPr>
                                              <pic:blipFill>
                                                <a:blip r:embed="rId53"/>
                                                <a:stretch>
                                                  <a:fillRect/>
                                                </a:stretch>
                                              </pic:blipFill>
                                              <pic:spPr bwMode="auto">
                                                <a:xfrm>
                                                  <a:off x="0" y="0"/>
                                                  <a:ext cx="104775" cy="85725"/>
                                                </a:xfrm>
                                                <a:prstGeom prst="rect">
                                                  <a:avLst/>
                                                </a:prstGeom>
                                              </pic:spPr>
                                            </pic:pic>
                                          </a:graphicData>
                                        </a:graphic>
                                      </wp:inline>
                                    </w:drawing>
                                  </w:r>
                                </w:p>
                              </w:tc>
                              <w:tc>
                                <w:tcPr>
                                  <w:tcW w:w="4535" w:type="dxa"/>
                                  <w:tcBorders/>
                                  <w:shd w:fill="auto" w:val="clear"/>
                                  <w:vAlign w:val="center"/>
                                </w:tcPr>
                                <w:p>
                                  <w:pPr>
                                    <w:pStyle w:val="TableContents"/>
                                    <w:spacing w:before="0" w:after="283"/>
                                    <w:jc w:val="left"/>
                                    <w:rPr>
                                      <w:sz w:val="18"/>
                                    </w:rPr>
                                  </w:pPr>
                                  <w:r>
                                    <w:rPr>
                                      <w:sz w:val="18"/>
                                    </w:rPr>
                                    <w:t>Target annual cash incentives generally at or below peer median</w:t>
                                  </w:r>
                                </w:p>
                              </w:tc>
                            </w:tr>
                          </w:tbl>
                          <w:tbl>
                            <w:tblPr>
                              <w:tblW w:w="7093" w:type="dxa"/>
                              <w:jc w:val="left"/>
                              <w:tblInd w:w="0" w:type="dxa"/>
                              <w:tblCellMar>
                                <w:top w:w="0" w:type="dxa"/>
                                <w:left w:w="0" w:type="dxa"/>
                                <w:bottom w:w="0" w:type="dxa"/>
                                <w:right w:w="0" w:type="dxa"/>
                              </w:tblCellMar>
                            </w:tblPr>
                            <w:tblGrid>
                              <w:gridCol w:w="38"/>
                              <w:gridCol w:w="165"/>
                              <w:gridCol w:w="68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3" descr=""/>
                                                <pic:cNvPicPr>
                                                  <a:picLocks noChangeAspect="1" noChangeArrowheads="1"/>
                                                </pic:cNvPicPr>
                                              </pic:nvPicPr>
                                              <pic:blipFill>
                                                <a:blip r:embed="rId54"/>
                                                <a:stretch>
                                                  <a:fillRect/>
                                                </a:stretch>
                                              </pic:blipFill>
                                              <pic:spPr bwMode="auto">
                                                <a:xfrm>
                                                  <a:off x="0" y="0"/>
                                                  <a:ext cx="104775" cy="85725"/>
                                                </a:xfrm>
                                                <a:prstGeom prst="rect">
                                                  <a:avLst/>
                                                </a:prstGeom>
                                              </pic:spPr>
                                            </pic:pic>
                                          </a:graphicData>
                                        </a:graphic>
                                      </wp:inline>
                                    </w:drawing>
                                  </w:r>
                                </w:p>
                              </w:tc>
                              <w:tc>
                                <w:tcPr>
                                  <w:tcW w:w="6890" w:type="dxa"/>
                                  <w:tcBorders/>
                                  <w:shd w:fill="auto" w:val="clear"/>
                                  <w:vAlign w:val="center"/>
                                </w:tcPr>
                                <w:p>
                                  <w:pPr>
                                    <w:pStyle w:val="TableContents"/>
                                    <w:spacing w:before="0" w:after="283"/>
                                    <w:jc w:val="left"/>
                                    <w:rPr>
                                      <w:sz w:val="18"/>
                                    </w:rPr>
                                  </w:pPr>
                                  <w:r>
                                    <w:rPr>
                                      <w:sz w:val="18"/>
                                    </w:rPr>
                                    <w:t>Significant portion of NEO compensation generally delivered in the form of equity-based awards</w:t>
                                  </w:r>
                                </w:p>
                              </w:tc>
                            </w:tr>
                          </w:tbl>
                          <w:tbl>
                            <w:tblPr>
                              <w:tblW w:w="5188" w:type="dxa"/>
                              <w:jc w:val="left"/>
                              <w:tblInd w:w="0" w:type="dxa"/>
                              <w:tblCellMar>
                                <w:top w:w="0" w:type="dxa"/>
                                <w:left w:w="0" w:type="dxa"/>
                                <w:bottom w:w="0" w:type="dxa"/>
                                <w:right w:w="0" w:type="dxa"/>
                              </w:tblCellMar>
                            </w:tblPr>
                            <w:tblGrid>
                              <w:gridCol w:w="38"/>
                              <w:gridCol w:w="165"/>
                              <w:gridCol w:w="49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4" descr=""/>
                                                <pic:cNvPicPr>
                                                  <a:picLocks noChangeAspect="1" noChangeArrowheads="1"/>
                                                </pic:cNvPicPr>
                                              </pic:nvPicPr>
                                              <pic:blipFill>
                                                <a:blip r:embed="rId55"/>
                                                <a:stretch>
                                                  <a:fillRect/>
                                                </a:stretch>
                                              </pic:blipFill>
                                              <pic:spPr bwMode="auto">
                                                <a:xfrm>
                                                  <a:off x="0" y="0"/>
                                                  <a:ext cx="104775" cy="85725"/>
                                                </a:xfrm>
                                                <a:prstGeom prst="rect">
                                                  <a:avLst/>
                                                </a:prstGeom>
                                              </pic:spPr>
                                            </pic:pic>
                                          </a:graphicData>
                                        </a:graphic>
                                      </wp:inline>
                                    </w:drawing>
                                  </w:r>
                                </w:p>
                              </w:tc>
                              <w:tc>
                                <w:tcPr>
                                  <w:tcW w:w="4985" w:type="dxa"/>
                                  <w:tcBorders/>
                                  <w:shd w:fill="auto" w:val="clear"/>
                                  <w:vAlign w:val="center"/>
                                </w:tcPr>
                                <w:p>
                                  <w:pPr>
                                    <w:pStyle w:val="TableContents"/>
                                    <w:spacing w:before="0" w:after="283"/>
                                    <w:jc w:val="left"/>
                                    <w:rPr>
                                      <w:sz w:val="18"/>
                                    </w:rPr>
                                  </w:pPr>
                                  <w:r>
                                    <w:rPr>
                                      <w:sz w:val="18"/>
                                    </w:rPr>
                                    <w:t>Different performance metrics for different compensation components</w:t>
                                  </w:r>
                                </w:p>
                              </w:tc>
                            </w:tr>
                          </w:tbl>
                          <w:tbl>
                            <w:tblPr>
                              <w:tblW w:w="5863" w:type="dxa"/>
                              <w:jc w:val="left"/>
                              <w:tblInd w:w="0" w:type="dxa"/>
                              <w:tblCellMar>
                                <w:top w:w="0" w:type="dxa"/>
                                <w:left w:w="0" w:type="dxa"/>
                                <w:bottom w:w="0" w:type="dxa"/>
                                <w:right w:w="0" w:type="dxa"/>
                              </w:tblCellMar>
                            </w:tblPr>
                            <w:tblGrid>
                              <w:gridCol w:w="38"/>
                              <w:gridCol w:w="165"/>
                              <w:gridCol w:w="56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5" descr=""/>
                                                <pic:cNvPicPr>
                                                  <a:picLocks noChangeAspect="1" noChangeArrowheads="1"/>
                                                </pic:cNvPicPr>
                                              </pic:nvPicPr>
                                              <pic:blipFill>
                                                <a:blip r:embed="rId56"/>
                                                <a:stretch>
                                                  <a:fillRect/>
                                                </a:stretch>
                                              </pic:blipFill>
                                              <pic:spPr bwMode="auto">
                                                <a:xfrm>
                                                  <a:off x="0" y="0"/>
                                                  <a:ext cx="104775" cy="85725"/>
                                                </a:xfrm>
                                                <a:prstGeom prst="rect">
                                                  <a:avLst/>
                                                </a:prstGeom>
                                              </pic:spPr>
                                            </pic:pic>
                                          </a:graphicData>
                                        </a:graphic>
                                      </wp:inline>
                                    </w:drawing>
                                  </w:r>
                                </w:p>
                              </w:tc>
                              <w:tc>
                                <w:tcPr>
                                  <w:tcW w:w="5660" w:type="dxa"/>
                                  <w:tcBorders/>
                                  <w:shd w:fill="auto" w:val="clear"/>
                                  <w:vAlign w:val="center"/>
                                </w:tcPr>
                                <w:p>
                                  <w:pPr>
                                    <w:pStyle w:val="TableContents"/>
                                    <w:spacing w:before="0" w:after="283"/>
                                    <w:jc w:val="left"/>
                                    <w:rPr>
                                      <w:sz w:val="18"/>
                                    </w:rPr>
                                  </w:pPr>
                                  <w:r>
                                    <w:rPr>
                                      <w:sz w:val="18"/>
                                    </w:rPr>
                                    <w:t>Incentive payouts tied closely to achieving published guidance where applicable</w:t>
                                  </w:r>
                                </w:p>
                              </w:tc>
                            </w:tr>
                          </w:tbl>
                          <w:tbl>
                            <w:tblPr>
                              <w:tblW w:w="3178" w:type="dxa"/>
                              <w:jc w:val="left"/>
                              <w:tblInd w:w="0" w:type="dxa"/>
                              <w:tblCellMar>
                                <w:top w:w="0" w:type="dxa"/>
                                <w:left w:w="0" w:type="dxa"/>
                                <w:bottom w:w="0" w:type="dxa"/>
                                <w:right w:w="0" w:type="dxa"/>
                              </w:tblCellMar>
                            </w:tblPr>
                            <w:tblGrid>
                              <w:gridCol w:w="38"/>
                              <w:gridCol w:w="165"/>
                              <w:gridCol w:w="29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9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6" descr=""/>
                                                <pic:cNvPicPr>
                                                  <a:picLocks noChangeAspect="1" noChangeArrowheads="1"/>
                                                </pic:cNvPicPr>
                                              </pic:nvPicPr>
                                              <pic:blipFill>
                                                <a:blip r:embed="rId57"/>
                                                <a:stretch>
                                                  <a:fillRect/>
                                                </a:stretch>
                                              </pic:blipFill>
                                              <pic:spPr bwMode="auto">
                                                <a:xfrm>
                                                  <a:off x="0" y="0"/>
                                                  <a:ext cx="104775" cy="85725"/>
                                                </a:xfrm>
                                                <a:prstGeom prst="rect">
                                                  <a:avLst/>
                                                </a:prstGeom>
                                              </pic:spPr>
                                            </pic:pic>
                                          </a:graphicData>
                                        </a:graphic>
                                      </wp:inline>
                                    </w:drawing>
                                  </w:r>
                                </w:p>
                              </w:tc>
                              <w:tc>
                                <w:tcPr>
                                  <w:tcW w:w="2975" w:type="dxa"/>
                                  <w:tcBorders/>
                                  <w:shd w:fill="auto" w:val="clear"/>
                                  <w:vAlign w:val="center"/>
                                </w:tcPr>
                                <w:p>
                                  <w:pPr>
                                    <w:pStyle w:val="TableContents"/>
                                    <w:spacing w:before="0" w:after="283"/>
                                    <w:jc w:val="left"/>
                                    <w:rPr>
                                      <w:sz w:val="18"/>
                                    </w:rPr>
                                  </w:pPr>
                                  <w:r>
                                    <w:rPr>
                                      <w:sz w:val="18"/>
                                    </w:rPr>
                                    <w:t>Significant stock ownership requirements</w:t>
                                  </w:r>
                                </w:p>
                              </w:tc>
                            </w:tr>
                          </w:tbl>
                          <w:tbl>
                            <w:tblPr>
                              <w:tblW w:w="6178" w:type="dxa"/>
                              <w:jc w:val="left"/>
                              <w:tblInd w:w="0" w:type="dxa"/>
                              <w:tblCellMar>
                                <w:top w:w="0" w:type="dxa"/>
                                <w:left w:w="0" w:type="dxa"/>
                                <w:bottom w:w="0" w:type="dxa"/>
                                <w:right w:w="0" w:type="dxa"/>
                              </w:tblCellMar>
                            </w:tblPr>
                            <w:tblGrid>
                              <w:gridCol w:w="38"/>
                              <w:gridCol w:w="165"/>
                              <w:gridCol w:w="59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57" descr=""/>
                                                <pic:cNvPicPr>
                                                  <a:picLocks noChangeAspect="1" noChangeArrowheads="1"/>
                                                </pic:cNvPicPr>
                                              </pic:nvPicPr>
                                              <pic:blipFill>
                                                <a:blip r:embed="rId58"/>
                                                <a:stretch>
                                                  <a:fillRect/>
                                                </a:stretch>
                                              </pic:blipFill>
                                              <pic:spPr bwMode="auto">
                                                <a:xfrm>
                                                  <a:off x="0" y="0"/>
                                                  <a:ext cx="104775" cy="85725"/>
                                                </a:xfrm>
                                                <a:prstGeom prst="rect">
                                                  <a:avLst/>
                                                </a:prstGeom>
                                              </pic:spPr>
                                            </pic:pic>
                                          </a:graphicData>
                                        </a:graphic>
                                      </wp:inline>
                                    </w:drawing>
                                  </w:r>
                                </w:p>
                              </w:tc>
                              <w:tc>
                                <w:tcPr>
                                  <w:tcW w:w="5975" w:type="dxa"/>
                                  <w:tcBorders/>
                                  <w:shd w:fill="auto" w:val="clear"/>
                                  <w:vAlign w:val="center"/>
                                </w:tcPr>
                                <w:p>
                                  <w:pPr>
                                    <w:pStyle w:val="TableContents"/>
                                    <w:spacing w:before="0" w:after="283"/>
                                    <w:jc w:val="left"/>
                                    <w:rPr>
                                      <w:sz w:val="18"/>
                                    </w:rPr>
                                  </w:pPr>
                                  <w:r>
                                    <w:rPr>
                                      <w:sz w:val="18"/>
                                    </w:rPr>
                                    <w:t>No repricing or cashing out of underwater stock options or stock appreciation rights</w:t>
                                  </w:r>
                                </w:p>
                              </w:tc>
                            </w:tr>
                          </w:tbl>
                          <w:tbl>
                            <w:tblPr>
                              <w:tblW w:w="3283" w:type="dxa"/>
                              <w:jc w:val="left"/>
                              <w:tblInd w:w="0" w:type="dxa"/>
                              <w:tblCellMar>
                                <w:top w:w="0" w:type="dxa"/>
                                <w:left w:w="0" w:type="dxa"/>
                                <w:bottom w:w="0" w:type="dxa"/>
                                <w:right w:w="0" w:type="dxa"/>
                              </w:tblCellMar>
                            </w:tblPr>
                            <w:tblGrid>
                              <w:gridCol w:w="38"/>
                              <w:gridCol w:w="165"/>
                              <w:gridCol w:w="308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8" descr=""/>
                                                <pic:cNvPicPr>
                                                  <a:picLocks noChangeAspect="1" noChangeArrowheads="1"/>
                                                </pic:cNvPicPr>
                                              </pic:nvPicPr>
                                              <pic:blipFill>
                                                <a:blip r:embed="rId59"/>
                                                <a:stretch>
                                                  <a:fillRect/>
                                                </a:stretch>
                                              </pic:blipFill>
                                              <pic:spPr bwMode="auto">
                                                <a:xfrm>
                                                  <a:off x="0" y="0"/>
                                                  <a:ext cx="104775" cy="85725"/>
                                                </a:xfrm>
                                                <a:prstGeom prst="rect">
                                                  <a:avLst/>
                                                </a:prstGeom>
                                              </pic:spPr>
                                            </pic:pic>
                                          </a:graphicData>
                                        </a:graphic>
                                      </wp:inline>
                                    </w:drawing>
                                  </w:r>
                                </w:p>
                              </w:tc>
                              <w:tc>
                                <w:tcPr>
                                  <w:tcW w:w="3080" w:type="dxa"/>
                                  <w:tcBorders/>
                                  <w:shd w:fill="auto" w:val="clear"/>
                                  <w:vAlign w:val="center"/>
                                </w:tcPr>
                                <w:p>
                                  <w:pPr>
                                    <w:pStyle w:val="TableContents"/>
                                    <w:spacing w:before="0" w:after="283"/>
                                    <w:jc w:val="left"/>
                                    <w:rPr>
                                      <w:sz w:val="18"/>
                                    </w:rPr>
                                  </w:pPr>
                                  <w:r>
                                    <w:rPr>
                                      <w:sz w:val="18"/>
                                    </w:rPr>
                                    <w:t>No hedging or pledging of common shares</w:t>
                                  </w:r>
                                </w:p>
                              </w:tc>
                            </w:tr>
                          </w:tbl>
                          <w:tbl>
                            <w:tblPr>
                              <w:tblW w:w="1948" w:type="dxa"/>
                              <w:jc w:val="left"/>
                              <w:tblInd w:w="0" w:type="dxa"/>
                              <w:tblCellMar>
                                <w:top w:w="0" w:type="dxa"/>
                                <w:left w:w="0" w:type="dxa"/>
                                <w:bottom w:w="0" w:type="dxa"/>
                                <w:right w:w="0" w:type="dxa"/>
                              </w:tblCellMar>
                            </w:tblPr>
                            <w:tblGrid>
                              <w:gridCol w:w="38"/>
                              <w:gridCol w:w="165"/>
                              <w:gridCol w:w="17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59" descr=""/>
                                                <pic:cNvPicPr>
                                                  <a:picLocks noChangeAspect="1" noChangeArrowheads="1"/>
                                                </pic:cNvPicPr>
                                              </pic:nvPicPr>
                                              <pic:blipFill>
                                                <a:blip r:embed="rId60"/>
                                                <a:stretch>
                                                  <a:fillRect/>
                                                </a:stretch>
                                              </pic:blipFill>
                                              <pic:spPr bwMode="auto">
                                                <a:xfrm>
                                                  <a:off x="0" y="0"/>
                                                  <a:ext cx="104775" cy="85725"/>
                                                </a:xfrm>
                                                <a:prstGeom prst="rect">
                                                  <a:avLst/>
                                                </a:prstGeom>
                                              </pic:spPr>
                                            </pic:pic>
                                          </a:graphicData>
                                        </a:graphic>
                                      </wp:inline>
                                    </w:drawing>
                                  </w:r>
                                </w:p>
                              </w:tc>
                              <w:tc>
                                <w:tcPr>
                                  <w:tcW w:w="1745" w:type="dxa"/>
                                  <w:tcBorders/>
                                  <w:shd w:fill="auto" w:val="clear"/>
                                  <w:vAlign w:val="center"/>
                                </w:tcPr>
                                <w:p>
                                  <w:pPr>
                                    <w:pStyle w:val="TableContents"/>
                                    <w:spacing w:before="0" w:after="283"/>
                                    <w:jc w:val="left"/>
                                    <w:rPr>
                                      <w:sz w:val="18"/>
                                    </w:rPr>
                                  </w:pPr>
                                  <w:r>
                                    <w:rPr>
                                      <w:sz w:val="18"/>
                                    </w:rPr>
                                    <w:t>No excise tax gross-ups</w:t>
                                  </w:r>
                                </w:p>
                              </w:tc>
                            </w:tr>
                          </w:tbl>
                          <w:tbl>
                            <w:tblPr>
                              <w:tblW w:w="1993" w:type="dxa"/>
                              <w:jc w:val="left"/>
                              <w:tblInd w:w="0" w:type="dxa"/>
                              <w:tblCellMar>
                                <w:top w:w="0" w:type="dxa"/>
                                <w:left w:w="0" w:type="dxa"/>
                                <w:bottom w:w="0" w:type="dxa"/>
                                <w:right w:w="0" w:type="dxa"/>
                              </w:tblCellMar>
                            </w:tblPr>
                            <w:tblGrid>
                              <w:gridCol w:w="38"/>
                              <w:gridCol w:w="165"/>
                              <w:gridCol w:w="17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0" descr=""/>
                                                <pic:cNvPicPr>
                                                  <a:picLocks noChangeAspect="1" noChangeArrowheads="1"/>
                                                </pic:cNvPicPr>
                                              </pic:nvPicPr>
                                              <pic:blipFill>
                                                <a:blip r:embed="rId61"/>
                                                <a:stretch>
                                                  <a:fillRect/>
                                                </a:stretch>
                                              </pic:blipFill>
                                              <pic:spPr bwMode="auto">
                                                <a:xfrm>
                                                  <a:off x="0" y="0"/>
                                                  <a:ext cx="104775" cy="85725"/>
                                                </a:xfrm>
                                                <a:prstGeom prst="rect">
                                                  <a:avLst/>
                                                </a:prstGeom>
                                              </pic:spPr>
                                            </pic:pic>
                                          </a:graphicData>
                                        </a:graphic>
                                      </wp:inline>
                                    </w:drawing>
                                  </w:r>
                                </w:p>
                              </w:tc>
                              <w:tc>
                                <w:tcPr>
                                  <w:tcW w:w="1790" w:type="dxa"/>
                                  <w:tcBorders/>
                                  <w:shd w:fill="auto" w:val="clear"/>
                                  <w:vAlign w:val="center"/>
                                </w:tcPr>
                                <w:p>
                                  <w:pPr>
                                    <w:pStyle w:val="TableContents"/>
                                    <w:spacing w:before="0" w:after="283"/>
                                    <w:jc w:val="left"/>
                                    <w:rPr>
                                      <w:sz w:val="18"/>
                                    </w:rPr>
                                  </w:pPr>
                                  <w:r>
                                    <w:rPr>
                                      <w:sz w:val="18"/>
                                    </w:rPr>
                                    <w:t>No excessive perquisites</w:t>
                                  </w:r>
                                </w:p>
                              </w:tc>
                            </w:tr>
                          </w:tbl>
                          <w:tbl>
                            <w:tblPr>
                              <w:tblW w:w="3193" w:type="dxa"/>
                              <w:jc w:val="left"/>
                              <w:tblInd w:w="0" w:type="dxa"/>
                              <w:tblCellMar>
                                <w:top w:w="0" w:type="dxa"/>
                                <w:left w:w="0" w:type="dxa"/>
                                <w:bottom w:w="0" w:type="dxa"/>
                                <w:right w:w="0" w:type="dxa"/>
                              </w:tblCellMar>
                            </w:tblPr>
                            <w:tblGrid>
                              <w:gridCol w:w="38"/>
                              <w:gridCol w:w="165"/>
                              <w:gridCol w:w="29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1" descr=""/>
                                                <pic:cNvPicPr>
                                                  <a:picLocks noChangeAspect="1" noChangeArrowheads="1"/>
                                                </pic:cNvPicPr>
                                              </pic:nvPicPr>
                                              <pic:blipFill>
                                                <a:blip r:embed="rId62"/>
                                                <a:stretch>
                                                  <a:fillRect/>
                                                </a:stretch>
                                              </pic:blipFill>
                                              <pic:spPr bwMode="auto">
                                                <a:xfrm>
                                                  <a:off x="0" y="0"/>
                                                  <a:ext cx="104775" cy="85725"/>
                                                </a:xfrm>
                                                <a:prstGeom prst="rect">
                                                  <a:avLst/>
                                                </a:prstGeom>
                                              </pic:spPr>
                                            </pic:pic>
                                          </a:graphicData>
                                        </a:graphic>
                                      </wp:inline>
                                    </w:drawing>
                                  </w:r>
                                </w:p>
                              </w:tc>
                              <w:tc>
                                <w:tcPr>
                                  <w:tcW w:w="2990" w:type="dxa"/>
                                  <w:tcBorders/>
                                  <w:shd w:fill="auto" w:val="clear"/>
                                  <w:vAlign w:val="center"/>
                                </w:tcPr>
                                <w:p>
                                  <w:pPr>
                                    <w:pStyle w:val="TableContents"/>
                                    <w:spacing w:before="0" w:after="283"/>
                                    <w:jc w:val="left"/>
                                    <w:rPr>
                                      <w:sz w:val="18"/>
                                    </w:rPr>
                                  </w:pPr>
                                  <w:r>
                                    <w:rPr>
                                      <w:sz w:val="18"/>
                                    </w:rPr>
                                    <w:t>Maintain a compensation clawback policy</w:t>
                                  </w:r>
                                </w:p>
                              </w:tc>
                            </w:tr>
                          </w:tbl>
                          <w:tbl>
                            <w:tblPr>
                              <w:tblW w:w="3358" w:type="dxa"/>
                              <w:jc w:val="left"/>
                              <w:tblInd w:w="0" w:type="dxa"/>
                              <w:tblCellMar>
                                <w:top w:w="0" w:type="dxa"/>
                                <w:left w:w="0" w:type="dxa"/>
                                <w:bottom w:w="0" w:type="dxa"/>
                                <w:right w:w="0" w:type="dxa"/>
                              </w:tblCellMar>
                            </w:tblPr>
                            <w:tblGrid>
                              <w:gridCol w:w="38"/>
                              <w:gridCol w:w="165"/>
                              <w:gridCol w:w="31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2" descr=""/>
                                                <pic:cNvPicPr>
                                                  <a:picLocks noChangeAspect="1" noChangeArrowheads="1"/>
                                                </pic:cNvPicPr>
                                              </pic:nvPicPr>
                                              <pic:blipFill>
                                                <a:blip r:embed="rId63"/>
                                                <a:stretch>
                                                  <a:fillRect/>
                                                </a:stretch>
                                              </pic:blipFill>
                                              <pic:spPr bwMode="auto">
                                                <a:xfrm>
                                                  <a:off x="0" y="0"/>
                                                  <a:ext cx="104775" cy="85725"/>
                                                </a:xfrm>
                                                <a:prstGeom prst="rect">
                                                  <a:avLst/>
                                                </a:prstGeom>
                                              </pic:spPr>
                                            </pic:pic>
                                          </a:graphicData>
                                        </a:graphic>
                                      </wp:inline>
                                    </w:drawing>
                                  </w:r>
                                </w:p>
                              </w:tc>
                              <w:tc>
                                <w:tcPr>
                                  <w:tcW w:w="3155" w:type="dxa"/>
                                  <w:tcBorders/>
                                  <w:shd w:fill="auto" w:val="clear"/>
                                  <w:vAlign w:val="center"/>
                                </w:tcPr>
                                <w:p>
                                  <w:pPr>
                                    <w:pStyle w:val="TableContents"/>
                                    <w:spacing w:before="0" w:after="283"/>
                                    <w:jc w:val="left"/>
                                    <w:rPr>
                                      <w:sz w:val="18"/>
                                    </w:rPr>
                                  </w:pPr>
                                  <w:r>
                                    <w:rPr>
                                      <w:sz w:val="18"/>
                                    </w:rPr>
                                    <w:t>Double-trigger change of control provisions</w:t>
                                  </w:r>
                                </w:p>
                              </w:tc>
                            </w:tr>
                          </w:tbl>
                          <w:tbl>
                            <w:tblPr>
                              <w:tblW w:w="2653" w:type="dxa"/>
                              <w:jc w:val="left"/>
                              <w:tblInd w:w="0" w:type="dxa"/>
                              <w:tblCellMar>
                                <w:top w:w="0" w:type="dxa"/>
                                <w:left w:w="0" w:type="dxa"/>
                                <w:bottom w:w="0" w:type="dxa"/>
                                <w:right w:w="0" w:type="dxa"/>
                              </w:tblCellMar>
                            </w:tblPr>
                            <w:tblGrid>
                              <w:gridCol w:w="38"/>
                              <w:gridCol w:w="165"/>
                              <w:gridCol w:w="24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3" descr=""/>
                                                <pic:cNvPicPr>
                                                  <a:picLocks noChangeAspect="1" noChangeArrowheads="1"/>
                                                </pic:cNvPicPr>
                                              </pic:nvPicPr>
                                              <pic:blipFill>
                                                <a:blip r:embed="rId64"/>
                                                <a:stretch>
                                                  <a:fillRect/>
                                                </a:stretch>
                                              </pic:blipFill>
                                              <pic:spPr bwMode="auto">
                                                <a:xfrm>
                                                  <a:off x="0" y="0"/>
                                                  <a:ext cx="104775" cy="85725"/>
                                                </a:xfrm>
                                                <a:prstGeom prst="rect">
                                                  <a:avLst/>
                                                </a:prstGeom>
                                              </pic:spPr>
                                            </pic:pic>
                                          </a:graphicData>
                                        </a:graphic>
                                      </wp:inline>
                                    </w:drawing>
                                  </w:r>
                                </w:p>
                              </w:tc>
                              <w:tc>
                                <w:tcPr>
                                  <w:tcW w:w="2450" w:type="dxa"/>
                                  <w:tcBorders/>
                                  <w:shd w:fill="auto" w:val="clear"/>
                                  <w:vAlign w:val="center"/>
                                </w:tcPr>
                                <w:p>
                                  <w:pPr>
                                    <w:pStyle w:val="TableContents"/>
                                    <w:spacing w:before="0" w:after="283"/>
                                    <w:jc w:val="left"/>
                                    <w:rPr>
                                      <w:sz w:val="18"/>
                                    </w:rPr>
                                  </w:pPr>
                                  <w:r>
                                    <w:rPr>
                                      <w:sz w:val="18"/>
                                    </w:rPr>
                                    <w:t>Below-market severance coverage</w:t>
                                  </w:r>
                                </w:p>
                              </w:tc>
                            </w:tr>
                          </w:tbl>
                          <w:tbl>
                            <w:tblPr>
                              <w:tblW w:w="7843" w:type="dxa"/>
                              <w:jc w:val="left"/>
                              <w:tblInd w:w="0" w:type="dxa"/>
                              <w:tblCellMar>
                                <w:top w:w="0" w:type="dxa"/>
                                <w:left w:w="0" w:type="dxa"/>
                                <w:bottom w:w="0" w:type="dxa"/>
                                <w:right w:w="0" w:type="dxa"/>
                              </w:tblCellMar>
                            </w:tblPr>
                            <w:tblGrid>
                              <w:gridCol w:w="38"/>
                              <w:gridCol w:w="165"/>
                              <w:gridCol w:w="764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4" descr=""/>
                                                <pic:cNvPicPr>
                                                  <a:picLocks noChangeAspect="1" noChangeArrowheads="1"/>
                                                </pic:cNvPicPr>
                                              </pic:nvPicPr>
                                              <pic:blipFill>
                                                <a:blip r:embed="rId65"/>
                                                <a:stretch>
                                                  <a:fillRect/>
                                                </a:stretch>
                                              </pic:blipFill>
                                              <pic:spPr bwMode="auto">
                                                <a:xfrm>
                                                  <a:off x="0" y="0"/>
                                                  <a:ext cx="104775" cy="85725"/>
                                                </a:xfrm>
                                                <a:prstGeom prst="rect">
                                                  <a:avLst/>
                                                </a:prstGeom>
                                              </pic:spPr>
                                            </pic:pic>
                                          </a:graphicData>
                                        </a:graphic>
                                      </wp:inline>
                                    </w:drawing>
                                  </w:r>
                                </w:p>
                              </w:tc>
                              <w:tc>
                                <w:tcPr>
                                  <w:tcW w:w="7640" w:type="dxa"/>
                                  <w:tcBorders/>
                                  <w:shd w:fill="auto" w:val="clear"/>
                                  <w:vAlign w:val="center"/>
                                </w:tcPr>
                                <w:p>
                                  <w:pPr>
                                    <w:pStyle w:val="TableContents"/>
                                    <w:spacing w:before="0" w:after="283"/>
                                    <w:jc w:val="left"/>
                                    <w:rPr>
                                      <w:sz w:val="18"/>
                                    </w:rPr>
                                  </w:pPr>
                                  <w:r>
                                    <w:rPr>
                                      <w:sz w:val="18"/>
                                    </w:rPr>
                                    <w:t>Shareholder engagement includes governance committee Chair, additional Board members and management</w:t>
                                  </w:r>
                                </w:p>
                              </w:tc>
                            </w:tr>
                          </w:tbl>
                          <w:tbl>
                            <w:tblPr>
                              <w:tblW w:w="3253" w:type="dxa"/>
                              <w:jc w:val="left"/>
                              <w:tblInd w:w="0" w:type="dxa"/>
                              <w:tblCellMar>
                                <w:top w:w="0" w:type="dxa"/>
                                <w:left w:w="0" w:type="dxa"/>
                                <w:bottom w:w="0" w:type="dxa"/>
                                <w:right w:w="0" w:type="dxa"/>
                              </w:tblCellMar>
                            </w:tblPr>
                            <w:tblGrid>
                              <w:gridCol w:w="38"/>
                              <w:gridCol w:w="165"/>
                              <w:gridCol w:w="30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5" descr=""/>
                                                <pic:cNvPicPr>
                                                  <a:picLocks noChangeAspect="1" noChangeArrowheads="1"/>
                                                </pic:cNvPicPr>
                                              </pic:nvPicPr>
                                              <pic:blipFill>
                                                <a:blip r:embed="rId66"/>
                                                <a:stretch>
                                                  <a:fillRect/>
                                                </a:stretch>
                                              </pic:blipFill>
                                              <pic:spPr bwMode="auto">
                                                <a:xfrm>
                                                  <a:off x="0" y="0"/>
                                                  <a:ext cx="104775" cy="85725"/>
                                                </a:xfrm>
                                                <a:prstGeom prst="rect">
                                                  <a:avLst/>
                                                </a:prstGeom>
                                              </pic:spPr>
                                            </pic:pic>
                                          </a:graphicData>
                                        </a:graphic>
                                      </wp:inline>
                                    </w:drawing>
                                  </w:r>
                                </w:p>
                              </w:tc>
                              <w:tc>
                                <w:tcPr>
                                  <w:tcW w:w="3050" w:type="dxa"/>
                                  <w:tcBorders/>
                                  <w:shd w:fill="auto" w:val="clear"/>
                                  <w:vAlign w:val="center"/>
                                </w:tcPr>
                                <w:p>
                                  <w:pPr>
                                    <w:pStyle w:val="TableContents"/>
                                    <w:spacing w:before="0" w:after="283"/>
                                    <w:jc w:val="left"/>
                                    <w:rPr>
                                      <w:sz w:val="18"/>
                                    </w:rPr>
                                  </w:pPr>
                                  <w:r>
                                    <w:rPr>
                                      <w:sz w:val="18"/>
                                    </w:rPr>
                                    <w:t>Regular review of compensation programs</w:t>
                                  </w:r>
                                </w:p>
                              </w:tc>
                            </w:tr>
                          </w:tbl>
                          <w:tbl>
                            <w:tblPr>
                              <w:tblW w:w="3598" w:type="dxa"/>
                              <w:jc w:val="left"/>
                              <w:tblInd w:w="0" w:type="dxa"/>
                              <w:tblCellMar>
                                <w:top w:w="0" w:type="dxa"/>
                                <w:left w:w="0" w:type="dxa"/>
                                <w:bottom w:w="0" w:type="dxa"/>
                                <w:right w:w="0" w:type="dxa"/>
                              </w:tblCellMar>
                            </w:tblPr>
                            <w:tblGrid>
                              <w:gridCol w:w="38"/>
                              <w:gridCol w:w="165"/>
                              <w:gridCol w:w="339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0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6" descr=""/>
                                                <pic:cNvPicPr>
                                                  <a:picLocks noChangeAspect="1" noChangeArrowheads="1"/>
                                                </pic:cNvPicPr>
                                              </pic:nvPicPr>
                                              <pic:blipFill>
                                                <a:blip r:embed="rId67"/>
                                                <a:stretch>
                                                  <a:fillRect/>
                                                </a:stretch>
                                              </pic:blipFill>
                                              <pic:spPr bwMode="auto">
                                                <a:xfrm>
                                                  <a:off x="0" y="0"/>
                                                  <a:ext cx="104775" cy="85725"/>
                                                </a:xfrm>
                                                <a:prstGeom prst="rect">
                                                  <a:avLst/>
                                                </a:prstGeom>
                                              </pic:spPr>
                                            </pic:pic>
                                          </a:graphicData>
                                        </a:graphic>
                                      </wp:inline>
                                    </w:drawing>
                                  </w:r>
                                </w:p>
                              </w:tc>
                              <w:tc>
                                <w:tcPr>
                                  <w:tcW w:w="3395" w:type="dxa"/>
                                  <w:tcBorders/>
                                  <w:shd w:fill="auto" w:val="clear"/>
                                  <w:vAlign w:val="center"/>
                                </w:tcPr>
                                <w:p>
                                  <w:pPr>
                                    <w:pStyle w:val="TableContents"/>
                                    <w:spacing w:before="0" w:after="283"/>
                                    <w:jc w:val="left"/>
                                    <w:rPr>
                                      <w:sz w:val="18"/>
                                    </w:rPr>
                                  </w:pPr>
                                  <w:r>
                                    <w:rPr>
                                      <w:sz w:val="18"/>
                                    </w:rPr>
                                    <w:t>Utilize an independent compensation consultant</w:t>
                                  </w:r>
                                </w:p>
                              </w:tc>
                            </w:tr>
                          </w:tbl>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i w:val="false"/>
                                <w:caps w:val="false"/>
                                <w:smallCaps w:val="false"/>
                                <w:color w:val="DC0021"/>
                                <w:sz w:val="20"/>
                              </w:rPr>
                            </w:pPr>
                            <w:bookmarkStart w:id="17" w:name="a011"/>
                            <w:bookmarkEnd w:id="17"/>
                            <w:r>
                              <w:rPr>
                                <w:rFonts w:ascii="Arial;Helvetica;Sans-Serif" w:hAnsi="Arial;Helvetica;Sans-Serif"/>
                                <w:b/>
                                <w:i w:val="false"/>
                                <w:caps w:val="false"/>
                                <w:smallCaps w:val="false"/>
                                <w:color w:val="DC0021"/>
                                <w:sz w:val="20"/>
                              </w:rPr>
                              <w:t>Shareholder Engagement Results</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Our 2022 shareholder outreach regarding executive compensation was a continuation of our annual comprehensive shareholder engagement plan. We have taken decisive action in recent years in response to our shareholder outreach initiatives and we believe that our compensation practices address the feedback we received. Our stockholder engagement ensured that we heard the feedback of our shareholders — in addition to generous access to the management team, after we mailed the 2022 Proxy, but before the 2022 stockholder meeting, we offered the opportunity to discuss our Proxy with our top 10 stockholders as of December 31, 2021.</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60.25pt;mso-position-horizontal:right;mso-position-horizontal-relative:text">
                <v:textbox>
                  <w:txbxContent>
                    <w:tbl>
                      <w:tblPr>
                        <w:tblW w:w="2848" w:type="dxa"/>
                        <w:jc w:val="left"/>
                        <w:tblInd w:w="0" w:type="dxa"/>
                        <w:tblCellMar>
                          <w:top w:w="0" w:type="dxa"/>
                          <w:left w:w="0" w:type="dxa"/>
                          <w:bottom w:w="0" w:type="dxa"/>
                          <w:right w:w="0" w:type="dxa"/>
                        </w:tblCellMar>
                      </w:tblPr>
                      <w:tblGrid>
                        <w:gridCol w:w="38"/>
                        <w:gridCol w:w="165"/>
                        <w:gridCol w:w="26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47" descr=""/>
                                          <pic:cNvPicPr>
                                            <a:picLocks noChangeAspect="1" noChangeArrowheads="1"/>
                                          </pic:cNvPicPr>
                                        </pic:nvPicPr>
                                        <pic:blipFill>
                                          <a:blip r:embed="rId48"/>
                                          <a:stretch>
                                            <a:fillRect/>
                                          </a:stretch>
                                        </pic:blipFill>
                                        <pic:spPr bwMode="auto">
                                          <a:xfrm>
                                            <a:off x="0" y="0"/>
                                            <a:ext cx="104775" cy="85725"/>
                                          </a:xfrm>
                                          <a:prstGeom prst="rect">
                                            <a:avLst/>
                                          </a:prstGeom>
                                        </pic:spPr>
                                      </pic:pic>
                                    </a:graphicData>
                                  </a:graphic>
                                </wp:inline>
                              </w:drawing>
                            </w:r>
                          </w:p>
                        </w:tc>
                        <w:tc>
                          <w:tcPr>
                            <w:tcW w:w="2645" w:type="dxa"/>
                            <w:tcBorders/>
                            <w:shd w:fill="auto" w:val="clear"/>
                            <w:vAlign w:val="center"/>
                          </w:tcPr>
                          <w:p>
                            <w:pPr>
                              <w:pStyle w:val="TableContents"/>
                              <w:spacing w:before="0" w:after="283"/>
                              <w:jc w:val="left"/>
                              <w:rPr>
                                <w:sz w:val="18"/>
                              </w:rPr>
                            </w:pPr>
                            <w:r>
                              <w:rPr>
                                <w:sz w:val="18"/>
                              </w:rPr>
                              <w:t>No supermajority shareholder voting</w:t>
                            </w:r>
                          </w:p>
                        </w:tc>
                      </w:tr>
                    </w:tbl>
                    <w:tbl>
                      <w:tblPr>
                        <w:tblW w:w="3028" w:type="dxa"/>
                        <w:jc w:val="left"/>
                        <w:tblInd w:w="0" w:type="dxa"/>
                        <w:tblCellMar>
                          <w:top w:w="0" w:type="dxa"/>
                          <w:left w:w="0" w:type="dxa"/>
                          <w:bottom w:w="0" w:type="dxa"/>
                          <w:right w:w="0" w:type="dxa"/>
                        </w:tblCellMar>
                      </w:tblPr>
                      <w:tblGrid>
                        <w:gridCol w:w="38"/>
                        <w:gridCol w:w="165"/>
                        <w:gridCol w:w="28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8" descr=""/>
                                          <pic:cNvPicPr>
                                            <a:picLocks noChangeAspect="1" noChangeArrowheads="1"/>
                                          </pic:cNvPicPr>
                                        </pic:nvPicPr>
                                        <pic:blipFill>
                                          <a:blip r:embed="rId49"/>
                                          <a:stretch>
                                            <a:fillRect/>
                                          </a:stretch>
                                        </pic:blipFill>
                                        <pic:spPr bwMode="auto">
                                          <a:xfrm>
                                            <a:off x="0" y="0"/>
                                            <a:ext cx="104775" cy="85725"/>
                                          </a:xfrm>
                                          <a:prstGeom prst="rect">
                                            <a:avLst/>
                                          </a:prstGeom>
                                        </pic:spPr>
                                      </pic:pic>
                                    </a:graphicData>
                                  </a:graphic>
                                </wp:inline>
                              </w:drawing>
                            </w:r>
                          </w:p>
                        </w:tc>
                        <w:tc>
                          <w:tcPr>
                            <w:tcW w:w="2825" w:type="dxa"/>
                            <w:tcBorders/>
                            <w:shd w:fill="auto" w:val="clear"/>
                            <w:vAlign w:val="center"/>
                          </w:tcPr>
                          <w:p>
                            <w:pPr>
                              <w:pStyle w:val="TableContents"/>
                              <w:spacing w:before="0" w:after="283"/>
                              <w:jc w:val="left"/>
                              <w:rPr>
                                <w:sz w:val="18"/>
                              </w:rPr>
                            </w:pPr>
                            <w:r>
                              <w:rPr>
                                <w:sz w:val="18"/>
                              </w:rPr>
                              <w:t>Regular review of governance practices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9" descr=""/>
                                          <pic:cNvPicPr>
                                            <a:picLocks noChangeAspect="1" noChangeArrowheads="1"/>
                                          </pic:cNvPicPr>
                                        </pic:nvPicPr>
                                        <pic:blipFill>
                                          <a:blip r:embed="rId50"/>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sz w:val="18"/>
                              </w:rPr>
                            </w:pPr>
                            <w:r>
                              <w:rPr>
                                <w:sz w:val="18"/>
                              </w:rPr>
                              <w:t>Continued the expansion of our environmental, social and governance (ESG) initiatives, including the continued publication of annual Corporate Responsibility and Sustainability report</w:t>
                            </w:r>
                          </w:p>
                        </w:tc>
                      </w:tr>
                    </w:tbl>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i w:val="false"/>
                          <w:caps w:val="false"/>
                          <w:smallCaps w:val="false"/>
                          <w:color w:val="DC0021"/>
                          <w:sz w:val="20"/>
                        </w:rPr>
                      </w:pPr>
                      <w:bookmarkStart w:id="18" w:name="a010"/>
                      <w:bookmarkEnd w:id="18"/>
                      <w:r>
                        <w:rPr>
                          <w:rFonts w:ascii="Arial;Helvetica;Sans-Serif" w:hAnsi="Arial;Helvetica;Sans-Serif"/>
                          <w:b/>
                          <w:i w:val="false"/>
                          <w:caps w:val="false"/>
                          <w:smallCaps w:val="false"/>
                          <w:color w:val="DC0021"/>
                          <w:sz w:val="20"/>
                        </w:rPr>
                        <w:t>Forward-Leaning Compensation Practices</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FLEETCOR has also embraced best practices in our compensation programs, which strongly support our pay-for-performance philosophy and culture:</w:t>
                      </w:r>
                    </w:p>
                    <w:p>
                      <w:pPr>
                        <w:pStyle w:val="TextBody"/>
                        <w:spacing w:before="0" w:after="0"/>
                        <w:jc w:val="left"/>
                        <w:rPr>
                          <w:caps w:val="false"/>
                          <w:smallCaps w:val="false"/>
                          <w:color w:val="333333"/>
                        </w:rPr>
                      </w:pPr>
                      <w:r>
                        <w:rPr>
                          <w:caps w:val="false"/>
                          <w:smallCaps w:val="false"/>
                          <w:color w:val="333333"/>
                        </w:rPr>
                        <w:t> </w:t>
                      </w:r>
                    </w:p>
                    <w:tbl>
                      <w:tblPr>
                        <w:tblW w:w="6163" w:type="dxa"/>
                        <w:jc w:val="left"/>
                        <w:tblInd w:w="0" w:type="dxa"/>
                        <w:tblCellMar>
                          <w:top w:w="0" w:type="dxa"/>
                          <w:left w:w="0" w:type="dxa"/>
                          <w:bottom w:w="0" w:type="dxa"/>
                          <w:right w:w="0" w:type="dxa"/>
                        </w:tblCellMar>
                      </w:tblPr>
                      <w:tblGrid>
                        <w:gridCol w:w="38"/>
                        <w:gridCol w:w="165"/>
                        <w:gridCol w:w="59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50" descr=""/>
                                          <pic:cNvPicPr>
                                            <a:picLocks noChangeAspect="1" noChangeArrowheads="1"/>
                                          </pic:cNvPicPr>
                                        </pic:nvPicPr>
                                        <pic:blipFill>
                                          <a:blip r:embed="rId51"/>
                                          <a:stretch>
                                            <a:fillRect/>
                                          </a:stretch>
                                        </pic:blipFill>
                                        <pic:spPr bwMode="auto">
                                          <a:xfrm>
                                            <a:off x="0" y="0"/>
                                            <a:ext cx="104775" cy="85725"/>
                                          </a:xfrm>
                                          <a:prstGeom prst="rect">
                                            <a:avLst/>
                                          </a:prstGeom>
                                        </pic:spPr>
                                      </pic:pic>
                                    </a:graphicData>
                                  </a:graphic>
                                </wp:inline>
                              </w:drawing>
                            </w:r>
                          </w:p>
                        </w:tc>
                        <w:tc>
                          <w:tcPr>
                            <w:tcW w:w="5960" w:type="dxa"/>
                            <w:tcBorders/>
                            <w:shd w:fill="auto" w:val="clear"/>
                            <w:vAlign w:val="center"/>
                          </w:tcPr>
                          <w:p>
                            <w:pPr>
                              <w:pStyle w:val="TableContents"/>
                              <w:spacing w:before="0" w:after="283"/>
                              <w:jc w:val="left"/>
                              <w:rPr>
                                <w:sz w:val="18"/>
                              </w:rPr>
                            </w:pPr>
                            <w:r>
                              <w:rPr>
                                <w:sz w:val="18"/>
                              </w:rPr>
                              <w:t>NEO compensation aligned with Company and, as applicable, division performance</w:t>
                            </w:r>
                          </w:p>
                        </w:tc>
                      </w:tr>
                    </w:tbl>
                    <w:tbl>
                      <w:tblPr>
                        <w:tblW w:w="3928" w:type="dxa"/>
                        <w:jc w:val="left"/>
                        <w:tblInd w:w="0" w:type="dxa"/>
                        <w:tblCellMar>
                          <w:top w:w="0" w:type="dxa"/>
                          <w:left w:w="0" w:type="dxa"/>
                          <w:bottom w:w="0" w:type="dxa"/>
                          <w:right w:w="0" w:type="dxa"/>
                        </w:tblCellMar>
                      </w:tblPr>
                      <w:tblGrid>
                        <w:gridCol w:w="38"/>
                        <w:gridCol w:w="165"/>
                        <w:gridCol w:w="37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51" descr=""/>
                                          <pic:cNvPicPr>
                                            <a:picLocks noChangeAspect="1" noChangeArrowheads="1"/>
                                          </pic:cNvPicPr>
                                        </pic:nvPicPr>
                                        <pic:blipFill>
                                          <a:blip r:embed="rId52"/>
                                          <a:stretch>
                                            <a:fillRect/>
                                          </a:stretch>
                                        </pic:blipFill>
                                        <pic:spPr bwMode="auto">
                                          <a:xfrm>
                                            <a:off x="0" y="0"/>
                                            <a:ext cx="104775" cy="85725"/>
                                          </a:xfrm>
                                          <a:prstGeom prst="rect">
                                            <a:avLst/>
                                          </a:prstGeom>
                                        </pic:spPr>
                                      </pic:pic>
                                    </a:graphicData>
                                  </a:graphic>
                                </wp:inline>
                              </w:drawing>
                            </w:r>
                          </w:p>
                        </w:tc>
                        <w:tc>
                          <w:tcPr>
                            <w:tcW w:w="3725" w:type="dxa"/>
                            <w:tcBorders/>
                            <w:shd w:fill="auto" w:val="clear"/>
                            <w:vAlign w:val="center"/>
                          </w:tcPr>
                          <w:p>
                            <w:pPr>
                              <w:pStyle w:val="TableContents"/>
                              <w:spacing w:before="0" w:after="283"/>
                              <w:jc w:val="left"/>
                              <w:rPr>
                                <w:sz w:val="18"/>
                              </w:rPr>
                            </w:pPr>
                            <w:r>
                              <w:rPr>
                                <w:sz w:val="18"/>
                              </w:rPr>
                              <w:t>Base salary levels generally at or below peer median</w:t>
                            </w:r>
                          </w:p>
                        </w:tc>
                      </w:tr>
                    </w:tbl>
                    <w:tbl>
                      <w:tblPr>
                        <w:tblW w:w="4738" w:type="dxa"/>
                        <w:jc w:val="left"/>
                        <w:tblInd w:w="0" w:type="dxa"/>
                        <w:tblCellMar>
                          <w:top w:w="0" w:type="dxa"/>
                          <w:left w:w="0" w:type="dxa"/>
                          <w:bottom w:w="0" w:type="dxa"/>
                          <w:right w:w="0" w:type="dxa"/>
                        </w:tblCellMar>
                      </w:tblPr>
                      <w:tblGrid>
                        <w:gridCol w:w="38"/>
                        <w:gridCol w:w="165"/>
                        <w:gridCol w:w="453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52" descr=""/>
                                          <pic:cNvPicPr>
                                            <a:picLocks noChangeAspect="1" noChangeArrowheads="1"/>
                                          </pic:cNvPicPr>
                                        </pic:nvPicPr>
                                        <pic:blipFill>
                                          <a:blip r:embed="rId53"/>
                                          <a:stretch>
                                            <a:fillRect/>
                                          </a:stretch>
                                        </pic:blipFill>
                                        <pic:spPr bwMode="auto">
                                          <a:xfrm>
                                            <a:off x="0" y="0"/>
                                            <a:ext cx="104775" cy="85725"/>
                                          </a:xfrm>
                                          <a:prstGeom prst="rect">
                                            <a:avLst/>
                                          </a:prstGeom>
                                        </pic:spPr>
                                      </pic:pic>
                                    </a:graphicData>
                                  </a:graphic>
                                </wp:inline>
                              </w:drawing>
                            </w:r>
                          </w:p>
                        </w:tc>
                        <w:tc>
                          <w:tcPr>
                            <w:tcW w:w="4535" w:type="dxa"/>
                            <w:tcBorders/>
                            <w:shd w:fill="auto" w:val="clear"/>
                            <w:vAlign w:val="center"/>
                          </w:tcPr>
                          <w:p>
                            <w:pPr>
                              <w:pStyle w:val="TableContents"/>
                              <w:spacing w:before="0" w:after="283"/>
                              <w:jc w:val="left"/>
                              <w:rPr>
                                <w:sz w:val="18"/>
                              </w:rPr>
                            </w:pPr>
                            <w:r>
                              <w:rPr>
                                <w:sz w:val="18"/>
                              </w:rPr>
                              <w:t>Target annual cash incentives generally at or below peer median</w:t>
                            </w:r>
                          </w:p>
                        </w:tc>
                      </w:tr>
                    </w:tbl>
                    <w:tbl>
                      <w:tblPr>
                        <w:tblW w:w="7093" w:type="dxa"/>
                        <w:jc w:val="left"/>
                        <w:tblInd w:w="0" w:type="dxa"/>
                        <w:tblCellMar>
                          <w:top w:w="0" w:type="dxa"/>
                          <w:left w:w="0" w:type="dxa"/>
                          <w:bottom w:w="0" w:type="dxa"/>
                          <w:right w:w="0" w:type="dxa"/>
                        </w:tblCellMar>
                      </w:tblPr>
                      <w:tblGrid>
                        <w:gridCol w:w="38"/>
                        <w:gridCol w:w="165"/>
                        <w:gridCol w:w="68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53" descr=""/>
                                          <pic:cNvPicPr>
                                            <a:picLocks noChangeAspect="1" noChangeArrowheads="1"/>
                                          </pic:cNvPicPr>
                                        </pic:nvPicPr>
                                        <pic:blipFill>
                                          <a:blip r:embed="rId54"/>
                                          <a:stretch>
                                            <a:fillRect/>
                                          </a:stretch>
                                        </pic:blipFill>
                                        <pic:spPr bwMode="auto">
                                          <a:xfrm>
                                            <a:off x="0" y="0"/>
                                            <a:ext cx="104775" cy="85725"/>
                                          </a:xfrm>
                                          <a:prstGeom prst="rect">
                                            <a:avLst/>
                                          </a:prstGeom>
                                        </pic:spPr>
                                      </pic:pic>
                                    </a:graphicData>
                                  </a:graphic>
                                </wp:inline>
                              </w:drawing>
                            </w:r>
                          </w:p>
                        </w:tc>
                        <w:tc>
                          <w:tcPr>
                            <w:tcW w:w="6890" w:type="dxa"/>
                            <w:tcBorders/>
                            <w:shd w:fill="auto" w:val="clear"/>
                            <w:vAlign w:val="center"/>
                          </w:tcPr>
                          <w:p>
                            <w:pPr>
                              <w:pStyle w:val="TableContents"/>
                              <w:spacing w:before="0" w:after="283"/>
                              <w:jc w:val="left"/>
                              <w:rPr>
                                <w:sz w:val="18"/>
                              </w:rPr>
                            </w:pPr>
                            <w:r>
                              <w:rPr>
                                <w:sz w:val="18"/>
                              </w:rPr>
                              <w:t>Significant portion of NEO compensation generally delivered in the form of equity-based awards</w:t>
                            </w:r>
                          </w:p>
                        </w:tc>
                      </w:tr>
                    </w:tbl>
                    <w:tbl>
                      <w:tblPr>
                        <w:tblW w:w="5188" w:type="dxa"/>
                        <w:jc w:val="left"/>
                        <w:tblInd w:w="0" w:type="dxa"/>
                        <w:tblCellMar>
                          <w:top w:w="0" w:type="dxa"/>
                          <w:left w:w="0" w:type="dxa"/>
                          <w:bottom w:w="0" w:type="dxa"/>
                          <w:right w:w="0" w:type="dxa"/>
                        </w:tblCellMar>
                      </w:tblPr>
                      <w:tblGrid>
                        <w:gridCol w:w="38"/>
                        <w:gridCol w:w="165"/>
                        <w:gridCol w:w="49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4" descr=""/>
                                          <pic:cNvPicPr>
                                            <a:picLocks noChangeAspect="1" noChangeArrowheads="1"/>
                                          </pic:cNvPicPr>
                                        </pic:nvPicPr>
                                        <pic:blipFill>
                                          <a:blip r:embed="rId55"/>
                                          <a:stretch>
                                            <a:fillRect/>
                                          </a:stretch>
                                        </pic:blipFill>
                                        <pic:spPr bwMode="auto">
                                          <a:xfrm>
                                            <a:off x="0" y="0"/>
                                            <a:ext cx="104775" cy="85725"/>
                                          </a:xfrm>
                                          <a:prstGeom prst="rect">
                                            <a:avLst/>
                                          </a:prstGeom>
                                        </pic:spPr>
                                      </pic:pic>
                                    </a:graphicData>
                                  </a:graphic>
                                </wp:inline>
                              </w:drawing>
                            </w:r>
                          </w:p>
                        </w:tc>
                        <w:tc>
                          <w:tcPr>
                            <w:tcW w:w="4985" w:type="dxa"/>
                            <w:tcBorders/>
                            <w:shd w:fill="auto" w:val="clear"/>
                            <w:vAlign w:val="center"/>
                          </w:tcPr>
                          <w:p>
                            <w:pPr>
                              <w:pStyle w:val="TableContents"/>
                              <w:spacing w:before="0" w:after="283"/>
                              <w:jc w:val="left"/>
                              <w:rPr>
                                <w:sz w:val="18"/>
                              </w:rPr>
                            </w:pPr>
                            <w:r>
                              <w:rPr>
                                <w:sz w:val="18"/>
                              </w:rPr>
                              <w:t>Different performance metrics for different compensation components</w:t>
                            </w:r>
                          </w:p>
                        </w:tc>
                      </w:tr>
                    </w:tbl>
                    <w:tbl>
                      <w:tblPr>
                        <w:tblW w:w="5863" w:type="dxa"/>
                        <w:jc w:val="left"/>
                        <w:tblInd w:w="0" w:type="dxa"/>
                        <w:tblCellMar>
                          <w:top w:w="0" w:type="dxa"/>
                          <w:left w:w="0" w:type="dxa"/>
                          <w:bottom w:w="0" w:type="dxa"/>
                          <w:right w:w="0" w:type="dxa"/>
                        </w:tblCellMar>
                      </w:tblPr>
                      <w:tblGrid>
                        <w:gridCol w:w="38"/>
                        <w:gridCol w:w="165"/>
                        <w:gridCol w:w="56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55" descr=""/>
                                          <pic:cNvPicPr>
                                            <a:picLocks noChangeAspect="1" noChangeArrowheads="1"/>
                                          </pic:cNvPicPr>
                                        </pic:nvPicPr>
                                        <pic:blipFill>
                                          <a:blip r:embed="rId56"/>
                                          <a:stretch>
                                            <a:fillRect/>
                                          </a:stretch>
                                        </pic:blipFill>
                                        <pic:spPr bwMode="auto">
                                          <a:xfrm>
                                            <a:off x="0" y="0"/>
                                            <a:ext cx="104775" cy="85725"/>
                                          </a:xfrm>
                                          <a:prstGeom prst="rect">
                                            <a:avLst/>
                                          </a:prstGeom>
                                        </pic:spPr>
                                      </pic:pic>
                                    </a:graphicData>
                                  </a:graphic>
                                </wp:inline>
                              </w:drawing>
                            </w:r>
                          </w:p>
                        </w:tc>
                        <w:tc>
                          <w:tcPr>
                            <w:tcW w:w="5660" w:type="dxa"/>
                            <w:tcBorders/>
                            <w:shd w:fill="auto" w:val="clear"/>
                            <w:vAlign w:val="center"/>
                          </w:tcPr>
                          <w:p>
                            <w:pPr>
                              <w:pStyle w:val="TableContents"/>
                              <w:spacing w:before="0" w:after="283"/>
                              <w:jc w:val="left"/>
                              <w:rPr>
                                <w:sz w:val="18"/>
                              </w:rPr>
                            </w:pPr>
                            <w:r>
                              <w:rPr>
                                <w:sz w:val="18"/>
                              </w:rPr>
                              <w:t>Incentive payouts tied closely to achieving published guidance where applicable</w:t>
                            </w:r>
                          </w:p>
                        </w:tc>
                      </w:tr>
                    </w:tbl>
                    <w:tbl>
                      <w:tblPr>
                        <w:tblW w:w="3178" w:type="dxa"/>
                        <w:jc w:val="left"/>
                        <w:tblInd w:w="0" w:type="dxa"/>
                        <w:tblCellMar>
                          <w:top w:w="0" w:type="dxa"/>
                          <w:left w:w="0" w:type="dxa"/>
                          <w:bottom w:w="0" w:type="dxa"/>
                          <w:right w:w="0" w:type="dxa"/>
                        </w:tblCellMar>
                      </w:tblPr>
                      <w:tblGrid>
                        <w:gridCol w:w="38"/>
                        <w:gridCol w:w="165"/>
                        <w:gridCol w:w="29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1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56" descr=""/>
                                          <pic:cNvPicPr>
                                            <a:picLocks noChangeAspect="1" noChangeArrowheads="1"/>
                                          </pic:cNvPicPr>
                                        </pic:nvPicPr>
                                        <pic:blipFill>
                                          <a:blip r:embed="rId57"/>
                                          <a:stretch>
                                            <a:fillRect/>
                                          </a:stretch>
                                        </pic:blipFill>
                                        <pic:spPr bwMode="auto">
                                          <a:xfrm>
                                            <a:off x="0" y="0"/>
                                            <a:ext cx="104775" cy="85725"/>
                                          </a:xfrm>
                                          <a:prstGeom prst="rect">
                                            <a:avLst/>
                                          </a:prstGeom>
                                        </pic:spPr>
                                      </pic:pic>
                                    </a:graphicData>
                                  </a:graphic>
                                </wp:inline>
                              </w:drawing>
                            </w:r>
                          </w:p>
                        </w:tc>
                        <w:tc>
                          <w:tcPr>
                            <w:tcW w:w="2975" w:type="dxa"/>
                            <w:tcBorders/>
                            <w:shd w:fill="auto" w:val="clear"/>
                            <w:vAlign w:val="center"/>
                          </w:tcPr>
                          <w:p>
                            <w:pPr>
                              <w:pStyle w:val="TableContents"/>
                              <w:spacing w:before="0" w:after="283"/>
                              <w:jc w:val="left"/>
                              <w:rPr>
                                <w:sz w:val="18"/>
                              </w:rPr>
                            </w:pPr>
                            <w:r>
                              <w:rPr>
                                <w:sz w:val="18"/>
                              </w:rPr>
                              <w:t>Significant stock ownership requirements</w:t>
                            </w:r>
                          </w:p>
                        </w:tc>
                      </w:tr>
                    </w:tbl>
                    <w:tbl>
                      <w:tblPr>
                        <w:tblW w:w="6178" w:type="dxa"/>
                        <w:jc w:val="left"/>
                        <w:tblInd w:w="0" w:type="dxa"/>
                        <w:tblCellMar>
                          <w:top w:w="0" w:type="dxa"/>
                          <w:left w:w="0" w:type="dxa"/>
                          <w:bottom w:w="0" w:type="dxa"/>
                          <w:right w:w="0" w:type="dxa"/>
                        </w:tblCellMar>
                      </w:tblPr>
                      <w:tblGrid>
                        <w:gridCol w:w="38"/>
                        <w:gridCol w:w="165"/>
                        <w:gridCol w:w="59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7" descr=""/>
                                          <pic:cNvPicPr>
                                            <a:picLocks noChangeAspect="1" noChangeArrowheads="1"/>
                                          </pic:cNvPicPr>
                                        </pic:nvPicPr>
                                        <pic:blipFill>
                                          <a:blip r:embed="rId58"/>
                                          <a:stretch>
                                            <a:fillRect/>
                                          </a:stretch>
                                        </pic:blipFill>
                                        <pic:spPr bwMode="auto">
                                          <a:xfrm>
                                            <a:off x="0" y="0"/>
                                            <a:ext cx="104775" cy="85725"/>
                                          </a:xfrm>
                                          <a:prstGeom prst="rect">
                                            <a:avLst/>
                                          </a:prstGeom>
                                        </pic:spPr>
                                      </pic:pic>
                                    </a:graphicData>
                                  </a:graphic>
                                </wp:inline>
                              </w:drawing>
                            </w:r>
                          </w:p>
                        </w:tc>
                        <w:tc>
                          <w:tcPr>
                            <w:tcW w:w="5975" w:type="dxa"/>
                            <w:tcBorders/>
                            <w:shd w:fill="auto" w:val="clear"/>
                            <w:vAlign w:val="center"/>
                          </w:tcPr>
                          <w:p>
                            <w:pPr>
                              <w:pStyle w:val="TableContents"/>
                              <w:spacing w:before="0" w:after="283"/>
                              <w:jc w:val="left"/>
                              <w:rPr>
                                <w:sz w:val="18"/>
                              </w:rPr>
                            </w:pPr>
                            <w:r>
                              <w:rPr>
                                <w:sz w:val="18"/>
                              </w:rPr>
                              <w:t>No repricing or cashing out of underwater stock options or stock appreciation rights</w:t>
                            </w:r>
                          </w:p>
                        </w:tc>
                      </w:tr>
                    </w:tbl>
                    <w:tbl>
                      <w:tblPr>
                        <w:tblW w:w="3283" w:type="dxa"/>
                        <w:jc w:val="left"/>
                        <w:tblInd w:w="0" w:type="dxa"/>
                        <w:tblCellMar>
                          <w:top w:w="0" w:type="dxa"/>
                          <w:left w:w="0" w:type="dxa"/>
                          <w:bottom w:w="0" w:type="dxa"/>
                          <w:right w:w="0" w:type="dxa"/>
                        </w:tblCellMar>
                      </w:tblPr>
                      <w:tblGrid>
                        <w:gridCol w:w="38"/>
                        <w:gridCol w:w="165"/>
                        <w:gridCol w:w="308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8" descr=""/>
                                          <pic:cNvPicPr>
                                            <a:picLocks noChangeAspect="1" noChangeArrowheads="1"/>
                                          </pic:cNvPicPr>
                                        </pic:nvPicPr>
                                        <pic:blipFill>
                                          <a:blip r:embed="rId59"/>
                                          <a:stretch>
                                            <a:fillRect/>
                                          </a:stretch>
                                        </pic:blipFill>
                                        <pic:spPr bwMode="auto">
                                          <a:xfrm>
                                            <a:off x="0" y="0"/>
                                            <a:ext cx="104775" cy="85725"/>
                                          </a:xfrm>
                                          <a:prstGeom prst="rect">
                                            <a:avLst/>
                                          </a:prstGeom>
                                        </pic:spPr>
                                      </pic:pic>
                                    </a:graphicData>
                                  </a:graphic>
                                </wp:inline>
                              </w:drawing>
                            </w:r>
                          </w:p>
                        </w:tc>
                        <w:tc>
                          <w:tcPr>
                            <w:tcW w:w="3080" w:type="dxa"/>
                            <w:tcBorders/>
                            <w:shd w:fill="auto" w:val="clear"/>
                            <w:vAlign w:val="center"/>
                          </w:tcPr>
                          <w:p>
                            <w:pPr>
                              <w:pStyle w:val="TableContents"/>
                              <w:spacing w:before="0" w:after="283"/>
                              <w:jc w:val="left"/>
                              <w:rPr>
                                <w:sz w:val="18"/>
                              </w:rPr>
                            </w:pPr>
                            <w:r>
                              <w:rPr>
                                <w:sz w:val="18"/>
                              </w:rPr>
                              <w:t>No hedging or pledging of common shares</w:t>
                            </w:r>
                          </w:p>
                        </w:tc>
                      </w:tr>
                    </w:tbl>
                    <w:tbl>
                      <w:tblPr>
                        <w:tblW w:w="1948" w:type="dxa"/>
                        <w:jc w:val="left"/>
                        <w:tblInd w:w="0" w:type="dxa"/>
                        <w:tblCellMar>
                          <w:top w:w="0" w:type="dxa"/>
                          <w:left w:w="0" w:type="dxa"/>
                          <w:bottom w:w="0" w:type="dxa"/>
                          <w:right w:w="0" w:type="dxa"/>
                        </w:tblCellMar>
                      </w:tblPr>
                      <w:tblGrid>
                        <w:gridCol w:w="38"/>
                        <w:gridCol w:w="165"/>
                        <w:gridCol w:w="17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59" descr=""/>
                                          <pic:cNvPicPr>
                                            <a:picLocks noChangeAspect="1" noChangeArrowheads="1"/>
                                          </pic:cNvPicPr>
                                        </pic:nvPicPr>
                                        <pic:blipFill>
                                          <a:blip r:embed="rId60"/>
                                          <a:stretch>
                                            <a:fillRect/>
                                          </a:stretch>
                                        </pic:blipFill>
                                        <pic:spPr bwMode="auto">
                                          <a:xfrm>
                                            <a:off x="0" y="0"/>
                                            <a:ext cx="104775" cy="85725"/>
                                          </a:xfrm>
                                          <a:prstGeom prst="rect">
                                            <a:avLst/>
                                          </a:prstGeom>
                                        </pic:spPr>
                                      </pic:pic>
                                    </a:graphicData>
                                  </a:graphic>
                                </wp:inline>
                              </w:drawing>
                            </w:r>
                          </w:p>
                        </w:tc>
                        <w:tc>
                          <w:tcPr>
                            <w:tcW w:w="1745" w:type="dxa"/>
                            <w:tcBorders/>
                            <w:shd w:fill="auto" w:val="clear"/>
                            <w:vAlign w:val="center"/>
                          </w:tcPr>
                          <w:p>
                            <w:pPr>
                              <w:pStyle w:val="TableContents"/>
                              <w:spacing w:before="0" w:after="283"/>
                              <w:jc w:val="left"/>
                              <w:rPr>
                                <w:sz w:val="18"/>
                              </w:rPr>
                            </w:pPr>
                            <w:r>
                              <w:rPr>
                                <w:sz w:val="18"/>
                              </w:rPr>
                              <w:t>No excise tax gross-ups</w:t>
                            </w:r>
                          </w:p>
                        </w:tc>
                      </w:tr>
                    </w:tbl>
                    <w:tbl>
                      <w:tblPr>
                        <w:tblW w:w="1993" w:type="dxa"/>
                        <w:jc w:val="left"/>
                        <w:tblInd w:w="0" w:type="dxa"/>
                        <w:tblCellMar>
                          <w:top w:w="0" w:type="dxa"/>
                          <w:left w:w="0" w:type="dxa"/>
                          <w:bottom w:w="0" w:type="dxa"/>
                          <w:right w:w="0" w:type="dxa"/>
                        </w:tblCellMar>
                      </w:tblPr>
                      <w:tblGrid>
                        <w:gridCol w:w="38"/>
                        <w:gridCol w:w="165"/>
                        <w:gridCol w:w="17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60" descr=""/>
                                          <pic:cNvPicPr>
                                            <a:picLocks noChangeAspect="1" noChangeArrowheads="1"/>
                                          </pic:cNvPicPr>
                                        </pic:nvPicPr>
                                        <pic:blipFill>
                                          <a:blip r:embed="rId61"/>
                                          <a:stretch>
                                            <a:fillRect/>
                                          </a:stretch>
                                        </pic:blipFill>
                                        <pic:spPr bwMode="auto">
                                          <a:xfrm>
                                            <a:off x="0" y="0"/>
                                            <a:ext cx="104775" cy="85725"/>
                                          </a:xfrm>
                                          <a:prstGeom prst="rect">
                                            <a:avLst/>
                                          </a:prstGeom>
                                        </pic:spPr>
                                      </pic:pic>
                                    </a:graphicData>
                                  </a:graphic>
                                </wp:inline>
                              </w:drawing>
                            </w:r>
                          </w:p>
                        </w:tc>
                        <w:tc>
                          <w:tcPr>
                            <w:tcW w:w="1790" w:type="dxa"/>
                            <w:tcBorders/>
                            <w:shd w:fill="auto" w:val="clear"/>
                            <w:vAlign w:val="center"/>
                          </w:tcPr>
                          <w:p>
                            <w:pPr>
                              <w:pStyle w:val="TableContents"/>
                              <w:spacing w:before="0" w:after="283"/>
                              <w:jc w:val="left"/>
                              <w:rPr>
                                <w:sz w:val="18"/>
                              </w:rPr>
                            </w:pPr>
                            <w:r>
                              <w:rPr>
                                <w:sz w:val="18"/>
                              </w:rPr>
                              <w:t>No excessive perquisites</w:t>
                            </w:r>
                          </w:p>
                        </w:tc>
                      </w:tr>
                    </w:tbl>
                    <w:tbl>
                      <w:tblPr>
                        <w:tblW w:w="3193" w:type="dxa"/>
                        <w:jc w:val="left"/>
                        <w:tblInd w:w="0" w:type="dxa"/>
                        <w:tblCellMar>
                          <w:top w:w="0" w:type="dxa"/>
                          <w:left w:w="0" w:type="dxa"/>
                          <w:bottom w:w="0" w:type="dxa"/>
                          <w:right w:w="0" w:type="dxa"/>
                        </w:tblCellMar>
                      </w:tblPr>
                      <w:tblGrid>
                        <w:gridCol w:w="38"/>
                        <w:gridCol w:w="165"/>
                        <w:gridCol w:w="29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61" descr=""/>
                                          <pic:cNvPicPr>
                                            <a:picLocks noChangeAspect="1" noChangeArrowheads="1"/>
                                          </pic:cNvPicPr>
                                        </pic:nvPicPr>
                                        <pic:blipFill>
                                          <a:blip r:embed="rId62"/>
                                          <a:stretch>
                                            <a:fillRect/>
                                          </a:stretch>
                                        </pic:blipFill>
                                        <pic:spPr bwMode="auto">
                                          <a:xfrm>
                                            <a:off x="0" y="0"/>
                                            <a:ext cx="104775" cy="85725"/>
                                          </a:xfrm>
                                          <a:prstGeom prst="rect">
                                            <a:avLst/>
                                          </a:prstGeom>
                                        </pic:spPr>
                                      </pic:pic>
                                    </a:graphicData>
                                  </a:graphic>
                                </wp:inline>
                              </w:drawing>
                            </w:r>
                          </w:p>
                        </w:tc>
                        <w:tc>
                          <w:tcPr>
                            <w:tcW w:w="2990" w:type="dxa"/>
                            <w:tcBorders/>
                            <w:shd w:fill="auto" w:val="clear"/>
                            <w:vAlign w:val="center"/>
                          </w:tcPr>
                          <w:p>
                            <w:pPr>
                              <w:pStyle w:val="TableContents"/>
                              <w:spacing w:before="0" w:after="283"/>
                              <w:jc w:val="left"/>
                              <w:rPr>
                                <w:sz w:val="18"/>
                              </w:rPr>
                            </w:pPr>
                            <w:r>
                              <w:rPr>
                                <w:sz w:val="18"/>
                              </w:rPr>
                              <w:t>Maintain a compensation clawback policy</w:t>
                            </w:r>
                          </w:p>
                        </w:tc>
                      </w:tr>
                    </w:tbl>
                    <w:tbl>
                      <w:tblPr>
                        <w:tblW w:w="3358" w:type="dxa"/>
                        <w:jc w:val="left"/>
                        <w:tblInd w:w="0" w:type="dxa"/>
                        <w:tblCellMar>
                          <w:top w:w="0" w:type="dxa"/>
                          <w:left w:w="0" w:type="dxa"/>
                          <w:bottom w:w="0" w:type="dxa"/>
                          <w:right w:w="0" w:type="dxa"/>
                        </w:tblCellMar>
                      </w:tblPr>
                      <w:tblGrid>
                        <w:gridCol w:w="38"/>
                        <w:gridCol w:w="165"/>
                        <w:gridCol w:w="31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62" descr=""/>
                                          <pic:cNvPicPr>
                                            <a:picLocks noChangeAspect="1" noChangeArrowheads="1"/>
                                          </pic:cNvPicPr>
                                        </pic:nvPicPr>
                                        <pic:blipFill>
                                          <a:blip r:embed="rId63"/>
                                          <a:stretch>
                                            <a:fillRect/>
                                          </a:stretch>
                                        </pic:blipFill>
                                        <pic:spPr bwMode="auto">
                                          <a:xfrm>
                                            <a:off x="0" y="0"/>
                                            <a:ext cx="104775" cy="85725"/>
                                          </a:xfrm>
                                          <a:prstGeom prst="rect">
                                            <a:avLst/>
                                          </a:prstGeom>
                                        </pic:spPr>
                                      </pic:pic>
                                    </a:graphicData>
                                  </a:graphic>
                                </wp:inline>
                              </w:drawing>
                            </w:r>
                          </w:p>
                        </w:tc>
                        <w:tc>
                          <w:tcPr>
                            <w:tcW w:w="3155" w:type="dxa"/>
                            <w:tcBorders/>
                            <w:shd w:fill="auto" w:val="clear"/>
                            <w:vAlign w:val="center"/>
                          </w:tcPr>
                          <w:p>
                            <w:pPr>
                              <w:pStyle w:val="TableContents"/>
                              <w:spacing w:before="0" w:after="283"/>
                              <w:jc w:val="left"/>
                              <w:rPr>
                                <w:sz w:val="18"/>
                              </w:rPr>
                            </w:pPr>
                            <w:r>
                              <w:rPr>
                                <w:sz w:val="18"/>
                              </w:rPr>
                              <w:t>Double-trigger change of control provisions</w:t>
                            </w:r>
                          </w:p>
                        </w:tc>
                      </w:tr>
                    </w:tbl>
                    <w:tbl>
                      <w:tblPr>
                        <w:tblW w:w="2653" w:type="dxa"/>
                        <w:jc w:val="left"/>
                        <w:tblInd w:w="0" w:type="dxa"/>
                        <w:tblCellMar>
                          <w:top w:w="0" w:type="dxa"/>
                          <w:left w:w="0" w:type="dxa"/>
                          <w:bottom w:w="0" w:type="dxa"/>
                          <w:right w:w="0" w:type="dxa"/>
                        </w:tblCellMar>
                      </w:tblPr>
                      <w:tblGrid>
                        <w:gridCol w:w="38"/>
                        <w:gridCol w:w="165"/>
                        <w:gridCol w:w="24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63" descr=""/>
                                          <pic:cNvPicPr>
                                            <a:picLocks noChangeAspect="1" noChangeArrowheads="1"/>
                                          </pic:cNvPicPr>
                                        </pic:nvPicPr>
                                        <pic:blipFill>
                                          <a:blip r:embed="rId64"/>
                                          <a:stretch>
                                            <a:fillRect/>
                                          </a:stretch>
                                        </pic:blipFill>
                                        <pic:spPr bwMode="auto">
                                          <a:xfrm>
                                            <a:off x="0" y="0"/>
                                            <a:ext cx="104775" cy="85725"/>
                                          </a:xfrm>
                                          <a:prstGeom prst="rect">
                                            <a:avLst/>
                                          </a:prstGeom>
                                        </pic:spPr>
                                      </pic:pic>
                                    </a:graphicData>
                                  </a:graphic>
                                </wp:inline>
                              </w:drawing>
                            </w:r>
                          </w:p>
                        </w:tc>
                        <w:tc>
                          <w:tcPr>
                            <w:tcW w:w="2450" w:type="dxa"/>
                            <w:tcBorders/>
                            <w:shd w:fill="auto" w:val="clear"/>
                            <w:vAlign w:val="center"/>
                          </w:tcPr>
                          <w:p>
                            <w:pPr>
                              <w:pStyle w:val="TableContents"/>
                              <w:spacing w:before="0" w:after="283"/>
                              <w:jc w:val="left"/>
                              <w:rPr>
                                <w:sz w:val="18"/>
                              </w:rPr>
                            </w:pPr>
                            <w:r>
                              <w:rPr>
                                <w:sz w:val="18"/>
                              </w:rPr>
                              <w:t>Below-market severance coverage</w:t>
                            </w:r>
                          </w:p>
                        </w:tc>
                      </w:tr>
                    </w:tbl>
                    <w:tbl>
                      <w:tblPr>
                        <w:tblW w:w="7843" w:type="dxa"/>
                        <w:jc w:val="left"/>
                        <w:tblInd w:w="0" w:type="dxa"/>
                        <w:tblCellMar>
                          <w:top w:w="0" w:type="dxa"/>
                          <w:left w:w="0" w:type="dxa"/>
                          <w:bottom w:w="0" w:type="dxa"/>
                          <w:right w:w="0" w:type="dxa"/>
                        </w:tblCellMar>
                      </w:tblPr>
                      <w:tblGrid>
                        <w:gridCol w:w="38"/>
                        <w:gridCol w:w="165"/>
                        <w:gridCol w:w="764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64" descr=""/>
                                          <pic:cNvPicPr>
                                            <a:picLocks noChangeAspect="1" noChangeArrowheads="1"/>
                                          </pic:cNvPicPr>
                                        </pic:nvPicPr>
                                        <pic:blipFill>
                                          <a:blip r:embed="rId65"/>
                                          <a:stretch>
                                            <a:fillRect/>
                                          </a:stretch>
                                        </pic:blipFill>
                                        <pic:spPr bwMode="auto">
                                          <a:xfrm>
                                            <a:off x="0" y="0"/>
                                            <a:ext cx="104775" cy="85725"/>
                                          </a:xfrm>
                                          <a:prstGeom prst="rect">
                                            <a:avLst/>
                                          </a:prstGeom>
                                        </pic:spPr>
                                      </pic:pic>
                                    </a:graphicData>
                                  </a:graphic>
                                </wp:inline>
                              </w:drawing>
                            </w:r>
                          </w:p>
                        </w:tc>
                        <w:tc>
                          <w:tcPr>
                            <w:tcW w:w="7640" w:type="dxa"/>
                            <w:tcBorders/>
                            <w:shd w:fill="auto" w:val="clear"/>
                            <w:vAlign w:val="center"/>
                          </w:tcPr>
                          <w:p>
                            <w:pPr>
                              <w:pStyle w:val="TableContents"/>
                              <w:spacing w:before="0" w:after="283"/>
                              <w:jc w:val="left"/>
                              <w:rPr>
                                <w:sz w:val="18"/>
                              </w:rPr>
                            </w:pPr>
                            <w:r>
                              <w:rPr>
                                <w:sz w:val="18"/>
                              </w:rPr>
                              <w:t>Shareholder engagement includes governance committee Chair, additional Board members and management</w:t>
                            </w:r>
                          </w:p>
                        </w:tc>
                      </w:tr>
                    </w:tbl>
                    <w:tbl>
                      <w:tblPr>
                        <w:tblW w:w="3253" w:type="dxa"/>
                        <w:jc w:val="left"/>
                        <w:tblInd w:w="0" w:type="dxa"/>
                        <w:tblCellMar>
                          <w:top w:w="0" w:type="dxa"/>
                          <w:left w:w="0" w:type="dxa"/>
                          <w:bottom w:w="0" w:type="dxa"/>
                          <w:right w:w="0" w:type="dxa"/>
                        </w:tblCellMar>
                      </w:tblPr>
                      <w:tblGrid>
                        <w:gridCol w:w="38"/>
                        <w:gridCol w:w="165"/>
                        <w:gridCol w:w="30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65" descr=""/>
                                          <pic:cNvPicPr>
                                            <a:picLocks noChangeAspect="1" noChangeArrowheads="1"/>
                                          </pic:cNvPicPr>
                                        </pic:nvPicPr>
                                        <pic:blipFill>
                                          <a:blip r:embed="rId66"/>
                                          <a:stretch>
                                            <a:fillRect/>
                                          </a:stretch>
                                        </pic:blipFill>
                                        <pic:spPr bwMode="auto">
                                          <a:xfrm>
                                            <a:off x="0" y="0"/>
                                            <a:ext cx="104775" cy="85725"/>
                                          </a:xfrm>
                                          <a:prstGeom prst="rect">
                                            <a:avLst/>
                                          </a:prstGeom>
                                        </pic:spPr>
                                      </pic:pic>
                                    </a:graphicData>
                                  </a:graphic>
                                </wp:inline>
                              </w:drawing>
                            </w:r>
                          </w:p>
                        </w:tc>
                        <w:tc>
                          <w:tcPr>
                            <w:tcW w:w="3050" w:type="dxa"/>
                            <w:tcBorders/>
                            <w:shd w:fill="auto" w:val="clear"/>
                            <w:vAlign w:val="center"/>
                          </w:tcPr>
                          <w:p>
                            <w:pPr>
                              <w:pStyle w:val="TableContents"/>
                              <w:spacing w:before="0" w:after="283"/>
                              <w:jc w:val="left"/>
                              <w:rPr>
                                <w:sz w:val="18"/>
                              </w:rPr>
                            </w:pPr>
                            <w:r>
                              <w:rPr>
                                <w:sz w:val="18"/>
                              </w:rPr>
                              <w:t>Regular review of compensation programs</w:t>
                            </w:r>
                          </w:p>
                        </w:tc>
                      </w:tr>
                    </w:tbl>
                    <w:tbl>
                      <w:tblPr>
                        <w:tblW w:w="3598" w:type="dxa"/>
                        <w:jc w:val="left"/>
                        <w:tblInd w:w="0" w:type="dxa"/>
                        <w:tblCellMar>
                          <w:top w:w="0" w:type="dxa"/>
                          <w:left w:w="0" w:type="dxa"/>
                          <w:bottom w:w="0" w:type="dxa"/>
                          <w:right w:w="0" w:type="dxa"/>
                        </w:tblCellMar>
                      </w:tblPr>
                      <w:tblGrid>
                        <w:gridCol w:w="38"/>
                        <w:gridCol w:w="165"/>
                        <w:gridCol w:w="339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2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66" descr=""/>
                                          <pic:cNvPicPr>
                                            <a:picLocks noChangeAspect="1" noChangeArrowheads="1"/>
                                          </pic:cNvPicPr>
                                        </pic:nvPicPr>
                                        <pic:blipFill>
                                          <a:blip r:embed="rId67"/>
                                          <a:stretch>
                                            <a:fillRect/>
                                          </a:stretch>
                                        </pic:blipFill>
                                        <pic:spPr bwMode="auto">
                                          <a:xfrm>
                                            <a:off x="0" y="0"/>
                                            <a:ext cx="104775" cy="85725"/>
                                          </a:xfrm>
                                          <a:prstGeom prst="rect">
                                            <a:avLst/>
                                          </a:prstGeom>
                                        </pic:spPr>
                                      </pic:pic>
                                    </a:graphicData>
                                  </a:graphic>
                                </wp:inline>
                              </w:drawing>
                            </w:r>
                          </w:p>
                        </w:tc>
                        <w:tc>
                          <w:tcPr>
                            <w:tcW w:w="3395" w:type="dxa"/>
                            <w:tcBorders/>
                            <w:shd w:fill="auto" w:val="clear"/>
                            <w:vAlign w:val="center"/>
                          </w:tcPr>
                          <w:p>
                            <w:pPr>
                              <w:pStyle w:val="TableContents"/>
                              <w:spacing w:before="0" w:after="283"/>
                              <w:jc w:val="left"/>
                              <w:rPr>
                                <w:sz w:val="18"/>
                              </w:rPr>
                            </w:pPr>
                            <w:r>
                              <w:rPr>
                                <w:sz w:val="18"/>
                              </w:rPr>
                              <w:t>Utilize an independent compensation consultant</w:t>
                            </w:r>
                          </w:p>
                        </w:tc>
                      </w:tr>
                    </w:tbl>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i w:val="false"/>
                          <w:caps w:val="false"/>
                          <w:smallCaps w:val="false"/>
                          <w:color w:val="DC0021"/>
                          <w:sz w:val="20"/>
                        </w:rPr>
                      </w:pPr>
                      <w:bookmarkStart w:id="19" w:name="a011"/>
                      <w:bookmarkEnd w:id="19"/>
                      <w:r>
                        <w:rPr>
                          <w:rFonts w:ascii="Arial;Helvetica;Sans-Serif" w:hAnsi="Arial;Helvetica;Sans-Serif"/>
                          <w:b/>
                          <w:i w:val="false"/>
                          <w:caps w:val="false"/>
                          <w:smallCaps w:val="false"/>
                          <w:color w:val="DC0021"/>
                          <w:sz w:val="20"/>
                        </w:rPr>
                        <w:t>Shareholder Engagement Results</w:t>
                      </w:r>
                    </w:p>
                    <w:p>
                      <w:pPr>
                        <w:pStyle w:val="TextBody"/>
                        <w:spacing w:before="0" w:after="0"/>
                        <w:jc w:val="left"/>
                        <w:rPr>
                          <w:caps w:val="false"/>
                          <w:smallCaps w:val="false"/>
                          <w:color w:val="333333"/>
                        </w:rPr>
                      </w:pPr>
                      <w:r>
                        <w:rPr>
                          <w:caps w:val="false"/>
                          <w:smallCaps w:val="false"/>
                          <w:color w:val="333333"/>
                        </w:rPr>
                        <w:t> </w:t>
                      </w:r>
                    </w:p>
                    <w:p>
                      <w:pPr>
                        <w:pStyle w:val="TextBody"/>
                        <w:spacing w:before="0" w:after="0"/>
                        <w:jc w:val="left"/>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Our 2022 shareholder outreach regarding executive compensation was a continuation of our annual comprehensive shareholder engagement plan. We have taken decisive action in recent years in response to our shareholder outreach initiatives and we believe that our compensation practices address the feedback we received. Our stockholder engagement ensured that we heard the feedback of our shareholders — in addition to generous access to the management team, after we mailed the 2022 Proxy, but before the 2022 stockholder meeting, we offered the opportunity to discuss our Proxy with our top 10 stockholders as of December 31, 2021.</w:t>
                      </w:r>
                    </w:p>
                  </w:txbxContent>
                </v:textbox>
                <w10:wrap type="square" side="left"/>
              </v:rect>
            </w:pict>
          </mc:Fallback>
        </mc:AlternateContent>
      </w:r>
    </w:p>
    <w:tbl>
      <w:tblPr>
        <w:tblW w:w="3745" w:type="dxa"/>
        <w:jc w:val="left"/>
        <w:tblInd w:w="0" w:type="dxa"/>
        <w:tblCellMar>
          <w:top w:w="0" w:type="dxa"/>
          <w:left w:w="0" w:type="dxa"/>
          <w:bottom w:w="0" w:type="dxa"/>
          <w:right w:w="0" w:type="dxa"/>
        </w:tblCellMar>
      </w:tblPr>
      <w:tblGrid>
        <w:gridCol w:w="125"/>
        <w:gridCol w:w="3620"/>
      </w:tblGrid>
      <w:tr>
        <w:trPr/>
        <w:tc>
          <w:tcPr>
            <w:tcW w:w="125" w:type="dxa"/>
            <w:tcBorders/>
            <w:shd w:fill="auto" w:val="clear"/>
            <w:vAlign w:val="center"/>
          </w:tcPr>
          <w:p>
            <w:pPr>
              <w:pStyle w:val="TableContents"/>
              <w:spacing w:before="0" w:after="283"/>
              <w:jc w:val="left"/>
              <w:rPr>
                <w:b/>
                <w:color w:val="333333"/>
                <w:sz w:val="16"/>
              </w:rPr>
            </w:pPr>
            <w:r>
              <w:rPr>
                <w:b/>
                <w:color w:val="333333"/>
                <w:sz w:val="16"/>
              </w:rPr>
              <w:t>8</w:t>
            </w:r>
          </w:p>
        </w:tc>
        <w:tc>
          <w:tcPr>
            <w:tcW w:w="3620" w:type="dxa"/>
            <w:tcBorders/>
            <w:shd w:fill="auto" w:val="clear"/>
            <w:vAlign w:val="center"/>
          </w:tcPr>
          <w:p>
            <w:pPr>
              <w:pStyle w:val="TableContents"/>
              <w:spacing w:before="0" w:after="283"/>
              <w:rPr>
                <w:color w:val="333333"/>
                <w:sz w:val="16"/>
              </w:rPr>
            </w:pPr>
            <w:r>
              <w:rPr>
                <w:color w:val="333333"/>
                <w:sz w:val="16"/>
              </w:rPr>
              <w:t>2023 Notice of Annual Meeting &amp; Proxy Statement</w:t>
            </w:r>
          </w:p>
        </w:tc>
      </w:tr>
    </w:tbl>
    <w:p>
      <w:pPr>
        <w:pStyle w:val="TextBody"/>
        <w:spacing w:before="0" w:after="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rPr>
      </w:pPr>
      <w:r>
        <w:rPr>
          <w:caps w:val="false"/>
          <w:smallCaps w:val="false"/>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02. </w:t>
      </w:r>
      <w:r>
        <w:rPr>
          <w:rFonts w:ascii="Arial;Helvetica;Sans-Serif" w:hAnsi="Arial;Helvetica;Sans-Serif"/>
          <w:b w:val="false"/>
          <w:i w:val="false"/>
          <w:caps w:val="false"/>
          <w:smallCaps w:val="false"/>
          <w:color w:val="DC0021"/>
          <w:sz w:val="20"/>
        </w:rPr>
        <w:t>FLEETCOR AT A GLANCE</w:t>
      </w:r>
    </w:p>
    <w:p>
      <w:pPr>
        <w:pStyle w:val="TextBody"/>
        <w:spacing w:before="0" w:after="0"/>
        <w:rPr>
          <w:caps w:val="false"/>
          <w:smallCaps w:val="false"/>
        </w:rPr>
      </w:pPr>
      <w:r>
        <w:rPr>
          <w:caps w:val="false"/>
          <w:smallCaps w:val="false"/>
        </w:rPr>
        <w:t> </w:t>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olumn">
                  <wp:align>left</wp:align>
                </wp:positionH>
                <wp:positionV relativeFrom="line">
                  <wp:posOffset>635</wp:posOffset>
                </wp:positionV>
                <wp:extent cx="3175000" cy="5783580"/>
                <wp:effectExtent l="0" t="0" r="0" b="0"/>
                <wp:wrapSquare wrapText="largest"/>
                <wp:docPr id="130" name="Frame15"/>
                <a:graphic xmlns:a="http://schemas.openxmlformats.org/drawingml/2006/main">
                  <a:graphicData uri="http://schemas.microsoft.com/office/word/2010/wordprocessingShape">
                    <wps:wsp>
                      <wps:cNvSpPr txBox="1"/>
                      <wps:spPr>
                        <a:xfrm>
                          <a:off x="0" y="0"/>
                          <a:ext cx="3175000" cy="5783580"/>
                        </a:xfrm>
                        <a:prstGeom prst="rect"/>
                      </wps:spPr>
                      <wps:txbx>
                        <w:txbxContent>
                          <w:p>
                            <w:pPr>
                              <w:pStyle w:val="TextBody"/>
                              <w:spacing w:before="0" w:after="0"/>
                              <w:rPr>
                                <w:rFonts w:ascii="Arial;Helvetica;Sans-Serif" w:hAnsi="Arial;Helvetica;Sans-Serif"/>
                                <w:b/>
                                <w:i w:val="false"/>
                                <w:caps w:val="false"/>
                                <w:smallCaps w:val="false"/>
                                <w:color w:val="DC0021"/>
                                <w:sz w:val="20"/>
                              </w:rPr>
                            </w:pPr>
                            <w:bookmarkStart w:id="20" w:name="a012"/>
                            <w:bookmarkEnd w:id="20"/>
                            <w:r>
                              <w:rPr>
                                <w:rFonts w:ascii="Arial;Helvetica;Sans-Serif" w:hAnsi="Arial;Helvetica;Sans-Serif"/>
                                <w:b/>
                                <w:i w:val="false"/>
                                <w:caps w:val="false"/>
                                <w:smallCaps w:val="false"/>
                                <w:color w:val="DC0021"/>
                                <w:sz w:val="20"/>
                              </w:rPr>
                              <w:t>Our Commitment to Culture, Diversity Inclusion, Belonging and Sustainability</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Corporate responsibility promotes the long-term interests of our shareholders and strengthens Board and management accountability. Our corporate strategy includes a focus on how environmental and social issues may impact the long-term interests of our shareholders and other stakeholders. We believe that environmentally and socially responsible operating practices are important considerations while generating value for our shareholders, being good partners with our customers by providing efficient payment solutions, and being a good employer to our employees.</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We created a sustainability working group in 2020, consisting of dedicated internal resources and external advisors to address environmental, social, and governance (ESG) factors that are important to our business. During 2021 and 2022, our sustainability working group continued to evaluate potential ESG risks and opportunities relevant to our Company based on the views held by our shareholders, leading ESG frameworks, and ESG rating agencies. We utilized aspects of the Sustainability Accounting Standard Board and the Task Force on Climate-related Financial Disclosures to evaluate our practices.</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i w:val="false"/>
                                <w:caps w:val="false"/>
                                <w:smallCaps w:val="false"/>
                                <w:sz w:val="20"/>
                              </w:rPr>
                            </w:pPr>
                            <w:bookmarkStart w:id="21" w:name="a013"/>
                            <w:bookmarkEnd w:id="21"/>
                            <w:r>
                              <w:rPr>
                                <w:rFonts w:ascii="Arial;Helvetica;Sans-Serif" w:hAnsi="Arial;Helvetica;Sans-Serif"/>
                                <w:b/>
                                <w:i w:val="false"/>
                                <w:caps w:val="false"/>
                                <w:smallCaps w:val="false"/>
                                <w:sz w:val="20"/>
                              </w:rPr>
                              <w:t>Human Capital</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As of December 31, 2022, FLEETCOR employed approximately 10,000 associates located in over 18 countries around the world, with approximately 4,100 of those associates based in the United States. At FLEETCOR, we strongly believe that talent is a strong determinant of the Company’s performance and success. Our values-driven people programs, practices and policies have been developed to ensure we are able to attract, retain and develop the quality of talent necessary to advance our key initiatives and achieve our strategic objectives. We are firmly committed to delivering a strong employee value proposition and unique employment experience to our associates which, in turn, should lead to better customer experiences and business outcomes.</w:t>
                            </w:r>
                          </w:p>
                          <w:p>
                            <w:pPr>
                              <w:pStyle w:val="TextBody"/>
                              <w:spacing w:before="0" w:after="0"/>
                              <w:rPr>
                                <w:caps w:val="false"/>
                                <w:smallCaps w:val="false"/>
                                <w:color w:val="333333"/>
                              </w:rPr>
                            </w:pPr>
                            <w:r>
                              <w:rPr>
                                <w:caps w:val="false"/>
                                <w:smallCaps w:val="false"/>
                                <w:color w:val="333333"/>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45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DC0021"/>
                          <w:sz w:val="20"/>
                        </w:rPr>
                      </w:pPr>
                      <w:bookmarkStart w:id="22" w:name="a012"/>
                      <w:bookmarkEnd w:id="22"/>
                      <w:r>
                        <w:rPr>
                          <w:rFonts w:ascii="Arial;Helvetica;Sans-Serif" w:hAnsi="Arial;Helvetica;Sans-Serif"/>
                          <w:b/>
                          <w:i w:val="false"/>
                          <w:caps w:val="false"/>
                          <w:smallCaps w:val="false"/>
                          <w:color w:val="DC0021"/>
                          <w:sz w:val="20"/>
                        </w:rPr>
                        <w:t>Our Commitment to Culture, Diversity Inclusion, Belonging and Sustainability</w:t>
                      </w:r>
                    </w:p>
                    <w:p>
                      <w:pPr>
                        <w:pStyle w:val="TextBody"/>
                        <w:spacing w:before="0" w:after="0"/>
                        <w:rPr>
                          <w:caps w:val="false"/>
                          <w:smallCaps w:val="false"/>
                          <w:color w:val="DC0021"/>
                        </w:rPr>
                      </w:pPr>
                      <w:r>
                        <w:rPr>
                          <w:caps w:val="false"/>
                          <w:smallCaps w:val="false"/>
                          <w:color w:val="DC0021"/>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Corporate responsibility promotes the long-term interests of our shareholders and strengthens Board and management accountability. Our corporate strategy includes a focus on how environmental and social issues may impact the long-term interests of our shareholders and other stakeholders. We believe that environmentally and socially responsible operating practices are important considerations while generating value for our shareholders, being good partners with our customers by providing efficient payment solutions, and being a good employer to our employees.</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We created a sustainability working group in 2020, consisting of dedicated internal resources and external advisors to address environmental, social, and governance (ESG) factors that are important to our business. During 2021 and 2022, our sustainability working group continued to evaluate potential ESG risks and opportunities relevant to our Company based on the views held by our shareholders, leading ESG frameworks, and ESG rating agencies. We utilized aspects of the Sustainability Accounting Standard Board and the Task Force on Climate-related Financial Disclosures to evaluate our practices.</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i w:val="false"/>
                          <w:caps w:val="false"/>
                          <w:smallCaps w:val="false"/>
                          <w:sz w:val="20"/>
                        </w:rPr>
                      </w:pPr>
                      <w:bookmarkStart w:id="23" w:name="a013"/>
                      <w:bookmarkEnd w:id="23"/>
                      <w:r>
                        <w:rPr>
                          <w:rFonts w:ascii="Arial;Helvetica;Sans-Serif" w:hAnsi="Arial;Helvetica;Sans-Serif"/>
                          <w:b/>
                          <w:i w:val="false"/>
                          <w:caps w:val="false"/>
                          <w:smallCaps w:val="false"/>
                          <w:sz w:val="20"/>
                        </w:rPr>
                        <w:t>Human Capital</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As of December 31, 2022, FLEETCOR employed approximately 10,000 associates located in over 18 countries around the world, with approximately 4,100 of those associates based in the United States. At FLEETCOR, we strongly believe that talent is a strong determinant of the Company’s performance and success. Our values-driven people programs, practices and policies have been developed to ensure we are able to attract, retain and develop the quality of talent necessary to advance our key initiatives and achieve our strategic objectives. We are firmly committed to delivering a strong employee value proposition and unique employment experience to our associates which, in turn, should lead to better customer experiences and business outcomes.</w:t>
                      </w:r>
                    </w:p>
                    <w:p>
                      <w:pPr>
                        <w:pStyle w:val="TextBody"/>
                        <w:spacing w:before="0" w:after="0"/>
                        <w:rPr>
                          <w:caps w:val="false"/>
                          <w:smallCaps w:val="false"/>
                          <w:color w:val="333333"/>
                        </w:rPr>
                      </w:pPr>
                      <w:r>
                        <w:rPr>
                          <w:caps w:val="false"/>
                          <w:smallCaps w:val="false"/>
                          <w:color w:val="333333"/>
                        </w:rPr>
                        <w:t> </w:t>
                      </w:r>
                    </w:p>
                  </w:txbxContent>
                </v:textbox>
                <w10:wrap type="square" side="right"/>
              </v:rect>
            </w:pict>
          </mc:Fallback>
        </mc:AlternateContent>
      </w:r>
      <w:r>
        <mc:AlternateContent>
          <mc:Choice Requires="wps">
            <w:drawing>
              <wp:anchor behindDoc="0" distT="0" distB="0" distL="0" distR="0" simplePos="0" locked="0" layoutInCell="1" allowOverlap="1" relativeHeight="58">
                <wp:simplePos x="0" y="0"/>
                <wp:positionH relativeFrom="column">
                  <wp:align>right</wp:align>
                </wp:positionH>
                <wp:positionV relativeFrom="line">
                  <wp:posOffset>635</wp:posOffset>
                </wp:positionV>
                <wp:extent cx="3175000" cy="4805045"/>
                <wp:effectExtent l="0" t="0" r="0" b="0"/>
                <wp:wrapSquare wrapText="largest"/>
                <wp:docPr id="131" name="Frame16"/>
                <a:graphic xmlns:a="http://schemas.openxmlformats.org/drawingml/2006/main">
                  <a:graphicData uri="http://schemas.microsoft.com/office/word/2010/wordprocessingShape">
                    <wps:wsp>
                      <wps:cNvSpPr txBox="1"/>
                      <wps:spPr>
                        <a:xfrm>
                          <a:off x="0" y="0"/>
                          <a:ext cx="3175000" cy="4805045"/>
                        </a:xfrm>
                        <a:prstGeom prst="rect"/>
                      </wps:spPr>
                      <wps:txbx>
                        <w:txbxContent>
                          <w:p>
                            <w:pPr>
                              <w:pStyle w:val="TextBody"/>
                              <w:spacing w:before="0" w:after="0"/>
                              <w:rPr>
                                <w:rFonts w:ascii="Arial;Helvetica;Sans-Serif" w:hAnsi="Arial;Helvetica;Sans-Serif"/>
                                <w:b/>
                                <w:i w:val="false"/>
                                <w:caps w:val="false"/>
                                <w:smallCaps w:val="false"/>
                                <w:sz w:val="20"/>
                              </w:rPr>
                            </w:pPr>
                            <w:bookmarkStart w:id="24" w:name="a014"/>
                            <w:bookmarkEnd w:id="24"/>
                            <w:r>
                              <w:rPr>
                                <w:rFonts w:ascii="Arial;Helvetica;Sans-Serif" w:hAnsi="Arial;Helvetica;Sans-Serif"/>
                                <w:b/>
                                <w:i w:val="false"/>
                                <w:caps w:val="false"/>
                                <w:smallCaps w:val="false"/>
                                <w:sz w:val="20"/>
                              </w:rPr>
                              <w:t>Culture</w:t>
                            </w:r>
                          </w:p>
                          <w:p>
                            <w:pPr>
                              <w:pStyle w:val="TextBody"/>
                              <w:spacing w:before="0" w:after="0"/>
                              <w:rPr/>
                            </w:pPr>
                            <w:r>
                              <w:rPr/>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Our culture has evolved through time, as the Company has grown considerably both organically and through acquisitions. Despite FLEETCOR’s expansive size and geographic scope, we retain a strong entrepreneurial spirit, and share a common vision, mission and set of values, which together serve as cornerstones to our “One FLEETCOR” culture. Our core values, listed below, are infused in all aspects of FLEETCOR, and guide our employee selection, behavior and interactions with both internal and external stakeholders.</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i w:val="false"/>
                                <w:caps w:val="false"/>
                                <w:smallCaps w:val="false"/>
                                <w:sz w:val="20"/>
                              </w:rPr>
                            </w:pPr>
                            <w:bookmarkStart w:id="25" w:name="a015"/>
                            <w:bookmarkEnd w:id="25"/>
                            <w:r>
                              <w:rPr>
                                <w:rFonts w:ascii="Arial;Helvetica;Sans-Serif" w:hAnsi="Arial;Helvetica;Sans-Serif"/>
                                <w:b/>
                                <w:i w:val="false"/>
                                <w:caps w:val="false"/>
                                <w:smallCaps w:val="false"/>
                                <w:sz w:val="20"/>
                              </w:rPr>
                              <w:t>Diversity, Inclusion &amp; Belonging</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Our focus on diversity, inclusion and belonging (DIB) is important to our successful “One FLEETCOR” culture. As of December 31, 2022, females represented approximately 53% of our global workforce and approximately 24% of our senior leadership team, while minorities comprised approximately 34% of our domestic workforce and approximately 12% of our senior leadership team.</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Fostering a culturally diverse and inclusive environment and creating a true sense of belonging are among our top priorities. Our global diversity council, three regional councils and nine employee resource groups (each, an ERG) are dedicated to building diversity, inclusion and belonging into all aspects of our global operations. Sponsored by the Chairman of the Board and CEO, the councils and ERGs are vital to creating an environment where all employees are able to prosper. Our ERGs allow a safe space for traditionally underrepresented employees to connect and discuss experiences. The ERGs also provide FLEETCOR with perspectives on the unique needs and lived experiences of those who are traditionally underrepresented.</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78.3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spacing w:before="0" w:after="0"/>
                        <w:rPr>
                          <w:rFonts w:ascii="Arial;Helvetica;Sans-Serif" w:hAnsi="Arial;Helvetica;Sans-Serif"/>
                          <w:b/>
                          <w:i w:val="false"/>
                          <w:caps w:val="false"/>
                          <w:smallCaps w:val="false"/>
                          <w:sz w:val="20"/>
                        </w:rPr>
                      </w:pPr>
                      <w:bookmarkStart w:id="26" w:name="a014"/>
                      <w:bookmarkEnd w:id="26"/>
                      <w:r>
                        <w:rPr>
                          <w:rFonts w:ascii="Arial;Helvetica;Sans-Serif" w:hAnsi="Arial;Helvetica;Sans-Serif"/>
                          <w:b/>
                          <w:i w:val="false"/>
                          <w:caps w:val="false"/>
                          <w:smallCaps w:val="false"/>
                          <w:sz w:val="20"/>
                        </w:rPr>
                        <w:t>Culture</w:t>
                      </w:r>
                    </w:p>
                    <w:p>
                      <w:pPr>
                        <w:pStyle w:val="TextBody"/>
                        <w:spacing w:before="0" w:after="0"/>
                        <w:rPr/>
                      </w:pPr>
                      <w:r>
                        <w:rPr/>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Our culture has evolved through time, as the Company has grown considerably both organically and through acquisitions. Despite FLEETCOR’s expansive size and geographic scope, we retain a strong entrepreneurial spirit, and share a common vision, mission and set of values, which together serve as cornerstones to our “One FLEETCOR” culture. Our core values, listed below, are infused in all aspects of FLEETCOR, and guide our employee selection, behavior and interactions with both internal and external stakeholders.</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i w:val="false"/>
                          <w:caps w:val="false"/>
                          <w:smallCaps w:val="false"/>
                          <w:sz w:val="20"/>
                        </w:rPr>
                      </w:pPr>
                      <w:bookmarkStart w:id="27" w:name="a015"/>
                      <w:bookmarkEnd w:id="27"/>
                      <w:r>
                        <w:rPr>
                          <w:rFonts w:ascii="Arial;Helvetica;Sans-Serif" w:hAnsi="Arial;Helvetica;Sans-Serif"/>
                          <w:b/>
                          <w:i w:val="false"/>
                          <w:caps w:val="false"/>
                          <w:smallCaps w:val="false"/>
                          <w:sz w:val="20"/>
                        </w:rPr>
                        <w:t>Diversity, Inclusion &amp; Belonging</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Our focus on diversity, inclusion and belonging (DIB) is important to our successful “One FLEETCOR” culture. As of December 31, 2022, females represented approximately 53% of our global workforce and approximately 24% of our senior leadership team, while minorities comprised approximately 34% of our domestic workforce and approximately 12% of our senior leadership team.</w:t>
                      </w:r>
                    </w:p>
                    <w:p>
                      <w:pPr>
                        <w:pStyle w:val="TextBody"/>
                        <w:spacing w:before="0" w:after="0"/>
                        <w:rPr>
                          <w:caps w:val="false"/>
                          <w:smallCaps w:val="false"/>
                          <w:color w:val="333333"/>
                        </w:rPr>
                      </w:pPr>
                      <w:r>
                        <w:rPr>
                          <w:caps w:val="false"/>
                          <w:smallCaps w:val="false"/>
                          <w:color w:val="333333"/>
                        </w:rPr>
                        <w:t> </w:t>
                      </w:r>
                    </w:p>
                    <w:p>
                      <w:pPr>
                        <w:pStyle w:val="TextBody"/>
                        <w:spacing w:before="0" w:after="0"/>
                        <w:rPr>
                          <w:rFonts w:ascii="Arial;Helvetica;Sans-Serif" w:hAnsi="Arial;Helvetica;Sans-Serif"/>
                          <w:b w:val="false"/>
                          <w:i w:val="false"/>
                          <w:caps w:val="false"/>
                          <w:smallCaps w:val="false"/>
                          <w:color w:val="333333"/>
                          <w:sz w:val="18"/>
                        </w:rPr>
                      </w:pPr>
                      <w:r>
                        <w:rPr>
                          <w:rFonts w:ascii="Arial;Helvetica;Sans-Serif" w:hAnsi="Arial;Helvetica;Sans-Serif"/>
                          <w:b w:val="false"/>
                          <w:i w:val="false"/>
                          <w:caps w:val="false"/>
                          <w:smallCaps w:val="false"/>
                          <w:color w:val="333333"/>
                          <w:sz w:val="18"/>
                        </w:rPr>
                        <w:t>Fostering a culturally diverse and inclusive environment and creating a true sense of belonging are among our top priorities. Our global diversity council, three regional councils and nine employee resource groups (each, an ERG) are dedicated to building diversity, inclusion and belonging into all aspects of our global operations. Sponsored by the Chairman of the Board and CEO, the councils and ERGs are vital to creating an environment where all employees are able to prosper. Our ERGs allow a safe space for traditionally underrepresented employees to connect and discuss experiences. The ERGs also provide FLEETCOR with perspectives on the unique needs and lived experiences of those who are traditionally underrepresented.</w:t>
                      </w:r>
                    </w:p>
                  </w:txbxContent>
                </v:textbox>
                <w10:wrap type="square" side="left"/>
              </v:rect>
            </w:pict>
          </mc:Fallback>
        </mc:AlternateContent>
      </w:r>
      <w:r>
        <mc:AlternateContent>
          <mc:Choice Requires="wps">
            <w:drawing>
              <wp:anchor behindDoc="0" distT="0" distB="0" distL="0" distR="0" simplePos="0" locked="0" layoutInCell="1" allowOverlap="1" relativeHeight="59">
                <wp:simplePos x="0" y="0"/>
                <wp:positionH relativeFrom="column">
                  <wp:align>right</wp:align>
                </wp:positionH>
                <wp:positionV relativeFrom="line">
                  <wp:posOffset>635</wp:posOffset>
                </wp:positionV>
                <wp:extent cx="3175000" cy="175260"/>
                <wp:effectExtent l="0" t="0" r="0" b="0"/>
                <wp:wrapSquare wrapText="largest"/>
                <wp:docPr id="132" name="Frame17"/>
                <a:graphic xmlns:a="http://schemas.openxmlformats.org/drawingml/2006/main">
                  <a:graphicData uri="http://schemas.microsoft.com/office/word/2010/wordprocessingShape">
                    <wps:wsp>
                      <wps:cNvSpPr txBox="1"/>
                      <wps:spPr>
                        <a:xfrm>
                          <a:off x="0" y="0"/>
                          <a:ext cx="3175000" cy="175260"/>
                        </a:xfrm>
                        <a:prstGeom prst="rect"/>
                      </wps:spPr>
                      <wps:txbx>
                        <w:txbxContent>
                          <w:p>
                            <w:pPr>
                              <w:pStyle w:val="TextBody"/>
                              <w:spacing w:before="0" w:after="283"/>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3.8pt;mso-wrap-distance-left:0pt;mso-wrap-distance-right:0pt;mso-wrap-distance-top:0pt;mso-wrap-distance-bottom:0pt;margin-top:0pt;mso-position-vertical:top;mso-position-vertical-relative:text;margin-left:10.2pt;mso-position-horizontal:right;mso-position-horizontal-relative:text">
                <v:textbox>
                  <w:txbxContent>
                    <w:p>
                      <w:pPr>
                        <w:pStyle w:val="TextBody"/>
                        <w:spacing w:before="0" w:after="283"/>
                        <w:rPr/>
                      </w:pPr>
                      <w:r>
                        <w:rPr/>
                        <w:t> </w:t>
                      </w:r>
                    </w:p>
                  </w:txbxContent>
                </v:textbox>
                <w10:wrap type="square" side="left"/>
              </v:rect>
            </w:pict>
          </mc:Fallback>
        </mc:AlternateContent>
      </w:r>
    </w:p>
    <w:tbl>
      <w:tblPr>
        <w:tblW w:w="9780" w:type="dxa"/>
        <w:jc w:val="left"/>
        <w:tblInd w:w="0" w:type="dxa"/>
        <w:tblCellMar>
          <w:top w:w="0" w:type="dxa"/>
          <w:left w:w="0" w:type="dxa"/>
          <w:bottom w:w="0" w:type="dxa"/>
          <w:right w:w="0" w:type="dxa"/>
        </w:tblCellMar>
      </w:tblPr>
      <w:tblGrid>
        <w:gridCol w:w="5265"/>
        <w:gridCol w:w="4515"/>
      </w:tblGrid>
      <w:tr>
        <w:trPr/>
        <w:tc>
          <w:tcPr>
            <w:tcW w:w="5265" w:type="dxa"/>
            <w:tcBorders/>
            <w:shd w:fill="auto" w:val="clear"/>
            <w:vAlign w:val="center"/>
          </w:tcPr>
          <w:p>
            <w:pPr>
              <w:pStyle w:val="TableContents"/>
              <w:spacing w:before="0" w:after="0"/>
              <w:jc w:val="center"/>
              <w:rPr>
                <w:caps w:val="false"/>
                <w:smallCaps w:val="false"/>
                <w:color w:val="333333"/>
              </w:rPr>
            </w:pPr>
            <w:r>
              <w:rPr>
                <w:caps w:val="false"/>
                <w:smallCaps w:val="false"/>
                <w:color w:val="333333"/>
              </w:rPr>
              <w:drawing>
                <wp:inline distT="0" distB="0" distL="0" distR="0">
                  <wp:extent cx="3333750" cy="1752600"/>
                  <wp:effectExtent l="0" t="0" r="0" b="0"/>
                  <wp:docPr id="13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67" descr=""/>
                          <pic:cNvPicPr>
                            <a:picLocks noChangeAspect="1" noChangeArrowheads="1"/>
                          </pic:cNvPicPr>
                        </pic:nvPicPr>
                        <pic:blipFill>
                          <a:blip r:embed="rId68"/>
                          <a:stretch>
                            <a:fillRect/>
                          </a:stretch>
                        </pic:blipFill>
                        <pic:spPr bwMode="auto">
                          <a:xfrm>
                            <a:off x="0" y="0"/>
                            <a:ext cx="3333750" cy="1752600"/>
                          </a:xfrm>
                          <a:prstGeom prst="rect">
                            <a:avLst/>
                          </a:prstGeom>
                        </pic:spPr>
                      </pic:pic>
                    </a:graphicData>
                  </a:graphic>
                </wp:inline>
              </w:drawing>
            </w:r>
          </w:p>
        </w:tc>
        <w:tc>
          <w:tcPr>
            <w:tcW w:w="4515" w:type="dxa"/>
            <w:tcBorders/>
            <w:shd w:fill="auto" w:val="clear"/>
            <w:vAlign w:val="center"/>
          </w:tcPr>
          <w:p>
            <w:pPr>
              <w:pStyle w:val="TableContents"/>
              <w:spacing w:before="0" w:after="283"/>
              <w:jc w:val="center"/>
              <w:rPr/>
            </w:pPr>
            <w:r>
              <w:rPr/>
              <w:drawing>
                <wp:inline distT="0" distB="0" distL="0" distR="0">
                  <wp:extent cx="2857500" cy="1600200"/>
                  <wp:effectExtent l="0" t="0" r="0" b="0"/>
                  <wp:docPr id="13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68" descr=""/>
                          <pic:cNvPicPr>
                            <a:picLocks noChangeAspect="1" noChangeArrowheads="1"/>
                          </pic:cNvPicPr>
                        </pic:nvPicPr>
                        <pic:blipFill>
                          <a:blip r:embed="rId69"/>
                          <a:stretch>
                            <a:fillRect/>
                          </a:stretch>
                        </pic:blipFill>
                        <pic:spPr bwMode="auto">
                          <a:xfrm>
                            <a:off x="0" y="0"/>
                            <a:ext cx="2857500" cy="1600200"/>
                          </a:xfrm>
                          <a:prstGeom prst="rect">
                            <a:avLst/>
                          </a:prstGeom>
                        </pic:spPr>
                      </pic:pic>
                    </a:graphicData>
                  </a:graphic>
                </wp:inline>
              </w:drawing>
            </w:r>
          </w:p>
        </w:tc>
      </w:tr>
    </w:tbl>
    <w:p>
      <w:pPr>
        <w:pStyle w:val="TextBody"/>
        <w:spacing w:before="0" w:after="0"/>
        <w:rPr>
          <w:caps w:val="false"/>
          <w:smallCaps w:val="false"/>
        </w:rPr>
      </w:pPr>
      <w:r>
        <w:rPr>
          <w:caps w:val="false"/>
          <w:smallCaps w:val="false"/>
        </w:rPr>
        <w:t> </w:t>
      </w:r>
    </w:p>
    <w:tbl>
      <w:tblPr>
        <w:tblW w:w="3775" w:type="dxa"/>
        <w:jc w:val="left"/>
        <w:tblInd w:w="0" w:type="dxa"/>
        <w:tblCellMar>
          <w:top w:w="0" w:type="dxa"/>
          <w:left w:w="0" w:type="dxa"/>
          <w:bottom w:w="0" w:type="dxa"/>
          <w:right w:w="0" w:type="dxa"/>
        </w:tblCellMar>
      </w:tblPr>
      <w:tblGrid>
        <w:gridCol w:w="3650"/>
        <w:gridCol w:w="125"/>
      </w:tblGrid>
      <w:tr>
        <w:trPr/>
        <w:tc>
          <w:tcPr>
            <w:tcW w:w="3650" w:type="dxa"/>
            <w:tcBorders/>
            <w:shd w:fill="auto" w:val="clear"/>
            <w:vAlign w:val="center"/>
          </w:tcPr>
          <w:p>
            <w:pPr>
              <w:pStyle w:val="TableContents"/>
              <w:spacing w:before="0" w:after="0"/>
              <w:jc w:val="right"/>
              <w:rPr>
                <w:rFonts w:ascii="Arial;Helvetica;Sans-Serif" w:hAnsi="Arial;Helvetica;Sans-Serif"/>
                <w:b w:val="false"/>
                <w:i w:val="false"/>
                <w:caps w:val="false"/>
                <w:smallCaps w:val="false"/>
                <w:color w:val="333333"/>
                <w:sz w:val="16"/>
              </w:rPr>
            </w:pPr>
            <w:r>
              <w:rPr>
                <w:rFonts w:ascii="Arial;Helvetica;Sans-Serif" w:hAnsi="Arial;Helvetica;Sans-Serif"/>
                <w:b w:val="false"/>
                <w:i w:val="false"/>
                <w:caps w:val="false"/>
                <w:smallCaps w:val="false"/>
                <w:color w:val="333333"/>
                <w:sz w:val="16"/>
              </w:rPr>
              <w:t>2023 Notice of Annual Meeting &amp; Proxy Statement</w:t>
            </w:r>
          </w:p>
        </w:tc>
        <w:tc>
          <w:tcPr>
            <w:tcW w:w="125" w:type="dxa"/>
            <w:tcBorders/>
            <w:shd w:fill="auto" w:val="clear"/>
            <w:vAlign w:val="center"/>
          </w:tcPr>
          <w:p>
            <w:pPr>
              <w:pStyle w:val="TableContents"/>
              <w:spacing w:before="0" w:after="283"/>
              <w:jc w:val="right"/>
              <w:rPr>
                <w:b/>
                <w:color w:val="333333"/>
                <w:sz w:val="16"/>
              </w:rPr>
            </w:pPr>
            <w:r>
              <w:rPr>
                <w:b/>
                <w:color w:val="333333"/>
                <w:sz w:val="16"/>
              </w:rPr>
              <w:t>9</w:t>
            </w:r>
          </w:p>
        </w:tc>
      </w:tr>
    </w:tbl>
    <w:p>
      <w:pPr>
        <w:pStyle w:val="TextBody"/>
        <w:spacing w:before="0" w:after="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rPr>
      </w:pPr>
      <w:r>
        <w:rPr>
          <w:caps w:val="false"/>
          <w:smallCaps w:val="false"/>
        </w:rPr>
        <w:t> </w:t>
      </w:r>
    </w:p>
    <w:p>
      <w:pPr>
        <w:pStyle w:val="HorizontalLine"/>
        <w:spacing w:before="200" w:after="200"/>
        <w:rPr/>
      </w:pPr>
      <w:r>
        <w:rPr/>
      </w:r>
    </w:p>
    <w:p>
      <w:pPr>
        <w:pStyle w:val="TextBody"/>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02.</w:t>
      </w:r>
      <w:r>
        <w:rPr>
          <w:rFonts w:ascii="Arial;Helvetica;Sans-Serif" w:hAnsi="Arial;Helvetica;Sans-Serif"/>
          <w:b w:val="false"/>
          <w:i w:val="false"/>
          <w:caps w:val="false"/>
          <w:smallCaps w:val="false"/>
          <w:sz w:val="20"/>
        </w:rPr>
        <w:t> </w:t>
      </w:r>
      <w:r>
        <w:rPr>
          <w:rFonts w:ascii="Arial;Helvetica;Sans-Serif" w:hAnsi="Arial;Helvetica;Sans-Serif"/>
          <w:b w:val="false"/>
          <w:i w:val="false"/>
          <w:caps w:val="false"/>
          <w:smallCaps w:val="false"/>
          <w:color w:val="EE0027"/>
          <w:sz w:val="20"/>
        </w:rPr>
        <w:t>FLEETCOR AT A GLANCE</w:t>
      </w:r>
    </w:p>
    <w:p>
      <w:pPr>
        <w:pStyle w:val="TextBody"/>
        <w:rPr>
          <w:caps w:val="false"/>
          <w:smallCaps w:val="false"/>
          <w:color w:val="EE0027"/>
        </w:rPr>
      </w:pPr>
      <w:r>
        <w:rPr>
          <w:caps w:val="false"/>
          <w:smallCaps w:val="false"/>
          <w:color w:val="EE0027"/>
        </w:rPr>
        <w:t> </w:t>
      </w:r>
    </w:p>
    <w:p>
      <w:pPr>
        <w:pStyle w:val="TextBody"/>
        <w:spacing w:before="0" w:after="0"/>
        <w:rPr>
          <w:caps w:val="false"/>
          <w:smallCaps w:val="false"/>
          <w:color w:val="58595B"/>
        </w:rPr>
      </w:pPr>
      <w:r>
        <w:rPr>
          <w:caps w:val="false"/>
          <w:smallCaps w:val="false"/>
          <w:color w:val="58595B"/>
        </w:rPr>
        <w:t>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1943735" cy="8448040"/>
                <wp:effectExtent l="0" t="0" r="0" b="0"/>
                <wp:wrapSquare wrapText="largest"/>
                <wp:docPr id="135" name="Frame18"/>
                <a:graphic xmlns:a="http://schemas.openxmlformats.org/drawingml/2006/main">
                  <a:graphicData uri="http://schemas.microsoft.com/office/word/2010/wordprocessingShape">
                    <wps:wsp>
                      <wps:cNvSpPr txBox="1"/>
                      <wps:spPr>
                        <a:xfrm>
                          <a:off x="0" y="0"/>
                          <a:ext cx="1943735" cy="8448040"/>
                        </a:xfrm>
                        <a:prstGeom prst="rect"/>
                      </wps:spPr>
                      <wps:txbx>
                        <w:txbxContent>
                          <w:tbl>
                            <w:tblPr>
                              <w:tblW w:w="2340" w:type="dxa"/>
                              <w:jc w:val="left"/>
                              <w:tblInd w:w="0" w:type="dxa"/>
                              <w:tblCellMar>
                                <w:top w:w="0" w:type="dxa"/>
                                <w:left w:w="0" w:type="dxa"/>
                                <w:bottom w:w="0" w:type="dxa"/>
                                <w:right w:w="0" w:type="dxa"/>
                              </w:tblCellMar>
                            </w:tblPr>
                            <w:tblGrid>
                              <w:gridCol w:w="2340"/>
                            </w:tblGrid>
                            <w:tr>
                              <w:trPr/>
                              <w:tc>
                                <w:tcPr>
                                  <w:tcW w:w="2340" w:type="dxa"/>
                                  <w:tcBorders/>
                                  <w:shd w:fill="auto" w:val="clear"/>
                                  <w:vAlign w:val="center"/>
                                </w:tcPr>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Core Values</w:t>
                                  </w:r>
                                </w:p>
                                <w:p>
                                  <w:pPr>
                                    <w:pStyle w:val="TableContents"/>
                                    <w:spacing w:before="0" w:after="0"/>
                                    <w:jc w:val="center"/>
                                    <w:rPr>
                                      <w:caps w:val="false"/>
                                      <w:smallCaps w:val="false"/>
                                      <w:color w:val="EE0027"/>
                                    </w:rPr>
                                  </w:pPr>
                                  <w:r>
                                    <w:rPr>
                                      <w:caps w:val="false"/>
                                      <w:smallCaps w:val="false"/>
                                      <w:color w:val="EE0027"/>
                                    </w:rPr>
                                    <w:t> </w:t>
                                  </w:r>
                                </w:p>
                                <w:p>
                                  <w:pPr>
                                    <w:pStyle w:val="TableContents"/>
                                    <w:spacing w:before="0" w:after="0"/>
                                    <w:jc w:val="center"/>
                                    <w:rPr>
                                      <w:caps w:val="false"/>
                                      <w:smallCaps w:val="false"/>
                                      <w:color w:val="EE0027"/>
                                    </w:rPr>
                                  </w:pPr>
                                  <w:r>
                                    <w:rPr>
                                      <w:caps w:val="false"/>
                                      <w:smallCaps w:val="false"/>
                                      <w:color w:val="EE0027"/>
                                    </w:rPr>
                                    <w:drawing>
                                      <wp:inline distT="0" distB="0" distL="0" distR="0">
                                        <wp:extent cx="476250" cy="733425"/>
                                        <wp:effectExtent l="0" t="0" r="0" b="0"/>
                                        <wp:docPr id="136"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69" descr=""/>
                                                <pic:cNvPicPr>
                                                  <a:picLocks noChangeAspect="1" noChangeArrowheads="1"/>
                                                </pic:cNvPicPr>
                                              </pic:nvPicPr>
                                              <pic:blipFill>
                                                <a:blip r:embed="rId70"/>
                                                <a:stretch>
                                                  <a:fillRect/>
                                                </a:stretch>
                                              </pic:blipFill>
                                              <pic:spPr bwMode="auto">
                                                <a:xfrm>
                                                  <a:off x="0" y="0"/>
                                                  <a:ext cx="476250" cy="733425"/>
                                                </a:xfrm>
                                                <a:prstGeom prst="rect">
                                                  <a:avLst/>
                                                </a:prstGeom>
                                              </pic:spPr>
                                            </pic:pic>
                                          </a:graphicData>
                                        </a:graphic>
                                      </wp:inline>
                                    </w:drawing>
                                  </w:r>
                                  <w:r>
                                    <w:rPr>
                                      <w:caps w:val="false"/>
                                      <w:smallCaps w:val="false"/>
                                      <w:color w:val="EE0027"/>
                                    </w:rPr>
                                    <w:t> </w:t>
                                  </w:r>
                                </w:p>
                                <w:p>
                                  <w:pPr>
                                    <w:pStyle w:val="TableContents"/>
                                    <w:spacing w:before="0" w:after="0"/>
                                    <w:jc w:val="center"/>
                                    <w:rPr>
                                      <w:caps w:val="false"/>
                                      <w:smallCaps w:val="false"/>
                                      <w:color w:val="EE0027"/>
                                    </w:rPr>
                                  </w:pPr>
                                  <w:r>
                                    <w:rPr>
                                      <w:caps w:val="false"/>
                                      <w:smallCaps w:val="false"/>
                                      <w:color w:val="EE0027"/>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INNOVATION</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Figure out</w:t>
                                    <w:br/>
                                    <w:t>a better way</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drawing>
                                      <wp:inline distT="0" distB="0" distL="0" distR="0">
                                        <wp:extent cx="762000" cy="790575"/>
                                        <wp:effectExtent l="0" t="0" r="0" b="0"/>
                                        <wp:docPr id="137"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70" descr=""/>
                                                <pic:cNvPicPr>
                                                  <a:picLocks noChangeAspect="1" noChangeArrowheads="1"/>
                                                </pic:cNvPicPr>
                                              </pic:nvPicPr>
                                              <pic:blipFill>
                                                <a:blip r:embed="rId71"/>
                                                <a:stretch>
                                                  <a:fillRect/>
                                                </a:stretch>
                                              </pic:blipFill>
                                              <pic:spPr bwMode="auto">
                                                <a:xfrm>
                                                  <a:off x="0" y="0"/>
                                                  <a:ext cx="762000" cy="790575"/>
                                                </a:xfrm>
                                                <a:prstGeom prst="rect">
                                                  <a:avLst/>
                                                </a:prstGeom>
                                              </pic:spPr>
                                            </pic:pic>
                                          </a:graphicData>
                                        </a:graphic>
                                      </wp:inline>
                                    </w:drawing>
                                  </w: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COLLABORATION</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Accomplish</w:t>
                                    <w:br/>
                                    <w:t>more together</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drawing>
                                      <wp:inline distT="0" distB="0" distL="0" distR="0">
                                        <wp:extent cx="857250" cy="762000"/>
                                        <wp:effectExtent l="0" t="0" r="0" b="0"/>
                                        <wp:docPr id="138"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71" descr=""/>
                                                <pic:cNvPicPr>
                                                  <a:picLocks noChangeAspect="1" noChangeArrowheads="1"/>
                                                </pic:cNvPicPr>
                                              </pic:nvPicPr>
                                              <pic:blipFill>
                                                <a:blip r:embed="rId72"/>
                                                <a:stretch>
                                                  <a:fillRect/>
                                                </a:stretch>
                                              </pic:blipFill>
                                              <pic:spPr bwMode="auto">
                                                <a:xfrm>
                                                  <a:off x="0" y="0"/>
                                                  <a:ext cx="857250" cy="762000"/>
                                                </a:xfrm>
                                                <a:prstGeom prst="rect">
                                                  <a:avLst/>
                                                </a:prstGeom>
                                              </pic:spPr>
                                            </pic:pic>
                                          </a:graphicData>
                                        </a:graphic>
                                      </wp:inline>
                                    </w:drawing>
                                  </w: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EXECUTION</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Get it done</w:t>
                                    <w:br/>
                                    <w:t>outputs matter</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drawing>
                                      <wp:inline distT="0" distB="0" distL="0" distR="0">
                                        <wp:extent cx="762000" cy="809625"/>
                                        <wp:effectExtent l="0" t="0" r="0" b="0"/>
                                        <wp:docPr id="139"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72" descr=""/>
                                                <pic:cNvPicPr>
                                                  <a:picLocks noChangeAspect="1" noChangeArrowheads="1"/>
                                                </pic:cNvPicPr>
                                              </pic:nvPicPr>
                                              <pic:blipFill>
                                                <a:blip r:embed="rId73"/>
                                                <a:stretch>
                                                  <a:fillRect/>
                                                </a:stretch>
                                              </pic:blipFill>
                                              <pic:spPr bwMode="auto">
                                                <a:xfrm>
                                                  <a:off x="0" y="0"/>
                                                  <a:ext cx="762000" cy="809625"/>
                                                </a:xfrm>
                                                <a:prstGeom prst="rect">
                                                  <a:avLst/>
                                                </a:prstGeom>
                                              </pic:spPr>
                                            </pic:pic>
                                          </a:graphicData>
                                        </a:graphic>
                                      </wp:inline>
                                    </w:drawing>
                                  </w: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INTEGRITY</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Do the</w:t>
                                    <w:br/>
                                    <w:t>right thing</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drawing>
                                      <wp:inline distT="0" distB="0" distL="0" distR="0">
                                        <wp:extent cx="1428750" cy="981075"/>
                                        <wp:effectExtent l="0" t="0" r="0" b="0"/>
                                        <wp:docPr id="140"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73" descr=""/>
                                                <pic:cNvPicPr>
                                                  <a:picLocks noChangeAspect="1" noChangeArrowheads="1"/>
                                                </pic:cNvPicPr>
                                              </pic:nvPicPr>
                                              <pic:blipFill>
                                                <a:blip r:embed="rId74"/>
                                                <a:stretch>
                                                  <a:fillRect/>
                                                </a:stretch>
                                              </pic:blipFill>
                                              <pic:spPr bwMode="auto">
                                                <a:xfrm>
                                                  <a:off x="0" y="0"/>
                                                  <a:ext cx="1428750" cy="981075"/>
                                                </a:xfrm>
                                                <a:prstGeom prst="rect">
                                                  <a:avLst/>
                                                </a:prstGeom>
                                              </pic:spPr>
                                            </pic:pic>
                                          </a:graphicData>
                                        </a:graphic>
                                      </wp:inline>
                                    </w:drawing>
                                  </w: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PEOPLE</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make</w:t>
                                    <w:br/>
                                    <w:t>the difference</w:t>
                                  </w:r>
                                </w:p>
                                <w:p>
                                  <w:pPr>
                                    <w:pStyle w:val="TableContents"/>
                                    <w:spacing w:before="0" w:after="0"/>
                                    <w:jc w:val="center"/>
                                    <w:rPr>
                                      <w:caps w:val="false"/>
                                      <w:smallCaps w:val="false"/>
                                      <w:color w:val="58595B"/>
                                    </w:rPr>
                                  </w:pPr>
                                  <w:r>
                                    <w:rPr>
                                      <w:caps w:val="false"/>
                                      <w:smallCaps w:val="false"/>
                                      <w:color w:val="58595B"/>
                                    </w:rPr>
                                    <w:t> </w:t>
                                  </w:r>
                                </w:p>
                              </w:tc>
                            </w:tr>
                          </w:tbl>
                          <w:p>
                            <w:pPr>
                              <w:pStyle w:val="TextBody"/>
                              <w:spacing w:before="0" w:after="283"/>
                              <w:rPr/>
                            </w:pPr>
                            <w:r>
                              <w:rPr/>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665.2pt;mso-wrap-distance-left:0pt;mso-wrap-distance-right:0pt;mso-wrap-distance-top:0pt;mso-wrap-distance-bottom:0pt;margin-top:0pt;mso-position-vertical:top;mso-position-vertical-relative:text;margin-left:0pt;mso-position-horizontal:left;mso-position-horizontal-relative:text">
                <v:textbox>
                  <w:txbxContent>
                    <w:tbl>
                      <w:tblPr>
                        <w:tblW w:w="2340" w:type="dxa"/>
                        <w:jc w:val="left"/>
                        <w:tblInd w:w="0" w:type="dxa"/>
                        <w:tblCellMar>
                          <w:top w:w="0" w:type="dxa"/>
                          <w:left w:w="0" w:type="dxa"/>
                          <w:bottom w:w="0" w:type="dxa"/>
                          <w:right w:w="0" w:type="dxa"/>
                        </w:tblCellMar>
                      </w:tblPr>
                      <w:tblGrid>
                        <w:gridCol w:w="2340"/>
                      </w:tblGrid>
                      <w:tr>
                        <w:trPr/>
                        <w:tc>
                          <w:tcPr>
                            <w:tcW w:w="2340" w:type="dxa"/>
                            <w:tcBorders/>
                            <w:shd w:fill="auto" w:val="clear"/>
                            <w:vAlign w:val="center"/>
                          </w:tcPr>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Core Values</w:t>
                            </w:r>
                          </w:p>
                          <w:p>
                            <w:pPr>
                              <w:pStyle w:val="TableContents"/>
                              <w:spacing w:before="0" w:after="0"/>
                              <w:jc w:val="center"/>
                              <w:rPr>
                                <w:caps w:val="false"/>
                                <w:smallCaps w:val="false"/>
                                <w:color w:val="EE0027"/>
                              </w:rPr>
                            </w:pPr>
                            <w:r>
                              <w:rPr>
                                <w:caps w:val="false"/>
                                <w:smallCaps w:val="false"/>
                                <w:color w:val="EE0027"/>
                              </w:rPr>
                              <w:t> </w:t>
                            </w:r>
                          </w:p>
                          <w:p>
                            <w:pPr>
                              <w:pStyle w:val="TableContents"/>
                              <w:spacing w:before="0" w:after="0"/>
                              <w:jc w:val="center"/>
                              <w:rPr>
                                <w:caps w:val="false"/>
                                <w:smallCaps w:val="false"/>
                                <w:color w:val="EE0027"/>
                              </w:rPr>
                            </w:pPr>
                            <w:r>
                              <w:rPr>
                                <w:caps w:val="false"/>
                                <w:smallCaps w:val="false"/>
                                <w:color w:val="EE0027"/>
                              </w:rPr>
                              <w:drawing>
                                <wp:inline distT="0" distB="0" distL="0" distR="0">
                                  <wp:extent cx="476250" cy="733425"/>
                                  <wp:effectExtent l="0" t="0" r="0" b="0"/>
                                  <wp:docPr id="141"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69" descr=""/>
                                          <pic:cNvPicPr>
                                            <a:picLocks noChangeAspect="1" noChangeArrowheads="1"/>
                                          </pic:cNvPicPr>
                                        </pic:nvPicPr>
                                        <pic:blipFill>
                                          <a:blip r:embed="rId70"/>
                                          <a:stretch>
                                            <a:fillRect/>
                                          </a:stretch>
                                        </pic:blipFill>
                                        <pic:spPr bwMode="auto">
                                          <a:xfrm>
                                            <a:off x="0" y="0"/>
                                            <a:ext cx="476250" cy="733425"/>
                                          </a:xfrm>
                                          <a:prstGeom prst="rect">
                                            <a:avLst/>
                                          </a:prstGeom>
                                        </pic:spPr>
                                      </pic:pic>
                                    </a:graphicData>
                                  </a:graphic>
                                </wp:inline>
                              </w:drawing>
                            </w:r>
                            <w:r>
                              <w:rPr>
                                <w:caps w:val="false"/>
                                <w:smallCaps w:val="false"/>
                                <w:color w:val="EE0027"/>
                              </w:rPr>
                              <w:t> </w:t>
                            </w:r>
                          </w:p>
                          <w:p>
                            <w:pPr>
                              <w:pStyle w:val="TableContents"/>
                              <w:spacing w:before="0" w:after="0"/>
                              <w:jc w:val="center"/>
                              <w:rPr>
                                <w:caps w:val="false"/>
                                <w:smallCaps w:val="false"/>
                                <w:color w:val="EE0027"/>
                              </w:rPr>
                            </w:pPr>
                            <w:r>
                              <w:rPr>
                                <w:caps w:val="false"/>
                                <w:smallCaps w:val="false"/>
                                <w:color w:val="EE0027"/>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INNOVATION</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Figure out</w:t>
                              <w:br/>
                              <w:t>a better way</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drawing>
                                <wp:inline distT="0" distB="0" distL="0" distR="0">
                                  <wp:extent cx="762000" cy="790575"/>
                                  <wp:effectExtent l="0" t="0" r="0" b="0"/>
                                  <wp:docPr id="142"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70" descr=""/>
                                          <pic:cNvPicPr>
                                            <a:picLocks noChangeAspect="1" noChangeArrowheads="1"/>
                                          </pic:cNvPicPr>
                                        </pic:nvPicPr>
                                        <pic:blipFill>
                                          <a:blip r:embed="rId71"/>
                                          <a:stretch>
                                            <a:fillRect/>
                                          </a:stretch>
                                        </pic:blipFill>
                                        <pic:spPr bwMode="auto">
                                          <a:xfrm>
                                            <a:off x="0" y="0"/>
                                            <a:ext cx="762000" cy="790575"/>
                                          </a:xfrm>
                                          <a:prstGeom prst="rect">
                                            <a:avLst/>
                                          </a:prstGeom>
                                        </pic:spPr>
                                      </pic:pic>
                                    </a:graphicData>
                                  </a:graphic>
                                </wp:inline>
                              </w:drawing>
                            </w: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COLLABORATION</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Accomplish</w:t>
                              <w:br/>
                              <w:t>more together</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drawing>
                                <wp:inline distT="0" distB="0" distL="0" distR="0">
                                  <wp:extent cx="857250" cy="762000"/>
                                  <wp:effectExtent l="0" t="0" r="0" b="0"/>
                                  <wp:docPr id="143"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71" descr=""/>
                                          <pic:cNvPicPr>
                                            <a:picLocks noChangeAspect="1" noChangeArrowheads="1"/>
                                          </pic:cNvPicPr>
                                        </pic:nvPicPr>
                                        <pic:blipFill>
                                          <a:blip r:embed="rId72"/>
                                          <a:stretch>
                                            <a:fillRect/>
                                          </a:stretch>
                                        </pic:blipFill>
                                        <pic:spPr bwMode="auto">
                                          <a:xfrm>
                                            <a:off x="0" y="0"/>
                                            <a:ext cx="857250" cy="762000"/>
                                          </a:xfrm>
                                          <a:prstGeom prst="rect">
                                            <a:avLst/>
                                          </a:prstGeom>
                                        </pic:spPr>
                                      </pic:pic>
                                    </a:graphicData>
                                  </a:graphic>
                                </wp:inline>
                              </w:drawing>
                            </w: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EXECUTION</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Get it done</w:t>
                              <w:br/>
                              <w:t>outputs matter</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drawing>
                                <wp:inline distT="0" distB="0" distL="0" distR="0">
                                  <wp:extent cx="762000" cy="809625"/>
                                  <wp:effectExtent l="0" t="0" r="0" b="0"/>
                                  <wp:docPr id="144"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72" descr=""/>
                                          <pic:cNvPicPr>
                                            <a:picLocks noChangeAspect="1" noChangeArrowheads="1"/>
                                          </pic:cNvPicPr>
                                        </pic:nvPicPr>
                                        <pic:blipFill>
                                          <a:blip r:embed="rId73"/>
                                          <a:stretch>
                                            <a:fillRect/>
                                          </a:stretch>
                                        </pic:blipFill>
                                        <pic:spPr bwMode="auto">
                                          <a:xfrm>
                                            <a:off x="0" y="0"/>
                                            <a:ext cx="762000" cy="809625"/>
                                          </a:xfrm>
                                          <a:prstGeom prst="rect">
                                            <a:avLst/>
                                          </a:prstGeom>
                                        </pic:spPr>
                                      </pic:pic>
                                    </a:graphicData>
                                  </a:graphic>
                                </wp:inline>
                              </w:drawing>
                            </w: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INTEGRITY</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Do the</w:t>
                              <w:br/>
                              <w:t>right thing</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drawing>
                                <wp:inline distT="0" distB="0" distL="0" distR="0">
                                  <wp:extent cx="1428750" cy="981075"/>
                                  <wp:effectExtent l="0" t="0" r="0" b="0"/>
                                  <wp:docPr id="145"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73" descr=""/>
                                          <pic:cNvPicPr>
                                            <a:picLocks noChangeAspect="1" noChangeArrowheads="1"/>
                                          </pic:cNvPicPr>
                                        </pic:nvPicPr>
                                        <pic:blipFill>
                                          <a:blip r:embed="rId74"/>
                                          <a:stretch>
                                            <a:fillRect/>
                                          </a:stretch>
                                        </pic:blipFill>
                                        <pic:spPr bwMode="auto">
                                          <a:xfrm>
                                            <a:off x="0" y="0"/>
                                            <a:ext cx="1428750" cy="981075"/>
                                          </a:xfrm>
                                          <a:prstGeom prst="rect">
                                            <a:avLst/>
                                          </a:prstGeom>
                                        </pic:spPr>
                                      </pic:pic>
                                    </a:graphicData>
                                  </a:graphic>
                                </wp:inline>
                              </w:drawing>
                            </w:r>
                            <w:r>
                              <w:rPr>
                                <w:caps w:val="false"/>
                                <w:smallCaps w:val="false"/>
                                <w:color w:val="58595B"/>
                              </w:rPr>
                              <w:t> </w:t>
                            </w:r>
                          </w:p>
                          <w:p>
                            <w:pPr>
                              <w:pStyle w:val="TableContents"/>
                              <w:spacing w:before="0" w:after="0"/>
                              <w:jc w:val="center"/>
                              <w:rPr>
                                <w:caps w:val="false"/>
                                <w:smallCaps w:val="false"/>
                                <w:color w:val="58595B"/>
                              </w:rPr>
                            </w:pPr>
                            <w:r>
                              <w:rPr>
                                <w:caps w:val="false"/>
                                <w:smallCaps w:val="false"/>
                                <w:color w:val="58595B"/>
                              </w:rPr>
                              <w:t> </w:t>
                            </w:r>
                          </w:p>
                          <w:p>
                            <w:pPr>
                              <w:pStyle w:val="TableContents"/>
                              <w:spacing w:before="0" w:after="0"/>
                              <w:jc w:val="center"/>
                              <w:rPr>
                                <w:rFonts w:ascii="Arial;Helvetica;Sans-Serif" w:hAnsi="Arial;Helvetica;Sans-Serif"/>
                                <w:b/>
                                <w:i w:val="false"/>
                                <w:caps w:val="false"/>
                                <w:smallCaps w:val="false"/>
                                <w:color w:val="EE0027"/>
                                <w:sz w:val="18"/>
                              </w:rPr>
                            </w:pPr>
                            <w:r>
                              <w:rPr>
                                <w:rFonts w:ascii="Arial;Helvetica;Sans-Serif" w:hAnsi="Arial;Helvetica;Sans-Serif"/>
                                <w:b/>
                                <w:i w:val="false"/>
                                <w:caps w:val="false"/>
                                <w:smallCaps w:val="false"/>
                                <w:color w:val="EE0027"/>
                                <w:sz w:val="18"/>
                              </w:rPr>
                              <w:t>PEOPLE</w:t>
                            </w:r>
                          </w:p>
                          <w:p>
                            <w:pPr>
                              <w:pStyle w:val="TableContents"/>
                              <w:spacing w:before="0" w:after="0"/>
                              <w:jc w:val="center"/>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make</w:t>
                              <w:br/>
                              <w:t>the difference</w:t>
                            </w:r>
                          </w:p>
                          <w:p>
                            <w:pPr>
                              <w:pStyle w:val="TableContents"/>
                              <w:spacing w:before="0" w:after="0"/>
                              <w:jc w:val="center"/>
                              <w:rPr>
                                <w:caps w:val="false"/>
                                <w:smallCaps w:val="false"/>
                                <w:color w:val="58595B"/>
                              </w:rPr>
                            </w:pPr>
                            <w:r>
                              <w:rPr>
                                <w:caps w:val="false"/>
                                <w:smallCaps w:val="false"/>
                                <w:color w:val="58595B"/>
                              </w:rPr>
                              <w:t> </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1">
                <wp:simplePos x="0" y="0"/>
                <wp:positionH relativeFrom="column">
                  <wp:align>right</wp:align>
                </wp:positionH>
                <wp:positionV relativeFrom="line">
                  <wp:posOffset>635</wp:posOffset>
                </wp:positionV>
                <wp:extent cx="4211955" cy="6484620"/>
                <wp:effectExtent l="0" t="0" r="0" b="0"/>
                <wp:wrapSquare wrapText="largest"/>
                <wp:docPr id="146" name="Frame19"/>
                <a:graphic xmlns:a="http://schemas.openxmlformats.org/drawingml/2006/main">
                  <a:graphicData uri="http://schemas.microsoft.com/office/word/2010/wordprocessingShape">
                    <wps:wsp>
                      <wps:cNvSpPr txBox="1"/>
                      <wps:spPr>
                        <a:xfrm>
                          <a:off x="0" y="0"/>
                          <a:ext cx="4211955" cy="6484620"/>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28" w:name="a016"/>
                            <w:bookmarkEnd w:id="28"/>
                            <w:r>
                              <w:rPr>
                                <w:rFonts w:ascii="Arial;Helvetica;Sans-Serif" w:hAnsi="Arial;Helvetica;Sans-Serif"/>
                                <w:b/>
                                <w:i w:val="false"/>
                                <w:caps w:val="false"/>
                                <w:smallCaps w:val="false"/>
                                <w:color w:val="231F20"/>
                                <w:sz w:val="18"/>
                              </w:rPr>
                              <w:t>Employee Wellness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FLEETCOR’s benefits programs are designed to meet the evolving needs of a diverse workforce across the globe. Because we want our employees and their families to thrive, in additional to our regular benefit offerings, we focused on physical and mental well-being in 2022. During the year, we offered free, online fitness classes, sponsored the FLEETCOR Wellbeing Challenge, provided access to employee assistance programs in all regions, and celebrated Mental Health Awareness programs globally.</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29" w:name="a017"/>
                            <w:bookmarkEnd w:id="29"/>
                            <w:r>
                              <w:rPr>
                                <w:rFonts w:ascii="Arial;Helvetica;Sans-Serif" w:hAnsi="Arial;Helvetica;Sans-Serif"/>
                                <w:b/>
                                <w:i w:val="false"/>
                                <w:caps w:val="false"/>
                                <w:smallCaps w:val="false"/>
                                <w:color w:val="231F20"/>
                                <w:sz w:val="18"/>
                              </w:rPr>
                              <w:t>Talent Development</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offers a variety of high-quality learning opportunities, designed to support employee development and organizational effectiveness. Learning opportunities are available in all geographies at all levels, and incorporate personal, business and leadership skills development with the goal of empowering our organization, creating avenues for closing skill gaps, and enhancing the capabilities of our workforce. Leadership, teamwork, communication, and many other soft skills are vital to our success. We offer a wide variety of career opportunities and paths to advancement through on-the-job coaching, training, and education. We are proud to be a company where an associate can start as an intern and turn that experience into a successful career.</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30" w:name="a018"/>
                            <w:bookmarkEnd w:id="30"/>
                            <w:r>
                              <w:rPr>
                                <w:rFonts w:ascii="Arial;Helvetica;Sans-Serif" w:hAnsi="Arial;Helvetica;Sans-Serif"/>
                                <w:b/>
                                <w:i w:val="false"/>
                                <w:caps w:val="false"/>
                                <w:smallCaps w:val="false"/>
                                <w:color w:val="231F20"/>
                                <w:sz w:val="18"/>
                              </w:rPr>
                              <w:t>Voice of the Employee</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continue to develop and refine our people programs based on feedback we receive directly from our workforce, which we gather through a survey of all employees globally. The participation rate for our 2021 survey was approximately 75%. We believe our employee proposition remains strong and we continue to attract and retain top talent. We continue to share the detailed engagement scores across the organization, and analyze the results to understand differences by geography, demographics, job level, and leader, and to identify opportunities for further improvement. Throughout 2022, we conducted several additional pulse surveys to assess the ongoing engagement of our workforce. We are preparing to launch our 2023 survey in the coming weeks.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October 2020, FLEETCOR published its inaugural Corporate Responsibility &amp; Sustainability Report (CRS Report), in which we provided detailed information about the Company’s views and approaches regarding environmental, social and governance issues. We published a 2021 CRS Report in January 2022, which contains information incremental to our inaugural report and is therefore intended to be read in conjunction with that report. Our 2021 CRS Report includes further details related to our global talent strategy, DIB metrics, employee wellness and talent development. We are currently preparing our third CRS Report for publication later this year. Our CRS Reports may be accessed electronically at https://investor.fleetcor.com, in the governance section.</w:t>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510.6pt;mso-wrap-distance-left:0pt;mso-wrap-distance-right:0pt;mso-wrap-distance-top:0pt;mso-wrap-distance-bottom:0pt;margin-top:0pt;mso-position-vertical:top;mso-position-vertical-relative:text;margin-left:178.6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31" w:name="a016"/>
                      <w:bookmarkEnd w:id="31"/>
                      <w:r>
                        <w:rPr>
                          <w:rFonts w:ascii="Arial;Helvetica;Sans-Serif" w:hAnsi="Arial;Helvetica;Sans-Serif"/>
                          <w:b/>
                          <w:i w:val="false"/>
                          <w:caps w:val="false"/>
                          <w:smallCaps w:val="false"/>
                          <w:color w:val="231F20"/>
                          <w:sz w:val="18"/>
                        </w:rPr>
                        <w:t>Employee Wellness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FLEETCOR’s benefits programs are designed to meet the evolving needs of a diverse workforce across the globe. Because we want our employees and their families to thrive, in additional to our regular benefit offerings, we focused on physical and mental well-being in 2022. During the year, we offered free, online fitness classes, sponsored the FLEETCOR Wellbeing Challenge, provided access to employee assistance programs in all regions, and celebrated Mental Health Awareness programs globally.</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32" w:name="a017"/>
                      <w:bookmarkEnd w:id="32"/>
                      <w:r>
                        <w:rPr>
                          <w:rFonts w:ascii="Arial;Helvetica;Sans-Serif" w:hAnsi="Arial;Helvetica;Sans-Serif"/>
                          <w:b/>
                          <w:i w:val="false"/>
                          <w:caps w:val="false"/>
                          <w:smallCaps w:val="false"/>
                          <w:color w:val="231F20"/>
                          <w:sz w:val="18"/>
                        </w:rPr>
                        <w:t>Talent Development</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offers a variety of high-quality learning opportunities, designed to support employee development and organizational effectiveness. Learning opportunities are available in all geographies at all levels, and incorporate personal, business and leadership skills development with the goal of empowering our organization, creating avenues for closing skill gaps, and enhancing the capabilities of our workforce. Leadership, teamwork, communication, and many other soft skills are vital to our success. We offer a wide variety of career opportunities and paths to advancement through on-the-job coaching, training, and education. We are proud to be a company where an associate can start as an intern and turn that experience into a successful career.</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33" w:name="a018"/>
                      <w:bookmarkEnd w:id="33"/>
                      <w:r>
                        <w:rPr>
                          <w:rFonts w:ascii="Arial;Helvetica;Sans-Serif" w:hAnsi="Arial;Helvetica;Sans-Serif"/>
                          <w:b/>
                          <w:i w:val="false"/>
                          <w:caps w:val="false"/>
                          <w:smallCaps w:val="false"/>
                          <w:color w:val="231F20"/>
                          <w:sz w:val="18"/>
                        </w:rPr>
                        <w:t>Voice of the Employee</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continue to develop and refine our people programs based on feedback we receive directly from our workforce, which we gather through a survey of all employees globally. The participation rate for our 2021 survey was approximately 75%. We believe our employee proposition remains strong and we continue to attract and retain top talent. We continue to share the detailed engagement scores across the organization, and analyze the results to understand differences by geography, demographics, job level, and leader, and to identify opportunities for further improvement. Throughout 2022, we conducted several additional pulse surveys to assess the ongoing engagement of our workforce. We are preparing to launch our 2023 survey in the coming weeks.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October 2020, FLEETCOR published its inaugural Corporate Responsibility &amp; Sustainability Report (CRS Report), in which we provided detailed information about the Company’s views and approaches regarding environmental, social and governance issues. We published a 2021 CRS Report in January 2022, which contains information incremental to our inaugural report and is therefore intended to be read in conjunction with that report. Our 2021 CRS Report includes further details related to our global talent strategy, DIB metrics, employee wellness and talent development. We are currently preparing our third CRS Report for publication later this year. Our CRS Reports may be accessed electronically at https://investor.fleetcor.com, in the governance section.</w:t>
                      </w:r>
                    </w:p>
                  </w:txbxContent>
                </v:textbox>
                <w10:wrap type="square" side="left"/>
              </v:rect>
            </w:pict>
          </mc:Fallback>
        </mc:AlternateContent>
      </w:r>
    </w:p>
    <w:tbl>
      <w:tblPr>
        <w:tblW w:w="3835" w:type="dxa"/>
        <w:jc w:val="left"/>
        <w:tblInd w:w="0" w:type="dxa"/>
        <w:tblCellMar>
          <w:top w:w="0" w:type="dxa"/>
          <w:left w:w="0" w:type="dxa"/>
          <w:bottom w:w="0" w:type="dxa"/>
          <w:right w:w="0" w:type="dxa"/>
        </w:tblCellMar>
      </w:tblPr>
      <w:tblGrid>
        <w:gridCol w:w="215"/>
        <w:gridCol w:w="3620"/>
      </w:tblGrid>
      <w:tr>
        <w:trPr/>
        <w:tc>
          <w:tcPr>
            <w:tcW w:w="215" w:type="dxa"/>
            <w:tcBorders/>
            <w:shd w:fill="auto" w:val="clear"/>
            <w:vAlign w:val="center"/>
          </w:tcPr>
          <w:p>
            <w:pPr>
              <w:pStyle w:val="TableContents"/>
              <w:spacing w:before="0" w:after="283"/>
              <w:jc w:val="left"/>
              <w:rPr>
                <w:b/>
                <w:color w:val="58595B"/>
                <w:sz w:val="16"/>
              </w:rPr>
            </w:pPr>
            <w:r>
              <w:rPr>
                <w:b/>
                <w:color w:val="58595B"/>
                <w:sz w:val="16"/>
              </w:rPr>
              <w:t>10</w:t>
            </w:r>
          </w:p>
        </w:tc>
        <w:tc>
          <w:tcPr>
            <w:tcW w:w="3620" w:type="dxa"/>
            <w:tcBorders/>
            <w:shd w:fill="auto" w:val="clear"/>
            <w:vAlign w:val="center"/>
          </w:tcPr>
          <w:p>
            <w:pPr>
              <w:pStyle w:val="TableContents"/>
              <w:spacing w:before="0" w:after="283"/>
              <w:rPr>
                <w:color w:val="58595B"/>
                <w:sz w:val="16"/>
              </w:rPr>
            </w:pPr>
            <w:r>
              <w:rPr>
                <w:color w:val="58595B"/>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02.</w:t>
      </w:r>
      <w:r>
        <w:rPr>
          <w:rFonts w:ascii="Arial;Helvetica;Sans-Serif" w:hAnsi="Arial;Helvetica;Sans-Serif"/>
          <w:b w:val="false"/>
          <w:i w:val="false"/>
          <w:caps w:val="false"/>
          <w:smallCaps w:val="false"/>
          <w:sz w:val="20"/>
        </w:rPr>
        <w:t> </w:t>
      </w:r>
      <w:r>
        <w:rPr>
          <w:rFonts w:ascii="Arial;Helvetica;Sans-Serif" w:hAnsi="Arial;Helvetica;Sans-Serif"/>
          <w:b w:val="false"/>
          <w:i w:val="false"/>
          <w:caps w:val="false"/>
          <w:smallCaps w:val="false"/>
          <w:color w:val="EE0027"/>
          <w:sz w:val="20"/>
        </w:rPr>
        <w:t>FLEETCOR AT A GLANCE</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34" w:name="a019"/>
      <w:bookmarkEnd w:id="34"/>
      <w:r>
        <w:rPr>
          <w:rFonts w:ascii="Arial;Helvetica;Sans-Serif" w:hAnsi="Arial;Helvetica;Sans-Serif"/>
          <w:b/>
          <w:i w:val="false"/>
          <w:caps w:val="false"/>
          <w:smallCaps w:val="false"/>
          <w:color w:val="231F20"/>
          <w:sz w:val="18"/>
        </w:rPr>
        <w:t>Sustainability</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believe we should do our part to ensure environmental sustainability. To that end, we:</w:t>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4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74" descr=""/>
                          <pic:cNvPicPr>
                            <a:picLocks noChangeAspect="1" noChangeArrowheads="1"/>
                          </pic:cNvPicPr>
                        </pic:nvPicPr>
                        <pic:blipFill>
                          <a:blip r:embed="rId75"/>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 the UK, are registered with the Energy Savings Opportunity Scheme (ESOS) that assesses energy use and energy efficiency opportunities, including with respect to facilities, transportation and energy usage, at least once every four years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4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75" descr=""/>
                          <pic:cNvPicPr>
                            <a:picLocks noChangeAspect="1" noChangeArrowheads="1"/>
                          </pic:cNvPicPr>
                        </pic:nvPicPr>
                        <pic:blipFill>
                          <a:blip r:embed="rId7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 the UK, comply with the Streamlined Energy and Carbon Reporting (SECR) regulations with respect to energy consumption and carbon emissions</w:t>
            </w:r>
          </w:p>
        </w:tc>
      </w:tr>
    </w:tbl>
    <w:p>
      <w:pPr>
        <w:pStyle w:val="TextBody"/>
        <w:spacing w:before="0" w:after="0"/>
        <w:rPr>
          <w:caps w:val="false"/>
          <w:smallCaps w:val="false"/>
        </w:rPr>
      </w:pPr>
      <w:r>
        <w:rPr>
          <w:caps w:val="false"/>
          <w:smallCaps w:val="false"/>
        </w:rPr>
        <w:t> </w:t>
      </w:r>
    </w:p>
    <w:tbl>
      <w:tblPr>
        <w:tblW w:w="7138" w:type="dxa"/>
        <w:jc w:val="left"/>
        <w:tblInd w:w="0" w:type="dxa"/>
        <w:tblCellMar>
          <w:top w:w="0" w:type="dxa"/>
          <w:left w:w="0" w:type="dxa"/>
          <w:bottom w:w="0" w:type="dxa"/>
          <w:right w:w="0" w:type="dxa"/>
        </w:tblCellMar>
      </w:tblPr>
      <w:tblGrid>
        <w:gridCol w:w="38"/>
        <w:gridCol w:w="165"/>
        <w:gridCol w:w="693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4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76" descr=""/>
                          <pic:cNvPicPr>
                            <a:picLocks noChangeAspect="1" noChangeArrowheads="1"/>
                          </pic:cNvPicPr>
                        </pic:nvPicPr>
                        <pic:blipFill>
                          <a:blip r:embed="rId77"/>
                          <a:stretch>
                            <a:fillRect/>
                          </a:stretch>
                        </pic:blipFill>
                        <pic:spPr bwMode="auto">
                          <a:xfrm>
                            <a:off x="0" y="0"/>
                            <a:ext cx="104775" cy="85725"/>
                          </a:xfrm>
                          <a:prstGeom prst="rect">
                            <a:avLst/>
                          </a:prstGeom>
                        </pic:spPr>
                      </pic:pic>
                    </a:graphicData>
                  </a:graphic>
                </wp:inline>
              </w:drawing>
            </w:r>
          </w:p>
        </w:tc>
        <w:tc>
          <w:tcPr>
            <w:tcW w:w="693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Intend to continue strengthening our sustainability recording and reporting processes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5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77" descr=""/>
                          <pic:cNvPicPr>
                            <a:picLocks noChangeAspect="1" noChangeArrowheads="1"/>
                          </pic:cNvPicPr>
                        </pic:nvPicPr>
                        <pic:blipFill>
                          <a:blip r:embed="rId78"/>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Offer eco-friendly programs, including Clean Advantage® and EcoPoint, that provide our fleet card customers the opportunity to offset their fleets’ CO2 emissions through the purchase of carbon credits or the planting of new woodlands</w:t>
            </w:r>
          </w:p>
        </w:tc>
      </w:tr>
    </w:tbl>
    <w:p>
      <w:pPr>
        <w:pStyle w:val="TextBody"/>
        <w:spacing w:before="0" w:after="0"/>
        <w:rPr>
          <w:caps w:val="false"/>
          <w:smallCaps w:val="false"/>
        </w:rPr>
      </w:pPr>
      <w:r>
        <w:rPr>
          <w:caps w:val="false"/>
          <w:smallCaps w:val="false"/>
        </w:rPr>
        <w:t> </w:t>
      </w:r>
    </w:p>
    <w:tbl>
      <w:tblPr>
        <w:tblW w:w="10168" w:type="dxa"/>
        <w:jc w:val="left"/>
        <w:tblInd w:w="0" w:type="dxa"/>
        <w:tblCellMar>
          <w:top w:w="0" w:type="dxa"/>
          <w:left w:w="0" w:type="dxa"/>
          <w:bottom w:w="0" w:type="dxa"/>
          <w:right w:w="0" w:type="dxa"/>
        </w:tblCellMar>
      </w:tblPr>
      <w:tblGrid>
        <w:gridCol w:w="38"/>
        <w:gridCol w:w="165"/>
        <w:gridCol w:w="9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5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78" descr=""/>
                          <pic:cNvPicPr>
                            <a:picLocks noChangeAspect="1" noChangeArrowheads="1"/>
                          </pic:cNvPicPr>
                        </pic:nvPicPr>
                        <pic:blipFill>
                          <a:blip r:embed="rId79"/>
                          <a:stretch>
                            <a:fillRect/>
                          </a:stretch>
                        </pic:blipFill>
                        <pic:spPr bwMode="auto">
                          <a:xfrm>
                            <a:off x="0" y="0"/>
                            <a:ext cx="104775" cy="85725"/>
                          </a:xfrm>
                          <a:prstGeom prst="rect">
                            <a:avLst/>
                          </a:prstGeom>
                        </pic:spPr>
                      </pic:pic>
                    </a:graphicData>
                  </a:graphic>
                </wp:inline>
              </w:drawing>
            </w:r>
          </w:p>
        </w:tc>
        <w:tc>
          <w:tcPr>
            <w:tcW w:w="996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Enable fuel cards to pay for alternative energy, such as electricity and hydrogen, for vehicles which require such to operate</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5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79" descr=""/>
                          <pic:cNvPicPr>
                            <a:picLocks noChangeAspect="1" noChangeArrowheads="1"/>
                          </pic:cNvPicPr>
                        </pic:nvPicPr>
                        <pic:blipFill>
                          <a:blip r:embed="rId80"/>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Encourage customers to reduce paper consumption through electronic means, such as delivery of invoices, reports and other communications, payment of invoices, and document management</w:t>
            </w:r>
          </w:p>
        </w:tc>
      </w:tr>
    </w:tbl>
    <w:p>
      <w:pPr>
        <w:pStyle w:val="TextBody"/>
        <w:spacing w:before="0" w:after="0"/>
        <w:rPr>
          <w:caps w:val="false"/>
          <w:smallCaps w:val="false"/>
        </w:rPr>
      </w:pPr>
      <w:r>
        <w:rPr>
          <w:caps w:val="false"/>
          <w:smallCaps w:val="false"/>
        </w:rPr>
        <w:t> </w:t>
      </w:r>
    </w:p>
    <w:tbl>
      <w:tblPr>
        <w:tblW w:w="5113" w:type="dxa"/>
        <w:jc w:val="left"/>
        <w:tblInd w:w="0" w:type="dxa"/>
        <w:tblCellMar>
          <w:top w:w="0" w:type="dxa"/>
          <w:left w:w="0" w:type="dxa"/>
          <w:bottom w:w="0" w:type="dxa"/>
          <w:right w:w="0" w:type="dxa"/>
        </w:tblCellMar>
      </w:tblPr>
      <w:tblGrid>
        <w:gridCol w:w="38"/>
        <w:gridCol w:w="165"/>
        <w:gridCol w:w="491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5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80" descr=""/>
                          <pic:cNvPicPr>
                            <a:picLocks noChangeAspect="1" noChangeArrowheads="1"/>
                          </pic:cNvPicPr>
                        </pic:nvPicPr>
                        <pic:blipFill>
                          <a:blip r:embed="rId81"/>
                          <a:stretch>
                            <a:fillRect/>
                          </a:stretch>
                        </pic:blipFill>
                        <pic:spPr bwMode="auto">
                          <a:xfrm>
                            <a:off x="0" y="0"/>
                            <a:ext cx="104775" cy="85725"/>
                          </a:xfrm>
                          <a:prstGeom prst="rect">
                            <a:avLst/>
                          </a:prstGeom>
                        </pic:spPr>
                      </pic:pic>
                    </a:graphicData>
                  </a:graphic>
                </wp:inline>
              </w:drawing>
            </w:r>
          </w:p>
        </w:tc>
        <w:tc>
          <w:tcPr>
            <w:tcW w:w="491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Continue our multi-year initiative to consolidate data centers</w:t>
            </w:r>
          </w:p>
        </w:tc>
      </w:tr>
    </w:tbl>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15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81" descr=""/>
                          <pic:cNvPicPr>
                            <a:picLocks noChangeAspect="1" noChangeArrowheads="1"/>
                          </pic:cNvPicPr>
                        </pic:nvPicPr>
                        <pic:blipFill>
                          <a:blip r:embed="rId82"/>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Support workplace initiatives designed to reduce our impact on the environment, whether through reduced energy use or effective waste management, including the following:</w:t>
            </w:r>
          </w:p>
        </w:tc>
      </w:tr>
    </w:tbl>
    <w:p>
      <w:pPr>
        <w:pStyle w:val="TextBody"/>
        <w:spacing w:before="0" w:after="0"/>
        <w:rPr>
          <w:caps w:val="false"/>
          <w:smallCaps w:val="false"/>
        </w:rPr>
      </w:pPr>
      <w:r>
        <w:rPr>
          <w:caps w:val="false"/>
          <w:smallCaps w:val="false"/>
        </w:rPr>
        <w:t> </w:t>
      </w:r>
    </w:p>
    <w:tbl>
      <w:tblPr>
        <w:tblW w:w="7010" w:type="dxa"/>
        <w:jc w:val="left"/>
        <w:tblInd w:w="0" w:type="dxa"/>
        <w:shd w:fill="E7E7E8" w:val="clear"/>
        <w:tblCellMar>
          <w:top w:w="0" w:type="dxa"/>
          <w:left w:w="0" w:type="dxa"/>
          <w:bottom w:w="0" w:type="dxa"/>
          <w:right w:w="0" w:type="dxa"/>
        </w:tblCellMar>
      </w:tblPr>
      <w:tblGrid>
        <w:gridCol w:w="240"/>
        <w:gridCol w:w="6770"/>
      </w:tblGrid>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drawing>
                <wp:inline distT="0" distB="0" distL="0" distR="0">
                  <wp:extent cx="142875" cy="142875"/>
                  <wp:effectExtent l="0" t="0" r="0" b="0"/>
                  <wp:docPr id="15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82" descr=""/>
                          <pic:cNvPicPr>
                            <a:picLocks noChangeAspect="1" noChangeArrowheads="1"/>
                          </pic:cNvPicPr>
                        </pic:nvPicPr>
                        <pic:blipFill>
                          <a:blip r:embed="rId83"/>
                          <a:stretch>
                            <a:fillRect/>
                          </a:stretch>
                        </pic:blipFill>
                        <pic:spPr bwMode="auto">
                          <a:xfrm>
                            <a:off x="0" y="0"/>
                            <a:ext cx="142875" cy="142875"/>
                          </a:xfrm>
                          <a:prstGeom prst="rect">
                            <a:avLst/>
                          </a:prstGeom>
                        </pic:spPr>
                      </pic:pic>
                    </a:graphicData>
                  </a:graphic>
                </wp:inline>
              </w:drawing>
            </w:r>
          </w:p>
        </w:tc>
        <w:tc>
          <w:tcPr>
            <w:tcW w:w="6770" w:type="dxa"/>
            <w:tcBorders/>
            <w:shd w:fill="E7E7E8" w:val="clear"/>
            <w:vAlign w:val="center"/>
          </w:tcPr>
          <w:p>
            <w:pPr>
              <w:pStyle w:val="TableContents"/>
              <w:spacing w:before="0" w:after="283"/>
              <w:rPr>
                <w:rFonts w:ascii="Arial;Helvetica;Sans-Serif" w:hAnsi="Arial;Helvetica;Sans-Serif"/>
                <w:color w:val="58595B"/>
                <w:sz w:val="20"/>
              </w:rPr>
            </w:pPr>
            <w:r>
              <w:rPr>
                <w:rFonts w:ascii="Arial;Helvetica;Sans-Serif" w:hAnsi="Arial;Helvetica;Sans-Serif"/>
                <w:color w:val="58595B"/>
                <w:sz w:val="20"/>
              </w:rPr>
              <w:t>Motion sensor-controlled lighting</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drawing>
                <wp:inline distT="0" distB="0" distL="0" distR="0">
                  <wp:extent cx="142875" cy="142875"/>
                  <wp:effectExtent l="0" t="0" r="0" b="0"/>
                  <wp:docPr id="15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83" descr=""/>
                          <pic:cNvPicPr>
                            <a:picLocks noChangeAspect="1" noChangeArrowheads="1"/>
                          </pic:cNvPicPr>
                        </pic:nvPicPr>
                        <pic:blipFill>
                          <a:blip r:embed="rId84"/>
                          <a:stretch>
                            <a:fillRect/>
                          </a:stretch>
                        </pic:blipFill>
                        <pic:spPr bwMode="auto">
                          <a:xfrm>
                            <a:off x="0" y="0"/>
                            <a:ext cx="142875" cy="142875"/>
                          </a:xfrm>
                          <a:prstGeom prst="rect">
                            <a:avLst/>
                          </a:prstGeom>
                        </pic:spPr>
                      </pic:pic>
                    </a:graphicData>
                  </a:graphic>
                </wp:inline>
              </w:drawing>
            </w:r>
          </w:p>
        </w:tc>
        <w:tc>
          <w:tcPr>
            <w:tcW w:w="6770" w:type="dxa"/>
            <w:tcBorders/>
            <w:shd w:fill="E7E7E8" w:val="clear"/>
            <w:vAlign w:val="center"/>
          </w:tcPr>
          <w:p>
            <w:pPr>
              <w:pStyle w:val="TableContents"/>
              <w:spacing w:before="0" w:after="283"/>
              <w:rPr>
                <w:rFonts w:ascii="Arial;Helvetica;Sans-Serif" w:hAnsi="Arial;Helvetica;Sans-Serif"/>
                <w:color w:val="58595B"/>
                <w:sz w:val="20"/>
              </w:rPr>
            </w:pPr>
            <w:r>
              <w:rPr>
                <w:rFonts w:ascii="Arial;Helvetica;Sans-Serif" w:hAnsi="Arial;Helvetica;Sans-Serif"/>
                <w:color w:val="58595B"/>
                <w:sz w:val="20"/>
              </w:rPr>
              <w:t>LED lighting</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drawing>
                <wp:inline distT="0" distB="0" distL="0" distR="0">
                  <wp:extent cx="142875" cy="142875"/>
                  <wp:effectExtent l="0" t="0" r="0" b="0"/>
                  <wp:docPr id="15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84" descr=""/>
                          <pic:cNvPicPr>
                            <a:picLocks noChangeAspect="1" noChangeArrowheads="1"/>
                          </pic:cNvPicPr>
                        </pic:nvPicPr>
                        <pic:blipFill>
                          <a:blip r:embed="rId85"/>
                          <a:stretch>
                            <a:fillRect/>
                          </a:stretch>
                        </pic:blipFill>
                        <pic:spPr bwMode="auto">
                          <a:xfrm>
                            <a:off x="0" y="0"/>
                            <a:ext cx="142875" cy="142875"/>
                          </a:xfrm>
                          <a:prstGeom prst="rect">
                            <a:avLst/>
                          </a:prstGeom>
                        </pic:spPr>
                      </pic:pic>
                    </a:graphicData>
                  </a:graphic>
                </wp:inline>
              </w:drawing>
            </w:r>
          </w:p>
        </w:tc>
        <w:tc>
          <w:tcPr>
            <w:tcW w:w="6770" w:type="dxa"/>
            <w:tcBorders/>
            <w:shd w:fill="E7E7E8" w:val="clear"/>
            <w:vAlign w:val="center"/>
          </w:tcPr>
          <w:p>
            <w:pPr>
              <w:pStyle w:val="TableContents"/>
              <w:spacing w:before="0" w:after="283"/>
              <w:rPr>
                <w:rFonts w:ascii="Arial;Helvetica;Sans-Serif" w:hAnsi="Arial;Helvetica;Sans-Serif"/>
                <w:color w:val="58595B"/>
                <w:sz w:val="20"/>
              </w:rPr>
            </w:pPr>
            <w:r>
              <w:rPr>
                <w:rFonts w:ascii="Arial;Helvetica;Sans-Serif" w:hAnsi="Arial;Helvetica;Sans-Serif"/>
                <w:color w:val="58595B"/>
                <w:sz w:val="20"/>
              </w:rPr>
              <w:t>Time-controlled air conditioning</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drawing>
                <wp:inline distT="0" distB="0" distL="0" distR="0">
                  <wp:extent cx="142875" cy="142875"/>
                  <wp:effectExtent l="0" t="0" r="0" b="0"/>
                  <wp:docPr id="15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85" descr=""/>
                          <pic:cNvPicPr>
                            <a:picLocks noChangeAspect="1" noChangeArrowheads="1"/>
                          </pic:cNvPicPr>
                        </pic:nvPicPr>
                        <pic:blipFill>
                          <a:blip r:embed="rId86"/>
                          <a:stretch>
                            <a:fillRect/>
                          </a:stretch>
                        </pic:blipFill>
                        <pic:spPr bwMode="auto">
                          <a:xfrm>
                            <a:off x="0" y="0"/>
                            <a:ext cx="142875" cy="142875"/>
                          </a:xfrm>
                          <a:prstGeom prst="rect">
                            <a:avLst/>
                          </a:prstGeom>
                        </pic:spPr>
                      </pic:pic>
                    </a:graphicData>
                  </a:graphic>
                </wp:inline>
              </w:drawing>
            </w:r>
          </w:p>
        </w:tc>
        <w:tc>
          <w:tcPr>
            <w:tcW w:w="6770" w:type="dxa"/>
            <w:tcBorders/>
            <w:shd w:fill="E7E7E8" w:val="clear"/>
            <w:vAlign w:val="center"/>
          </w:tcPr>
          <w:p>
            <w:pPr>
              <w:pStyle w:val="TableContents"/>
              <w:spacing w:before="0" w:after="283"/>
              <w:rPr>
                <w:rFonts w:ascii="Arial;Helvetica;Sans-Serif" w:hAnsi="Arial;Helvetica;Sans-Serif"/>
                <w:color w:val="58595B"/>
                <w:sz w:val="20"/>
              </w:rPr>
            </w:pPr>
            <w:r>
              <w:rPr>
                <w:rFonts w:ascii="Arial;Helvetica;Sans-Serif" w:hAnsi="Arial;Helvetica;Sans-Serif"/>
                <w:color w:val="58595B"/>
                <w:sz w:val="20"/>
              </w:rPr>
              <w:t>Video &amp; telephone conferencing to reduce meeting-related travel</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drawing>
                <wp:inline distT="0" distB="0" distL="0" distR="0">
                  <wp:extent cx="142875" cy="142875"/>
                  <wp:effectExtent l="0" t="0" r="0" b="0"/>
                  <wp:docPr id="15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86" descr=""/>
                          <pic:cNvPicPr>
                            <a:picLocks noChangeAspect="1" noChangeArrowheads="1"/>
                          </pic:cNvPicPr>
                        </pic:nvPicPr>
                        <pic:blipFill>
                          <a:blip r:embed="rId87"/>
                          <a:stretch>
                            <a:fillRect/>
                          </a:stretch>
                        </pic:blipFill>
                        <pic:spPr bwMode="auto">
                          <a:xfrm>
                            <a:off x="0" y="0"/>
                            <a:ext cx="142875" cy="142875"/>
                          </a:xfrm>
                          <a:prstGeom prst="rect">
                            <a:avLst/>
                          </a:prstGeom>
                        </pic:spPr>
                      </pic:pic>
                    </a:graphicData>
                  </a:graphic>
                </wp:inline>
              </w:drawing>
            </w:r>
          </w:p>
        </w:tc>
        <w:tc>
          <w:tcPr>
            <w:tcW w:w="6770" w:type="dxa"/>
            <w:tcBorders/>
            <w:shd w:fill="E7E7E8" w:val="clear"/>
            <w:vAlign w:val="center"/>
          </w:tcPr>
          <w:p>
            <w:pPr>
              <w:pStyle w:val="TableContents"/>
              <w:spacing w:before="0" w:after="283"/>
              <w:rPr>
                <w:rFonts w:ascii="Arial;Helvetica;Sans-Serif" w:hAnsi="Arial;Helvetica;Sans-Serif"/>
                <w:color w:val="58595B"/>
                <w:sz w:val="20"/>
              </w:rPr>
            </w:pPr>
            <w:r>
              <w:rPr>
                <w:rFonts w:ascii="Arial;Helvetica;Sans-Serif" w:hAnsi="Arial;Helvetica;Sans-Serif"/>
                <w:color w:val="58595B"/>
                <w:sz w:val="20"/>
              </w:rPr>
              <w:t>Printing defaulted to double-sided</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drawing>
                <wp:inline distT="0" distB="0" distL="0" distR="0">
                  <wp:extent cx="142875" cy="142875"/>
                  <wp:effectExtent l="0" t="0" r="0" b="0"/>
                  <wp:docPr id="16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87" descr=""/>
                          <pic:cNvPicPr>
                            <a:picLocks noChangeAspect="1" noChangeArrowheads="1"/>
                          </pic:cNvPicPr>
                        </pic:nvPicPr>
                        <pic:blipFill>
                          <a:blip r:embed="rId88"/>
                          <a:stretch>
                            <a:fillRect/>
                          </a:stretch>
                        </pic:blipFill>
                        <pic:spPr bwMode="auto">
                          <a:xfrm>
                            <a:off x="0" y="0"/>
                            <a:ext cx="142875" cy="142875"/>
                          </a:xfrm>
                          <a:prstGeom prst="rect">
                            <a:avLst/>
                          </a:prstGeom>
                        </pic:spPr>
                      </pic:pic>
                    </a:graphicData>
                  </a:graphic>
                </wp:inline>
              </w:drawing>
            </w:r>
          </w:p>
        </w:tc>
        <w:tc>
          <w:tcPr>
            <w:tcW w:w="6770" w:type="dxa"/>
            <w:tcBorders/>
            <w:shd w:fill="E7E7E8" w:val="clear"/>
            <w:vAlign w:val="center"/>
          </w:tcPr>
          <w:p>
            <w:pPr>
              <w:pStyle w:val="TableContents"/>
              <w:spacing w:before="0" w:after="283"/>
              <w:rPr>
                <w:rFonts w:ascii="Arial;Helvetica;Sans-Serif" w:hAnsi="Arial;Helvetica;Sans-Serif"/>
                <w:color w:val="58595B"/>
                <w:sz w:val="20"/>
              </w:rPr>
            </w:pPr>
            <w:r>
              <w:rPr>
                <w:rFonts w:ascii="Arial;Helvetica;Sans-Serif" w:hAnsi="Arial;Helvetica;Sans-Serif"/>
                <w:color w:val="58595B"/>
                <w:sz w:val="20"/>
              </w:rPr>
              <w:t>Recycling</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drawing>
                <wp:inline distT="0" distB="0" distL="0" distR="0">
                  <wp:extent cx="142875" cy="142875"/>
                  <wp:effectExtent l="0" t="0" r="0" b="0"/>
                  <wp:docPr id="16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88" descr=""/>
                          <pic:cNvPicPr>
                            <a:picLocks noChangeAspect="1" noChangeArrowheads="1"/>
                          </pic:cNvPicPr>
                        </pic:nvPicPr>
                        <pic:blipFill>
                          <a:blip r:embed="rId89"/>
                          <a:stretch>
                            <a:fillRect/>
                          </a:stretch>
                        </pic:blipFill>
                        <pic:spPr bwMode="auto">
                          <a:xfrm>
                            <a:off x="0" y="0"/>
                            <a:ext cx="142875" cy="142875"/>
                          </a:xfrm>
                          <a:prstGeom prst="rect">
                            <a:avLst/>
                          </a:prstGeom>
                        </pic:spPr>
                      </pic:pic>
                    </a:graphicData>
                  </a:graphic>
                </wp:inline>
              </w:drawing>
            </w:r>
          </w:p>
        </w:tc>
        <w:tc>
          <w:tcPr>
            <w:tcW w:w="6770" w:type="dxa"/>
            <w:tcBorders/>
            <w:shd w:fill="E7E7E8" w:val="clear"/>
            <w:vAlign w:val="center"/>
          </w:tcPr>
          <w:p>
            <w:pPr>
              <w:pStyle w:val="TableContents"/>
              <w:spacing w:before="0" w:after="283"/>
              <w:rPr>
                <w:rFonts w:ascii="Arial;Helvetica;Sans-Serif" w:hAnsi="Arial;Helvetica;Sans-Serif"/>
                <w:color w:val="58595B"/>
                <w:sz w:val="20"/>
              </w:rPr>
            </w:pPr>
            <w:r>
              <w:rPr>
                <w:rFonts w:ascii="Arial;Helvetica;Sans-Serif" w:hAnsi="Arial;Helvetica;Sans-Serif"/>
                <w:color w:val="58595B"/>
                <w:sz w:val="20"/>
              </w:rPr>
              <w:t>Reusable cups and water bottles</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drawing>
                <wp:inline distT="0" distB="0" distL="0" distR="0">
                  <wp:extent cx="142875" cy="142875"/>
                  <wp:effectExtent l="0" t="0" r="0" b="0"/>
                  <wp:docPr id="16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89" descr=""/>
                          <pic:cNvPicPr>
                            <a:picLocks noChangeAspect="1" noChangeArrowheads="1"/>
                          </pic:cNvPicPr>
                        </pic:nvPicPr>
                        <pic:blipFill>
                          <a:blip r:embed="rId90"/>
                          <a:stretch>
                            <a:fillRect/>
                          </a:stretch>
                        </pic:blipFill>
                        <pic:spPr bwMode="auto">
                          <a:xfrm>
                            <a:off x="0" y="0"/>
                            <a:ext cx="142875" cy="142875"/>
                          </a:xfrm>
                          <a:prstGeom prst="rect">
                            <a:avLst/>
                          </a:prstGeom>
                        </pic:spPr>
                      </pic:pic>
                    </a:graphicData>
                  </a:graphic>
                </wp:inline>
              </w:drawing>
            </w:r>
          </w:p>
        </w:tc>
        <w:tc>
          <w:tcPr>
            <w:tcW w:w="6770" w:type="dxa"/>
            <w:tcBorders/>
            <w:shd w:fill="E7E7E8" w:val="clear"/>
            <w:vAlign w:val="center"/>
          </w:tcPr>
          <w:p>
            <w:pPr>
              <w:pStyle w:val="TableContents"/>
              <w:spacing w:before="0" w:after="283"/>
              <w:rPr>
                <w:rFonts w:ascii="Arial;Helvetica;Sans-Serif" w:hAnsi="Arial;Helvetica;Sans-Serif"/>
                <w:color w:val="58595B"/>
                <w:sz w:val="20"/>
              </w:rPr>
            </w:pPr>
            <w:r>
              <w:rPr>
                <w:rFonts w:ascii="Arial;Helvetica;Sans-Serif" w:hAnsi="Arial;Helvetica;Sans-Serif"/>
                <w:color w:val="58595B"/>
                <w:sz w:val="20"/>
              </w:rPr>
              <w:t>Disposal of hazardous waste, such as ink cartridges, batteries and light bulbs</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r>
        <w:trPr/>
        <w:tc>
          <w:tcPr>
            <w:tcW w:w="240" w:type="dxa"/>
            <w:tcBorders/>
            <w:shd w:fill="E7E7E8" w:val="clear"/>
            <w:vAlign w:val="center"/>
          </w:tcPr>
          <w:p>
            <w:pPr>
              <w:pStyle w:val="TableContents"/>
              <w:spacing w:before="0" w:after="283"/>
              <w:jc w:val="right"/>
              <w:rPr/>
            </w:pPr>
            <w:r>
              <w:rPr/>
              <w:t> </w:t>
            </w:r>
          </w:p>
        </w:tc>
        <w:tc>
          <w:tcPr>
            <w:tcW w:w="6770" w:type="dxa"/>
            <w:tcBorders/>
            <w:shd w:fill="E7E7E8" w:val="clear"/>
            <w:vAlign w:val="center"/>
          </w:tcPr>
          <w:p>
            <w:pPr>
              <w:pStyle w:val="TableContents"/>
              <w:spacing w:before="0" w:after="283"/>
              <w:rPr/>
            </w:pPr>
            <w:r>
              <w:rPr/>
              <w:t> </w:t>
            </w:r>
          </w:p>
        </w:tc>
      </w:tr>
    </w:tbl>
    <w:p>
      <w:pPr>
        <w:pStyle w:val="TextBody"/>
        <w:spacing w:before="0" w:after="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0"/>
              <w:jc w:val="righ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color w:val="58595B"/>
                <w:sz w:val="16"/>
              </w:rPr>
            </w:pPr>
            <w:r>
              <w:rPr>
                <w:rFonts w:ascii="Arial;Helvetica;Sans-Serif" w:hAnsi="Arial;Helvetica;Sans-Serif"/>
                <w:b/>
                <w:color w:val="58595B"/>
                <w:sz w:val="16"/>
              </w:rPr>
              <w:t>11</w:t>
            </w:r>
          </w:p>
        </w:tc>
      </w:tr>
    </w:tbl>
    <w:p>
      <w:pPr>
        <w:pStyle w:val="TextBody"/>
        <w:spacing w:before="0" w:after="0"/>
        <w:rPr>
          <w:caps w:val="false"/>
          <w:smallCaps w:val="false"/>
        </w:rPr>
      </w:pPr>
      <w:r>
        <w:rPr>
          <w:caps w:val="false"/>
          <w:smallCaps w:val="false"/>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rPr>
          <w:rFonts w:ascii="Arial;Helvetica;Sans-Serif" w:hAnsi="Arial;Helvetica;Sans-Serif"/>
          <w:b w:val="false"/>
          <w:i w:val="false"/>
          <w:caps w:val="false"/>
          <w:smallCaps w:val="false"/>
          <w:sz w:val="20"/>
        </w:rPr>
      </w:pPr>
      <w:bookmarkStart w:id="35" w:name="a020"/>
      <w:bookmarkEnd w:id="35"/>
      <w:r>
        <w:rPr>
          <w:rFonts w:ascii="Arial;Helvetica;Sans-Serif" w:hAnsi="Arial;Helvetica;Sans-Serif"/>
          <w:b/>
          <w:i w:val="false"/>
          <w:caps w:val="false"/>
          <w:smallCaps w:val="false"/>
          <w:sz w:val="20"/>
        </w:rPr>
        <w:t>03.</w:t>
      </w:r>
      <w:r>
        <w:rPr>
          <w:rFonts w:ascii="Arial;Helvetica;Sans-Serif" w:hAnsi="Arial;Helvetica;Sans-Serif"/>
          <w:b w:val="false"/>
          <w:i w:val="false"/>
          <w:caps w:val="false"/>
          <w:smallCaps w:val="false"/>
          <w:sz w:val="20"/>
        </w:rPr>
        <w:t> </w:t>
      </w:r>
      <w:r>
        <w:rPr>
          <w:rFonts w:ascii="Arial;Helvetica;Sans-Serif" w:hAnsi="Arial;Helvetica;Sans-Serif"/>
          <w:b w:val="false"/>
          <w:i w:val="false"/>
          <w:caps w:val="false"/>
          <w:smallCaps w:val="false"/>
          <w:color w:val="EE0027"/>
          <w:sz w:val="20"/>
        </w:rPr>
        <w:t>CORPORATE GOVERNANCE AND BOARD MATTERS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EE0027"/>
          <w:sz w:val="18"/>
        </w:rPr>
      </w:pPr>
      <w:bookmarkStart w:id="36" w:name="a021"/>
      <w:bookmarkEnd w:id="36"/>
      <w:r>
        <w:rPr>
          <w:rFonts w:ascii="Arial;Helvetica;Sans-Serif" w:hAnsi="Arial;Helvetica;Sans-Serif"/>
          <w:b/>
          <w:i w:val="false"/>
          <w:caps w:val="false"/>
          <w:smallCaps w:val="false"/>
          <w:color w:val="EE0027"/>
          <w:sz w:val="18"/>
        </w:rPr>
        <w:t>Our Board of Directors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currently consists of eleven highly experienced and engaged members. Except for our CEO, all of our directors are independent under the NYSE rules. We continually focus on Board composition to ensure an appropriate mix of tenure and expertise that provides fresh perspectives and significant industry and subject matter experience.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complexity of our global business requires oversight by experienced, informed individuals that understand the industry and challenges, and our Company on a deep level. Our directors’ diverse backgrounds contribute to an effective and well-balanced Board that is able to provide valuable insight to, and effective oversight of, our senior management team.</w:t>
      </w:r>
    </w:p>
    <w:p>
      <w:pPr>
        <w:pStyle w:val="TextBody"/>
        <w:spacing w:before="0" w:after="0"/>
        <w:rPr>
          <w:caps w:val="false"/>
          <w:smallCaps w:val="false"/>
          <w:color w:val="58595B"/>
        </w:rPr>
      </w:pPr>
      <w:r>
        <w:rPr>
          <w:caps w:val="false"/>
          <w:smallCaps w:val="false"/>
          <w:color w:val="58595B"/>
        </w:rPr>
        <w:t> </w:t>
      </w:r>
    </w:p>
    <w:p>
      <w:pPr>
        <w:pStyle w:val="TextBody"/>
        <w:spacing w:before="0" w:after="0"/>
        <w:jc w:val="center"/>
        <w:rPr>
          <w:caps w:val="false"/>
          <w:smallCaps w:val="false"/>
        </w:rPr>
      </w:pPr>
      <w:r>
        <w:rPr>
          <w:caps w:val="false"/>
          <w:smallCaps w:val="false"/>
        </w:rPr>
        <w:t> </w:t>
      </w:r>
      <w:r>
        <mc:AlternateContent>
          <mc:Choice Requires="wps">
            <w:drawing>
              <wp:anchor behindDoc="0" distT="0" distB="0" distL="0" distR="0" simplePos="0" locked="0" layoutInCell="1" allowOverlap="1" relativeHeight="62">
                <wp:simplePos x="0" y="0"/>
                <wp:positionH relativeFrom="column">
                  <wp:align>left</wp:align>
                </wp:positionH>
                <wp:positionV relativeFrom="line">
                  <wp:posOffset>635</wp:posOffset>
                </wp:positionV>
                <wp:extent cx="4211955" cy="5661025"/>
                <wp:effectExtent l="0" t="0" r="0" b="0"/>
                <wp:wrapSquare wrapText="largest"/>
                <wp:docPr id="163" name="Frame20"/>
                <a:graphic xmlns:a="http://schemas.openxmlformats.org/drawingml/2006/main">
                  <a:graphicData uri="http://schemas.microsoft.com/office/word/2010/wordprocessingShape">
                    <wps:wsp>
                      <wps:cNvSpPr txBox="1"/>
                      <wps:spPr>
                        <a:xfrm>
                          <a:off x="0" y="0"/>
                          <a:ext cx="4211955" cy="5661025"/>
                        </a:xfrm>
                        <a:prstGeom prst="rect"/>
                      </wps:spPr>
                      <wps:txbx>
                        <w:txbxContent>
                          <w:tbl>
                            <w:tblPr>
                              <w:tblW w:w="5815" w:type="dxa"/>
                              <w:jc w:val="left"/>
                              <w:tblInd w:w="0" w:type="dxa"/>
                              <w:tblCellMar>
                                <w:top w:w="0" w:type="dxa"/>
                                <w:left w:w="0" w:type="dxa"/>
                                <w:bottom w:w="0" w:type="dxa"/>
                                <w:right w:w="0" w:type="dxa"/>
                              </w:tblCellMar>
                            </w:tblPr>
                            <w:tblGrid>
                              <w:gridCol w:w="675"/>
                              <w:gridCol w:w="4505"/>
                              <w:gridCol w:w="635"/>
                            </w:tblGrid>
                            <w:tr>
                              <w:trPr/>
                              <w:tc>
                                <w:tcPr>
                                  <w:tcW w:w="675" w:type="dxa"/>
                                  <w:tcBorders/>
                                  <w:shd w:fill="EE0027" w:val="clear"/>
                                  <w:vAlign w:val="center"/>
                                </w:tcPr>
                                <w:p>
                                  <w:pPr>
                                    <w:pStyle w:val="TableContents"/>
                                    <w:spacing w:before="0" w:after="283"/>
                                    <w:jc w:val="center"/>
                                    <w:rPr/>
                                  </w:pPr>
                                  <w:r>
                                    <w:rPr/>
                                    <w:t> </w:t>
                                  </w:r>
                                </w:p>
                              </w:tc>
                              <w:tc>
                                <w:tcPr>
                                  <w:tcW w:w="4505" w:type="dxa"/>
                                  <w:tcBorders/>
                                  <w:shd w:fill="EE0027" w:val="clear"/>
                                  <w:vAlign w:val="center"/>
                                </w:tcPr>
                                <w:p>
                                  <w:pPr>
                                    <w:pStyle w:val="TableContents"/>
                                    <w:spacing w:before="0" w:after="283"/>
                                    <w:jc w:val="left"/>
                                    <w:rPr/>
                                  </w:pPr>
                                  <w:r>
                                    <w:rPr/>
                                    <w:t> </w:t>
                                  </w:r>
                                </w:p>
                              </w:tc>
                              <w:tc>
                                <w:tcPr>
                                  <w:tcW w:w="635" w:type="dxa"/>
                                  <w:tcBorders/>
                                  <w:shd w:fill="EE0027" w:val="clear"/>
                                  <w:vAlign w:val="center"/>
                                </w:tcPr>
                                <w:p>
                                  <w:pPr>
                                    <w:pStyle w:val="TableContents"/>
                                    <w:spacing w:before="0" w:after="283"/>
                                    <w:jc w:val="center"/>
                                    <w:rPr/>
                                  </w:pPr>
                                  <w:r>
                                    <w:rPr/>
                                    <w:t> </w:t>
                                  </w:r>
                                </w:p>
                              </w:tc>
                            </w:tr>
                            <w:tr>
                              <w:trPr/>
                              <w:tc>
                                <w:tcPr>
                                  <w:tcW w:w="5815" w:type="dxa"/>
                                  <w:gridSpan w:val="3"/>
                                  <w:tcBorders/>
                                  <w:shd w:fill="EE0027" w:val="clear"/>
                                  <w:vAlign w:val="center"/>
                                </w:tcPr>
                                <w:p>
                                  <w:pPr>
                                    <w:pStyle w:val="TableContents"/>
                                    <w:spacing w:before="0" w:after="283"/>
                                    <w:rPr>
                                      <w:rFonts w:ascii="Arial;Helvetica;Sans-Serif" w:hAnsi="Arial;Helvetica;Sans-Serif"/>
                                      <w:b/>
                                      <w:color w:val="FFFFFF"/>
                                      <w:sz w:val="20"/>
                                    </w:rPr>
                                  </w:pPr>
                                  <w:r>
                                    <w:rPr>
                                      <w:rFonts w:ascii="Arial;Helvetica;Sans-Serif" w:hAnsi="Arial;Helvetica;Sans-Serif"/>
                                      <w:b/>
                                      <w:color w:val="FFFFFF"/>
                                      <w:sz w:val="20"/>
                                    </w:rPr>
                                    <w:t>DIRECTOR EXPERIENCE</w:t>
                                  </w:r>
                                </w:p>
                              </w:tc>
                            </w:tr>
                            <w:tr>
                              <w:trPr/>
                              <w:tc>
                                <w:tcPr>
                                  <w:tcW w:w="675" w:type="dxa"/>
                                  <w:tcBorders/>
                                  <w:shd w:fill="EE0027" w:val="clear"/>
                                  <w:vAlign w:val="center"/>
                                </w:tcPr>
                                <w:p>
                                  <w:pPr>
                                    <w:pStyle w:val="TableContents"/>
                                    <w:spacing w:before="0" w:after="283"/>
                                    <w:jc w:val="center"/>
                                    <w:rPr/>
                                  </w:pPr>
                                  <w:r>
                                    <w:rPr/>
                                    <w:t> </w:t>
                                  </w:r>
                                </w:p>
                              </w:tc>
                              <w:tc>
                                <w:tcPr>
                                  <w:tcW w:w="4505" w:type="dxa"/>
                                  <w:tcBorders/>
                                  <w:shd w:fill="EE0027" w:val="clear"/>
                                  <w:vAlign w:val="center"/>
                                </w:tcPr>
                                <w:p>
                                  <w:pPr>
                                    <w:pStyle w:val="TableContents"/>
                                    <w:spacing w:before="0" w:after="283"/>
                                    <w:jc w:val="left"/>
                                    <w:rPr/>
                                  </w:pPr>
                                  <w:r>
                                    <w:rPr/>
                                    <w:t> </w:t>
                                  </w:r>
                                </w:p>
                              </w:tc>
                              <w:tc>
                                <w:tcPr>
                                  <w:tcW w:w="635" w:type="dxa"/>
                                  <w:tcBorders/>
                                  <w:shd w:fill="EE0027" w:val="clear"/>
                                  <w:vAlign w:val="center"/>
                                </w:tcPr>
                                <w:p>
                                  <w:pPr>
                                    <w:pStyle w:val="TableContents"/>
                                    <w:spacing w:before="0" w:after="283"/>
                                    <w:jc w:val="center"/>
                                    <w:rPr/>
                                  </w:pPr>
                                  <w:r>
                                    <w:rPr/>
                                    <w:t> </w:t>
                                  </w:r>
                                </w:p>
                              </w:tc>
                            </w:tr>
                            <w:tr>
                              <w:trPr/>
                              <w:tc>
                                <w:tcPr>
                                  <w:tcW w:w="675" w:type="dxa"/>
                                  <w:tcBorders/>
                                  <w:shd w:fill="auto" w:val="clear"/>
                                  <w:vAlign w:val="center"/>
                                </w:tcPr>
                                <w:p>
                                  <w:pPr>
                                    <w:pStyle w:val="TableContents"/>
                                    <w:spacing w:before="0" w:after="283"/>
                                    <w:jc w:val="center"/>
                                    <w:rPr/>
                                  </w:pPr>
                                  <w:r>
                                    <w:rPr/>
                                    <w:t> </w:t>
                                  </w:r>
                                </w:p>
                              </w:tc>
                              <w:tc>
                                <w:tcPr>
                                  <w:tcW w:w="4505"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283"/>
                                    <w:jc w:val="center"/>
                                    <w:rPr/>
                                  </w:pPr>
                                  <w:r>
                                    <w:rPr/>
                                    <w:t> </w:t>
                                  </w:r>
                                </w:p>
                              </w:tc>
                            </w:tr>
                            <w:tr>
                              <w:trPr/>
                              <w:tc>
                                <w:tcPr>
                                  <w:tcW w:w="675" w:type="dxa"/>
                                  <w:tcBorders/>
                                  <w:shd w:fill="auto" w:val="clear"/>
                                  <w:vAlign w:val="center"/>
                                </w:tcPr>
                                <w:p>
                                  <w:pPr>
                                    <w:pStyle w:val="TableContents"/>
                                    <w:spacing w:before="0" w:after="283"/>
                                    <w:jc w:val="center"/>
                                    <w:rPr/>
                                  </w:pPr>
                                  <w:r>
                                    <w:rPr/>
                                    <w:drawing>
                                      <wp:inline distT="0" distB="0" distL="0" distR="0">
                                        <wp:extent cx="333375" cy="333375"/>
                                        <wp:effectExtent l="0" t="0" r="0" b="0"/>
                                        <wp:docPr id="164"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90" descr=""/>
                                                <pic:cNvPicPr>
                                                  <a:picLocks noChangeAspect="1" noChangeArrowheads="1"/>
                                                </pic:cNvPicPr>
                                              </pic:nvPicPr>
                                              <pic:blipFill>
                                                <a:blip r:embed="rId91"/>
                                                <a:stretch>
                                                  <a:fillRect/>
                                                </a:stretch>
                                              </pic:blipFill>
                                              <pic:spPr bwMode="auto">
                                                <a:xfrm>
                                                  <a:off x="0" y="0"/>
                                                  <a:ext cx="333375" cy="333375"/>
                                                </a:xfrm>
                                                <a:prstGeom prst="rect">
                                                  <a:avLst/>
                                                </a:prstGeom>
                                              </pic:spPr>
                                            </pic:pic>
                                          </a:graphicData>
                                        </a:graphic>
                                      </wp:inline>
                                    </w:drawing>
                                  </w:r>
                                </w:p>
                              </w:tc>
                              <w:tc>
                                <w:tcPr>
                                  <w:tcW w:w="4505"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Payments, financial services and fintech</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Informed about industry </w:t>
                                  </w:r>
                                </w:p>
                              </w:tc>
                              <w:tc>
                                <w:tcPr>
                                  <w:tcW w:w="635" w:type="dxa"/>
                                  <w:tcBorders/>
                                  <w:shd w:fill="auto"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10 of 11</w:t>
                                  </w:r>
                                </w:p>
                              </w:tc>
                            </w:tr>
                            <w:tr>
                              <w:trPr/>
                              <w:tc>
                                <w:tcPr>
                                  <w:tcW w:w="675" w:type="dxa"/>
                                  <w:tcBorders/>
                                  <w:shd w:fill="DCDDDE" w:val="clear"/>
                                  <w:vAlign w:val="center"/>
                                </w:tcPr>
                                <w:p>
                                  <w:pPr>
                                    <w:pStyle w:val="TableContents"/>
                                    <w:spacing w:before="0" w:after="283"/>
                                    <w:jc w:val="center"/>
                                    <w:rPr/>
                                  </w:pPr>
                                  <w:r>
                                    <w:rPr/>
                                    <w:drawing>
                                      <wp:inline distT="0" distB="0" distL="0" distR="0">
                                        <wp:extent cx="428625" cy="304800"/>
                                        <wp:effectExtent l="0" t="0" r="0" b="0"/>
                                        <wp:docPr id="165"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91" descr=""/>
                                                <pic:cNvPicPr>
                                                  <a:picLocks noChangeAspect="1" noChangeArrowheads="1"/>
                                                </pic:cNvPicPr>
                                              </pic:nvPicPr>
                                              <pic:blipFill>
                                                <a:blip r:embed="rId92"/>
                                                <a:stretch>
                                                  <a:fillRect/>
                                                </a:stretch>
                                              </pic:blipFill>
                                              <pic:spPr bwMode="auto">
                                                <a:xfrm>
                                                  <a:off x="0" y="0"/>
                                                  <a:ext cx="428625" cy="304800"/>
                                                </a:xfrm>
                                                <a:prstGeom prst="rect">
                                                  <a:avLst/>
                                                </a:prstGeom>
                                              </pic:spPr>
                                            </pic:pic>
                                          </a:graphicData>
                                        </a:graphic>
                                      </wp:inline>
                                    </w:drawing>
                                  </w:r>
                                </w:p>
                              </w:tc>
                              <w:tc>
                                <w:tcPr>
                                  <w:tcW w:w="4505"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Finance &amp; accounting</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Understands the financial complexities of our business </w:t>
                                  </w:r>
                                </w:p>
                              </w:tc>
                              <w:tc>
                                <w:tcPr>
                                  <w:tcW w:w="635" w:type="dxa"/>
                                  <w:tcBorders/>
                                  <w:shd w:fill="DCDDDE"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9 of 11</w:t>
                                  </w:r>
                                </w:p>
                              </w:tc>
                            </w:tr>
                            <w:tr>
                              <w:trPr/>
                              <w:tc>
                                <w:tcPr>
                                  <w:tcW w:w="675" w:type="dxa"/>
                                  <w:tcBorders/>
                                  <w:shd w:fill="auto" w:val="clear"/>
                                  <w:vAlign w:val="center"/>
                                </w:tcPr>
                                <w:p>
                                  <w:pPr>
                                    <w:pStyle w:val="TableContents"/>
                                    <w:spacing w:before="0" w:after="283"/>
                                    <w:jc w:val="center"/>
                                    <w:rPr/>
                                  </w:pPr>
                                  <w:r>
                                    <w:rPr/>
                                    <w:drawing>
                                      <wp:inline distT="0" distB="0" distL="0" distR="0">
                                        <wp:extent cx="333375" cy="342900"/>
                                        <wp:effectExtent l="0" t="0" r="0" b="0"/>
                                        <wp:docPr id="166"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92" descr=""/>
                                                <pic:cNvPicPr>
                                                  <a:picLocks noChangeAspect="1" noChangeArrowheads="1"/>
                                                </pic:cNvPicPr>
                                              </pic:nvPicPr>
                                              <pic:blipFill>
                                                <a:blip r:embed="rId93"/>
                                                <a:stretch>
                                                  <a:fillRect/>
                                                </a:stretch>
                                              </pic:blipFill>
                                              <pic:spPr bwMode="auto">
                                                <a:xfrm>
                                                  <a:off x="0" y="0"/>
                                                  <a:ext cx="333375" cy="342900"/>
                                                </a:xfrm>
                                                <a:prstGeom prst="rect">
                                                  <a:avLst/>
                                                </a:prstGeom>
                                              </pic:spPr>
                                            </pic:pic>
                                          </a:graphicData>
                                        </a:graphic>
                                      </wp:inline>
                                    </w:drawing>
                                  </w:r>
                                </w:p>
                              </w:tc>
                              <w:tc>
                                <w:tcPr>
                                  <w:tcW w:w="4505"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Marketing &amp; advertising</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Participates in expanding our business and brand awareness </w:t>
                                  </w:r>
                                </w:p>
                              </w:tc>
                              <w:tc>
                                <w:tcPr>
                                  <w:tcW w:w="635" w:type="dxa"/>
                                  <w:tcBorders/>
                                  <w:shd w:fill="auto"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3 of 11</w:t>
                                  </w:r>
                                </w:p>
                              </w:tc>
                            </w:tr>
                            <w:tr>
                              <w:trPr/>
                              <w:tc>
                                <w:tcPr>
                                  <w:tcW w:w="675" w:type="dxa"/>
                                  <w:tcBorders/>
                                  <w:shd w:fill="DCDDDE" w:val="clear"/>
                                  <w:vAlign w:val="center"/>
                                </w:tcPr>
                                <w:p>
                                  <w:pPr>
                                    <w:pStyle w:val="TableContents"/>
                                    <w:spacing w:before="0" w:after="283"/>
                                    <w:jc w:val="center"/>
                                    <w:rPr/>
                                  </w:pPr>
                                  <w:r>
                                    <w:rPr/>
                                    <w:drawing>
                                      <wp:inline distT="0" distB="0" distL="0" distR="0">
                                        <wp:extent cx="333375" cy="342900"/>
                                        <wp:effectExtent l="0" t="0" r="0" b="0"/>
                                        <wp:docPr id="167"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93" descr=""/>
                                                <pic:cNvPicPr>
                                                  <a:picLocks noChangeAspect="1" noChangeArrowheads="1"/>
                                                </pic:cNvPicPr>
                                              </pic:nvPicPr>
                                              <pic:blipFill>
                                                <a:blip r:embed="rId94"/>
                                                <a:stretch>
                                                  <a:fillRect/>
                                                </a:stretch>
                                              </pic:blipFill>
                                              <pic:spPr bwMode="auto">
                                                <a:xfrm>
                                                  <a:off x="0" y="0"/>
                                                  <a:ext cx="333375" cy="342900"/>
                                                </a:xfrm>
                                                <a:prstGeom prst="rect">
                                                  <a:avLst/>
                                                </a:prstGeom>
                                              </pic:spPr>
                                            </pic:pic>
                                          </a:graphicData>
                                        </a:graphic>
                                      </wp:inline>
                                    </w:drawing>
                                  </w:r>
                                </w:p>
                              </w:tc>
                              <w:tc>
                                <w:tcPr>
                                  <w:tcW w:w="4505"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Technology &amp; innovation</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Equipped to respond to rapidly changing technology </w:t>
                                  </w:r>
                                </w:p>
                              </w:tc>
                              <w:tc>
                                <w:tcPr>
                                  <w:tcW w:w="635" w:type="dxa"/>
                                  <w:tcBorders/>
                                  <w:shd w:fill="DCDDDE"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10 of 11</w:t>
                                  </w:r>
                                </w:p>
                              </w:tc>
                            </w:tr>
                            <w:tr>
                              <w:trPr/>
                              <w:tc>
                                <w:tcPr>
                                  <w:tcW w:w="675" w:type="dxa"/>
                                  <w:tcBorders/>
                                  <w:shd w:fill="auto" w:val="clear"/>
                                  <w:vAlign w:val="center"/>
                                </w:tcPr>
                                <w:p>
                                  <w:pPr>
                                    <w:pStyle w:val="TableContents"/>
                                    <w:spacing w:before="0" w:after="283"/>
                                    <w:jc w:val="center"/>
                                    <w:rPr/>
                                  </w:pPr>
                                  <w:r>
                                    <w:rPr/>
                                    <w:drawing>
                                      <wp:inline distT="0" distB="0" distL="0" distR="0">
                                        <wp:extent cx="333375" cy="333375"/>
                                        <wp:effectExtent l="0" t="0" r="0" b="0"/>
                                        <wp:docPr id="168"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94" descr=""/>
                                                <pic:cNvPicPr>
                                                  <a:picLocks noChangeAspect="1" noChangeArrowheads="1"/>
                                                </pic:cNvPicPr>
                                              </pic:nvPicPr>
                                              <pic:blipFill>
                                                <a:blip r:embed="rId95"/>
                                                <a:stretch>
                                                  <a:fillRect/>
                                                </a:stretch>
                                              </pic:blipFill>
                                              <pic:spPr bwMode="auto">
                                                <a:xfrm>
                                                  <a:off x="0" y="0"/>
                                                  <a:ext cx="333375" cy="333375"/>
                                                </a:xfrm>
                                                <a:prstGeom prst="rect">
                                                  <a:avLst/>
                                                </a:prstGeom>
                                              </pic:spPr>
                                            </pic:pic>
                                          </a:graphicData>
                                        </a:graphic>
                                      </wp:inline>
                                    </w:drawing>
                                  </w:r>
                                </w:p>
                              </w:tc>
                              <w:tc>
                                <w:tcPr>
                                  <w:tcW w:w="4505"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Global business</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Able to navigate the global opportunities of our business </w:t>
                                  </w:r>
                                </w:p>
                              </w:tc>
                              <w:tc>
                                <w:tcPr>
                                  <w:tcW w:w="635" w:type="dxa"/>
                                  <w:tcBorders/>
                                  <w:shd w:fill="auto"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8 of 11</w:t>
                                  </w:r>
                                </w:p>
                              </w:tc>
                            </w:tr>
                            <w:tr>
                              <w:trPr/>
                              <w:tc>
                                <w:tcPr>
                                  <w:tcW w:w="675" w:type="dxa"/>
                                  <w:tcBorders/>
                                  <w:shd w:fill="DCDDDE" w:val="clear"/>
                                  <w:vAlign w:val="center"/>
                                </w:tcPr>
                                <w:p>
                                  <w:pPr>
                                    <w:pStyle w:val="TableContents"/>
                                    <w:spacing w:before="0" w:after="283"/>
                                    <w:jc w:val="center"/>
                                    <w:rPr/>
                                  </w:pPr>
                                  <w:r>
                                    <w:rPr/>
                                    <w:drawing>
                                      <wp:inline distT="0" distB="0" distL="0" distR="0">
                                        <wp:extent cx="285750" cy="361950"/>
                                        <wp:effectExtent l="0" t="0" r="0" b="0"/>
                                        <wp:docPr id="169"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95" descr=""/>
                                                <pic:cNvPicPr>
                                                  <a:picLocks noChangeAspect="1" noChangeArrowheads="1"/>
                                                </pic:cNvPicPr>
                                              </pic:nvPicPr>
                                              <pic:blipFill>
                                                <a:blip r:embed="rId96"/>
                                                <a:stretch>
                                                  <a:fillRect/>
                                                </a:stretch>
                                              </pic:blipFill>
                                              <pic:spPr bwMode="auto">
                                                <a:xfrm>
                                                  <a:off x="0" y="0"/>
                                                  <a:ext cx="285750" cy="361950"/>
                                                </a:xfrm>
                                                <a:prstGeom prst="rect">
                                                  <a:avLst/>
                                                </a:prstGeom>
                                              </pic:spPr>
                                            </pic:pic>
                                          </a:graphicData>
                                        </a:graphic>
                                      </wp:inline>
                                    </w:drawing>
                                  </w:r>
                                </w:p>
                              </w:tc>
                              <w:tc>
                                <w:tcPr>
                                  <w:tcW w:w="4505"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Cyber &amp; information security</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Committed to maintaining customers’ trust </w:t>
                                  </w:r>
                                </w:p>
                              </w:tc>
                              <w:tc>
                                <w:tcPr>
                                  <w:tcW w:w="635" w:type="dxa"/>
                                  <w:tcBorders/>
                                  <w:shd w:fill="DCDDDE"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5 of 11</w:t>
                                  </w:r>
                                </w:p>
                              </w:tc>
                            </w:tr>
                            <w:tr>
                              <w:trPr/>
                              <w:tc>
                                <w:tcPr>
                                  <w:tcW w:w="675" w:type="dxa"/>
                                  <w:tcBorders/>
                                  <w:shd w:fill="auto" w:val="clear"/>
                                  <w:vAlign w:val="center"/>
                                </w:tcPr>
                                <w:p>
                                  <w:pPr>
                                    <w:pStyle w:val="TableContents"/>
                                    <w:spacing w:before="0" w:after="283"/>
                                    <w:jc w:val="center"/>
                                    <w:rPr/>
                                  </w:pPr>
                                  <w:r>
                                    <w:rPr/>
                                    <w:drawing>
                                      <wp:inline distT="0" distB="0" distL="0" distR="0">
                                        <wp:extent cx="333375" cy="371475"/>
                                        <wp:effectExtent l="0" t="0" r="0" b="0"/>
                                        <wp:docPr id="170"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96" descr=""/>
                                                <pic:cNvPicPr>
                                                  <a:picLocks noChangeAspect="1" noChangeArrowheads="1"/>
                                                </pic:cNvPicPr>
                                              </pic:nvPicPr>
                                              <pic:blipFill>
                                                <a:blip r:embed="rId97"/>
                                                <a:stretch>
                                                  <a:fillRect/>
                                                </a:stretch>
                                              </pic:blipFill>
                                              <pic:spPr bwMode="auto">
                                                <a:xfrm>
                                                  <a:off x="0" y="0"/>
                                                  <a:ext cx="333375" cy="371475"/>
                                                </a:xfrm>
                                                <a:prstGeom prst="rect">
                                                  <a:avLst/>
                                                </a:prstGeom>
                                              </pic:spPr>
                                            </pic:pic>
                                          </a:graphicData>
                                        </a:graphic>
                                      </wp:inline>
                                    </w:drawing>
                                  </w:r>
                                </w:p>
                              </w:tc>
                              <w:tc>
                                <w:tcPr>
                                  <w:tcW w:w="4505"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Business development &amp; strategy</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Able to respond to fast-moving changes </w:t>
                                  </w:r>
                                </w:p>
                              </w:tc>
                              <w:tc>
                                <w:tcPr>
                                  <w:tcW w:w="635" w:type="dxa"/>
                                  <w:tcBorders/>
                                  <w:shd w:fill="auto"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9 of 11</w:t>
                                  </w:r>
                                </w:p>
                              </w:tc>
                            </w:tr>
                            <w:tr>
                              <w:trPr/>
                              <w:tc>
                                <w:tcPr>
                                  <w:tcW w:w="675" w:type="dxa"/>
                                  <w:tcBorders/>
                                  <w:shd w:fill="DCDDDE" w:val="clear"/>
                                  <w:vAlign w:val="center"/>
                                </w:tcPr>
                                <w:p>
                                  <w:pPr>
                                    <w:pStyle w:val="TableContents"/>
                                    <w:spacing w:before="0" w:after="283"/>
                                    <w:jc w:val="center"/>
                                    <w:rPr/>
                                  </w:pPr>
                                  <w:r>
                                    <w:rPr/>
                                    <w:drawing>
                                      <wp:inline distT="0" distB="0" distL="0" distR="0">
                                        <wp:extent cx="381000" cy="266700"/>
                                        <wp:effectExtent l="0" t="0" r="0" b="0"/>
                                        <wp:docPr id="171"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97" descr=""/>
                                                <pic:cNvPicPr>
                                                  <a:picLocks noChangeAspect="1" noChangeArrowheads="1"/>
                                                </pic:cNvPicPr>
                                              </pic:nvPicPr>
                                              <pic:blipFill>
                                                <a:blip r:embed="rId98"/>
                                                <a:stretch>
                                                  <a:fillRect/>
                                                </a:stretch>
                                              </pic:blipFill>
                                              <pic:spPr bwMode="auto">
                                                <a:xfrm>
                                                  <a:off x="0" y="0"/>
                                                  <a:ext cx="381000" cy="266700"/>
                                                </a:xfrm>
                                                <a:prstGeom prst="rect">
                                                  <a:avLst/>
                                                </a:prstGeom>
                                              </pic:spPr>
                                            </pic:pic>
                                          </a:graphicData>
                                        </a:graphic>
                                      </wp:inline>
                                    </w:drawing>
                                  </w:r>
                                </w:p>
                              </w:tc>
                              <w:tc>
                                <w:tcPr>
                                  <w:tcW w:w="4505"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Other public company leadership or board service</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Experienced in large-scale strategy and operations</w:t>
                                  </w:r>
                                </w:p>
                              </w:tc>
                              <w:tc>
                                <w:tcPr>
                                  <w:tcW w:w="635" w:type="dxa"/>
                                  <w:tcBorders/>
                                  <w:shd w:fill="DCDDDE"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9 of 11</w:t>
                                  </w:r>
                                </w:p>
                              </w:tc>
                            </w:tr>
                          </w:tbl>
                          <w:p>
                            <w:pPr>
                              <w:pStyle w:val="TextBody"/>
                              <w:spacing w:before="0" w:after="283"/>
                              <w:rPr/>
                            </w:pPr>
                            <w:r>
                              <w:rPr/>
                            </w:r>
                          </w:p>
                        </w:txbxContent>
                      </wps:txbx>
                      <wps:bodyPr anchor="t" lIns="0" tIns="0" rIns="0" bIns="0">
                        <a:noAutofit/>
                      </wps:bodyPr>
                    </wps:wsp>
                  </a:graphicData>
                </a:graphic>
                <wp14:sizeRelH relativeFrom="margin">
                  <wp14:pctWidth>65000</wp14:pctWidth>
                </wp14:sizeRelH>
              </wp:anchor>
            </w:drawing>
          </mc:Choice>
          <mc:Fallback>
            <w:pict>
              <v:rect style="position:absolute;rotation:0;width:331.65pt;height:445.75pt;mso-wrap-distance-left:0pt;mso-wrap-distance-right:0pt;mso-wrap-distance-top:0pt;mso-wrap-distance-bottom:0pt;margin-top:0pt;mso-position-vertical:top;mso-position-vertical-relative:text;margin-left:0pt;mso-position-horizontal:left;mso-position-horizontal-relative:text">
                <v:textbox>
                  <w:txbxContent>
                    <w:tbl>
                      <w:tblPr>
                        <w:tblW w:w="5815" w:type="dxa"/>
                        <w:jc w:val="left"/>
                        <w:tblInd w:w="0" w:type="dxa"/>
                        <w:tblCellMar>
                          <w:top w:w="0" w:type="dxa"/>
                          <w:left w:w="0" w:type="dxa"/>
                          <w:bottom w:w="0" w:type="dxa"/>
                          <w:right w:w="0" w:type="dxa"/>
                        </w:tblCellMar>
                      </w:tblPr>
                      <w:tblGrid>
                        <w:gridCol w:w="675"/>
                        <w:gridCol w:w="4505"/>
                        <w:gridCol w:w="635"/>
                      </w:tblGrid>
                      <w:tr>
                        <w:trPr/>
                        <w:tc>
                          <w:tcPr>
                            <w:tcW w:w="675" w:type="dxa"/>
                            <w:tcBorders/>
                            <w:shd w:fill="EE0027" w:val="clear"/>
                            <w:vAlign w:val="center"/>
                          </w:tcPr>
                          <w:p>
                            <w:pPr>
                              <w:pStyle w:val="TableContents"/>
                              <w:spacing w:before="0" w:after="283"/>
                              <w:jc w:val="center"/>
                              <w:rPr/>
                            </w:pPr>
                            <w:r>
                              <w:rPr/>
                              <w:t> </w:t>
                            </w:r>
                          </w:p>
                        </w:tc>
                        <w:tc>
                          <w:tcPr>
                            <w:tcW w:w="4505" w:type="dxa"/>
                            <w:tcBorders/>
                            <w:shd w:fill="EE0027" w:val="clear"/>
                            <w:vAlign w:val="center"/>
                          </w:tcPr>
                          <w:p>
                            <w:pPr>
                              <w:pStyle w:val="TableContents"/>
                              <w:spacing w:before="0" w:after="283"/>
                              <w:jc w:val="left"/>
                              <w:rPr/>
                            </w:pPr>
                            <w:r>
                              <w:rPr/>
                              <w:t> </w:t>
                            </w:r>
                          </w:p>
                        </w:tc>
                        <w:tc>
                          <w:tcPr>
                            <w:tcW w:w="635" w:type="dxa"/>
                            <w:tcBorders/>
                            <w:shd w:fill="EE0027" w:val="clear"/>
                            <w:vAlign w:val="center"/>
                          </w:tcPr>
                          <w:p>
                            <w:pPr>
                              <w:pStyle w:val="TableContents"/>
                              <w:spacing w:before="0" w:after="283"/>
                              <w:jc w:val="center"/>
                              <w:rPr/>
                            </w:pPr>
                            <w:r>
                              <w:rPr/>
                              <w:t> </w:t>
                            </w:r>
                          </w:p>
                        </w:tc>
                      </w:tr>
                      <w:tr>
                        <w:trPr/>
                        <w:tc>
                          <w:tcPr>
                            <w:tcW w:w="5815" w:type="dxa"/>
                            <w:gridSpan w:val="3"/>
                            <w:tcBorders/>
                            <w:shd w:fill="EE0027" w:val="clear"/>
                            <w:vAlign w:val="center"/>
                          </w:tcPr>
                          <w:p>
                            <w:pPr>
                              <w:pStyle w:val="TableContents"/>
                              <w:spacing w:before="0" w:after="283"/>
                              <w:rPr>
                                <w:rFonts w:ascii="Arial;Helvetica;Sans-Serif" w:hAnsi="Arial;Helvetica;Sans-Serif"/>
                                <w:b/>
                                <w:color w:val="FFFFFF"/>
                                <w:sz w:val="20"/>
                              </w:rPr>
                            </w:pPr>
                            <w:r>
                              <w:rPr>
                                <w:rFonts w:ascii="Arial;Helvetica;Sans-Serif" w:hAnsi="Arial;Helvetica;Sans-Serif"/>
                                <w:b/>
                                <w:color w:val="FFFFFF"/>
                                <w:sz w:val="20"/>
                              </w:rPr>
                              <w:t>DIRECTOR EXPERIENCE</w:t>
                            </w:r>
                          </w:p>
                        </w:tc>
                      </w:tr>
                      <w:tr>
                        <w:trPr/>
                        <w:tc>
                          <w:tcPr>
                            <w:tcW w:w="675" w:type="dxa"/>
                            <w:tcBorders/>
                            <w:shd w:fill="EE0027" w:val="clear"/>
                            <w:vAlign w:val="center"/>
                          </w:tcPr>
                          <w:p>
                            <w:pPr>
                              <w:pStyle w:val="TableContents"/>
                              <w:spacing w:before="0" w:after="283"/>
                              <w:jc w:val="center"/>
                              <w:rPr/>
                            </w:pPr>
                            <w:r>
                              <w:rPr/>
                              <w:t> </w:t>
                            </w:r>
                          </w:p>
                        </w:tc>
                        <w:tc>
                          <w:tcPr>
                            <w:tcW w:w="4505" w:type="dxa"/>
                            <w:tcBorders/>
                            <w:shd w:fill="EE0027" w:val="clear"/>
                            <w:vAlign w:val="center"/>
                          </w:tcPr>
                          <w:p>
                            <w:pPr>
                              <w:pStyle w:val="TableContents"/>
                              <w:spacing w:before="0" w:after="283"/>
                              <w:jc w:val="left"/>
                              <w:rPr/>
                            </w:pPr>
                            <w:r>
                              <w:rPr/>
                              <w:t> </w:t>
                            </w:r>
                          </w:p>
                        </w:tc>
                        <w:tc>
                          <w:tcPr>
                            <w:tcW w:w="635" w:type="dxa"/>
                            <w:tcBorders/>
                            <w:shd w:fill="EE0027" w:val="clear"/>
                            <w:vAlign w:val="center"/>
                          </w:tcPr>
                          <w:p>
                            <w:pPr>
                              <w:pStyle w:val="TableContents"/>
                              <w:spacing w:before="0" w:after="283"/>
                              <w:jc w:val="center"/>
                              <w:rPr/>
                            </w:pPr>
                            <w:r>
                              <w:rPr/>
                              <w:t> </w:t>
                            </w:r>
                          </w:p>
                        </w:tc>
                      </w:tr>
                      <w:tr>
                        <w:trPr/>
                        <w:tc>
                          <w:tcPr>
                            <w:tcW w:w="675" w:type="dxa"/>
                            <w:tcBorders/>
                            <w:shd w:fill="auto" w:val="clear"/>
                            <w:vAlign w:val="center"/>
                          </w:tcPr>
                          <w:p>
                            <w:pPr>
                              <w:pStyle w:val="TableContents"/>
                              <w:spacing w:before="0" w:after="283"/>
                              <w:jc w:val="center"/>
                              <w:rPr/>
                            </w:pPr>
                            <w:r>
                              <w:rPr/>
                              <w:t> </w:t>
                            </w:r>
                          </w:p>
                        </w:tc>
                        <w:tc>
                          <w:tcPr>
                            <w:tcW w:w="4505" w:type="dxa"/>
                            <w:tcBorders/>
                            <w:shd w:fill="auto" w:val="clear"/>
                            <w:vAlign w:val="center"/>
                          </w:tcPr>
                          <w:p>
                            <w:pPr>
                              <w:pStyle w:val="TableContents"/>
                              <w:spacing w:before="0" w:after="283"/>
                              <w:jc w:val="left"/>
                              <w:rPr/>
                            </w:pPr>
                            <w:r>
                              <w:rPr/>
                              <w:t> </w:t>
                            </w:r>
                          </w:p>
                        </w:tc>
                        <w:tc>
                          <w:tcPr>
                            <w:tcW w:w="635" w:type="dxa"/>
                            <w:tcBorders/>
                            <w:shd w:fill="auto" w:val="clear"/>
                            <w:vAlign w:val="center"/>
                          </w:tcPr>
                          <w:p>
                            <w:pPr>
                              <w:pStyle w:val="TableContents"/>
                              <w:spacing w:before="0" w:after="283"/>
                              <w:jc w:val="center"/>
                              <w:rPr/>
                            </w:pPr>
                            <w:r>
                              <w:rPr/>
                              <w:t> </w:t>
                            </w:r>
                          </w:p>
                        </w:tc>
                      </w:tr>
                      <w:tr>
                        <w:trPr/>
                        <w:tc>
                          <w:tcPr>
                            <w:tcW w:w="675" w:type="dxa"/>
                            <w:tcBorders/>
                            <w:shd w:fill="auto" w:val="clear"/>
                            <w:vAlign w:val="center"/>
                          </w:tcPr>
                          <w:p>
                            <w:pPr>
                              <w:pStyle w:val="TableContents"/>
                              <w:spacing w:before="0" w:after="283"/>
                              <w:jc w:val="center"/>
                              <w:rPr/>
                            </w:pPr>
                            <w:r>
                              <w:rPr/>
                              <w:drawing>
                                <wp:inline distT="0" distB="0" distL="0" distR="0">
                                  <wp:extent cx="333375" cy="333375"/>
                                  <wp:effectExtent l="0" t="0" r="0" b="0"/>
                                  <wp:docPr id="172"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90" descr=""/>
                                          <pic:cNvPicPr>
                                            <a:picLocks noChangeAspect="1" noChangeArrowheads="1"/>
                                          </pic:cNvPicPr>
                                        </pic:nvPicPr>
                                        <pic:blipFill>
                                          <a:blip r:embed="rId91"/>
                                          <a:stretch>
                                            <a:fillRect/>
                                          </a:stretch>
                                        </pic:blipFill>
                                        <pic:spPr bwMode="auto">
                                          <a:xfrm>
                                            <a:off x="0" y="0"/>
                                            <a:ext cx="333375" cy="333375"/>
                                          </a:xfrm>
                                          <a:prstGeom prst="rect">
                                            <a:avLst/>
                                          </a:prstGeom>
                                        </pic:spPr>
                                      </pic:pic>
                                    </a:graphicData>
                                  </a:graphic>
                                </wp:inline>
                              </w:drawing>
                            </w:r>
                          </w:p>
                        </w:tc>
                        <w:tc>
                          <w:tcPr>
                            <w:tcW w:w="4505"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Payments, financial services and fintech</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Informed about industry </w:t>
                            </w:r>
                          </w:p>
                        </w:tc>
                        <w:tc>
                          <w:tcPr>
                            <w:tcW w:w="635" w:type="dxa"/>
                            <w:tcBorders/>
                            <w:shd w:fill="auto"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10 of 11</w:t>
                            </w:r>
                          </w:p>
                        </w:tc>
                      </w:tr>
                      <w:tr>
                        <w:trPr/>
                        <w:tc>
                          <w:tcPr>
                            <w:tcW w:w="675" w:type="dxa"/>
                            <w:tcBorders/>
                            <w:shd w:fill="DCDDDE" w:val="clear"/>
                            <w:vAlign w:val="center"/>
                          </w:tcPr>
                          <w:p>
                            <w:pPr>
                              <w:pStyle w:val="TableContents"/>
                              <w:spacing w:before="0" w:after="283"/>
                              <w:jc w:val="center"/>
                              <w:rPr/>
                            </w:pPr>
                            <w:r>
                              <w:rPr/>
                              <w:drawing>
                                <wp:inline distT="0" distB="0" distL="0" distR="0">
                                  <wp:extent cx="428625" cy="304800"/>
                                  <wp:effectExtent l="0" t="0" r="0" b="0"/>
                                  <wp:docPr id="173"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91" descr=""/>
                                          <pic:cNvPicPr>
                                            <a:picLocks noChangeAspect="1" noChangeArrowheads="1"/>
                                          </pic:cNvPicPr>
                                        </pic:nvPicPr>
                                        <pic:blipFill>
                                          <a:blip r:embed="rId92"/>
                                          <a:stretch>
                                            <a:fillRect/>
                                          </a:stretch>
                                        </pic:blipFill>
                                        <pic:spPr bwMode="auto">
                                          <a:xfrm>
                                            <a:off x="0" y="0"/>
                                            <a:ext cx="428625" cy="304800"/>
                                          </a:xfrm>
                                          <a:prstGeom prst="rect">
                                            <a:avLst/>
                                          </a:prstGeom>
                                        </pic:spPr>
                                      </pic:pic>
                                    </a:graphicData>
                                  </a:graphic>
                                </wp:inline>
                              </w:drawing>
                            </w:r>
                          </w:p>
                        </w:tc>
                        <w:tc>
                          <w:tcPr>
                            <w:tcW w:w="4505"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Finance &amp; accounting</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Understands the financial complexities of our business </w:t>
                            </w:r>
                          </w:p>
                        </w:tc>
                        <w:tc>
                          <w:tcPr>
                            <w:tcW w:w="635" w:type="dxa"/>
                            <w:tcBorders/>
                            <w:shd w:fill="DCDDDE"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9 of 11</w:t>
                            </w:r>
                          </w:p>
                        </w:tc>
                      </w:tr>
                      <w:tr>
                        <w:trPr/>
                        <w:tc>
                          <w:tcPr>
                            <w:tcW w:w="675" w:type="dxa"/>
                            <w:tcBorders/>
                            <w:shd w:fill="auto" w:val="clear"/>
                            <w:vAlign w:val="center"/>
                          </w:tcPr>
                          <w:p>
                            <w:pPr>
                              <w:pStyle w:val="TableContents"/>
                              <w:spacing w:before="0" w:after="283"/>
                              <w:jc w:val="center"/>
                              <w:rPr/>
                            </w:pPr>
                            <w:r>
                              <w:rPr/>
                              <w:drawing>
                                <wp:inline distT="0" distB="0" distL="0" distR="0">
                                  <wp:extent cx="333375" cy="342900"/>
                                  <wp:effectExtent l="0" t="0" r="0" b="0"/>
                                  <wp:docPr id="174"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 name="Image92" descr=""/>
                                          <pic:cNvPicPr>
                                            <a:picLocks noChangeAspect="1" noChangeArrowheads="1"/>
                                          </pic:cNvPicPr>
                                        </pic:nvPicPr>
                                        <pic:blipFill>
                                          <a:blip r:embed="rId93"/>
                                          <a:stretch>
                                            <a:fillRect/>
                                          </a:stretch>
                                        </pic:blipFill>
                                        <pic:spPr bwMode="auto">
                                          <a:xfrm>
                                            <a:off x="0" y="0"/>
                                            <a:ext cx="333375" cy="342900"/>
                                          </a:xfrm>
                                          <a:prstGeom prst="rect">
                                            <a:avLst/>
                                          </a:prstGeom>
                                        </pic:spPr>
                                      </pic:pic>
                                    </a:graphicData>
                                  </a:graphic>
                                </wp:inline>
                              </w:drawing>
                            </w:r>
                          </w:p>
                        </w:tc>
                        <w:tc>
                          <w:tcPr>
                            <w:tcW w:w="4505"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Marketing &amp; advertising</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Participates in expanding our business and brand awareness </w:t>
                            </w:r>
                          </w:p>
                        </w:tc>
                        <w:tc>
                          <w:tcPr>
                            <w:tcW w:w="635" w:type="dxa"/>
                            <w:tcBorders/>
                            <w:shd w:fill="auto"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3 of 11</w:t>
                            </w:r>
                          </w:p>
                        </w:tc>
                      </w:tr>
                      <w:tr>
                        <w:trPr/>
                        <w:tc>
                          <w:tcPr>
                            <w:tcW w:w="675" w:type="dxa"/>
                            <w:tcBorders/>
                            <w:shd w:fill="DCDDDE" w:val="clear"/>
                            <w:vAlign w:val="center"/>
                          </w:tcPr>
                          <w:p>
                            <w:pPr>
                              <w:pStyle w:val="TableContents"/>
                              <w:spacing w:before="0" w:after="283"/>
                              <w:jc w:val="center"/>
                              <w:rPr/>
                            </w:pPr>
                            <w:r>
                              <w:rPr/>
                              <w:drawing>
                                <wp:inline distT="0" distB="0" distL="0" distR="0">
                                  <wp:extent cx="333375" cy="342900"/>
                                  <wp:effectExtent l="0" t="0" r="0" b="0"/>
                                  <wp:docPr id="175"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93" descr=""/>
                                          <pic:cNvPicPr>
                                            <a:picLocks noChangeAspect="1" noChangeArrowheads="1"/>
                                          </pic:cNvPicPr>
                                        </pic:nvPicPr>
                                        <pic:blipFill>
                                          <a:blip r:embed="rId94"/>
                                          <a:stretch>
                                            <a:fillRect/>
                                          </a:stretch>
                                        </pic:blipFill>
                                        <pic:spPr bwMode="auto">
                                          <a:xfrm>
                                            <a:off x="0" y="0"/>
                                            <a:ext cx="333375" cy="342900"/>
                                          </a:xfrm>
                                          <a:prstGeom prst="rect">
                                            <a:avLst/>
                                          </a:prstGeom>
                                        </pic:spPr>
                                      </pic:pic>
                                    </a:graphicData>
                                  </a:graphic>
                                </wp:inline>
                              </w:drawing>
                            </w:r>
                          </w:p>
                        </w:tc>
                        <w:tc>
                          <w:tcPr>
                            <w:tcW w:w="4505"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Technology &amp; innovation</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Equipped to respond to rapidly changing technology </w:t>
                            </w:r>
                          </w:p>
                        </w:tc>
                        <w:tc>
                          <w:tcPr>
                            <w:tcW w:w="635" w:type="dxa"/>
                            <w:tcBorders/>
                            <w:shd w:fill="DCDDDE"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10 of 11</w:t>
                            </w:r>
                          </w:p>
                        </w:tc>
                      </w:tr>
                      <w:tr>
                        <w:trPr/>
                        <w:tc>
                          <w:tcPr>
                            <w:tcW w:w="675" w:type="dxa"/>
                            <w:tcBorders/>
                            <w:shd w:fill="auto" w:val="clear"/>
                            <w:vAlign w:val="center"/>
                          </w:tcPr>
                          <w:p>
                            <w:pPr>
                              <w:pStyle w:val="TableContents"/>
                              <w:spacing w:before="0" w:after="283"/>
                              <w:jc w:val="center"/>
                              <w:rPr/>
                            </w:pPr>
                            <w:r>
                              <w:rPr/>
                              <w:drawing>
                                <wp:inline distT="0" distB="0" distL="0" distR="0">
                                  <wp:extent cx="333375" cy="333375"/>
                                  <wp:effectExtent l="0" t="0" r="0" b="0"/>
                                  <wp:docPr id="176"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Image94" descr=""/>
                                          <pic:cNvPicPr>
                                            <a:picLocks noChangeAspect="1" noChangeArrowheads="1"/>
                                          </pic:cNvPicPr>
                                        </pic:nvPicPr>
                                        <pic:blipFill>
                                          <a:blip r:embed="rId95"/>
                                          <a:stretch>
                                            <a:fillRect/>
                                          </a:stretch>
                                        </pic:blipFill>
                                        <pic:spPr bwMode="auto">
                                          <a:xfrm>
                                            <a:off x="0" y="0"/>
                                            <a:ext cx="333375" cy="333375"/>
                                          </a:xfrm>
                                          <a:prstGeom prst="rect">
                                            <a:avLst/>
                                          </a:prstGeom>
                                        </pic:spPr>
                                      </pic:pic>
                                    </a:graphicData>
                                  </a:graphic>
                                </wp:inline>
                              </w:drawing>
                            </w:r>
                          </w:p>
                        </w:tc>
                        <w:tc>
                          <w:tcPr>
                            <w:tcW w:w="4505"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Global business</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Able to navigate the global opportunities of our business </w:t>
                            </w:r>
                          </w:p>
                        </w:tc>
                        <w:tc>
                          <w:tcPr>
                            <w:tcW w:w="635" w:type="dxa"/>
                            <w:tcBorders/>
                            <w:shd w:fill="auto"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8 of 11</w:t>
                            </w:r>
                          </w:p>
                        </w:tc>
                      </w:tr>
                      <w:tr>
                        <w:trPr/>
                        <w:tc>
                          <w:tcPr>
                            <w:tcW w:w="675" w:type="dxa"/>
                            <w:tcBorders/>
                            <w:shd w:fill="DCDDDE" w:val="clear"/>
                            <w:vAlign w:val="center"/>
                          </w:tcPr>
                          <w:p>
                            <w:pPr>
                              <w:pStyle w:val="TableContents"/>
                              <w:spacing w:before="0" w:after="283"/>
                              <w:jc w:val="center"/>
                              <w:rPr/>
                            </w:pPr>
                            <w:r>
                              <w:rPr/>
                              <w:drawing>
                                <wp:inline distT="0" distB="0" distL="0" distR="0">
                                  <wp:extent cx="285750" cy="361950"/>
                                  <wp:effectExtent l="0" t="0" r="0" b="0"/>
                                  <wp:docPr id="177"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 name="Image95" descr=""/>
                                          <pic:cNvPicPr>
                                            <a:picLocks noChangeAspect="1" noChangeArrowheads="1"/>
                                          </pic:cNvPicPr>
                                        </pic:nvPicPr>
                                        <pic:blipFill>
                                          <a:blip r:embed="rId96"/>
                                          <a:stretch>
                                            <a:fillRect/>
                                          </a:stretch>
                                        </pic:blipFill>
                                        <pic:spPr bwMode="auto">
                                          <a:xfrm>
                                            <a:off x="0" y="0"/>
                                            <a:ext cx="285750" cy="361950"/>
                                          </a:xfrm>
                                          <a:prstGeom prst="rect">
                                            <a:avLst/>
                                          </a:prstGeom>
                                        </pic:spPr>
                                      </pic:pic>
                                    </a:graphicData>
                                  </a:graphic>
                                </wp:inline>
                              </w:drawing>
                            </w:r>
                          </w:p>
                        </w:tc>
                        <w:tc>
                          <w:tcPr>
                            <w:tcW w:w="4505"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Cyber &amp; information security</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Committed to maintaining customers’ trust </w:t>
                            </w:r>
                          </w:p>
                        </w:tc>
                        <w:tc>
                          <w:tcPr>
                            <w:tcW w:w="635" w:type="dxa"/>
                            <w:tcBorders/>
                            <w:shd w:fill="DCDDDE"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5 of 11</w:t>
                            </w:r>
                          </w:p>
                        </w:tc>
                      </w:tr>
                      <w:tr>
                        <w:trPr/>
                        <w:tc>
                          <w:tcPr>
                            <w:tcW w:w="675" w:type="dxa"/>
                            <w:tcBorders/>
                            <w:shd w:fill="auto" w:val="clear"/>
                            <w:vAlign w:val="center"/>
                          </w:tcPr>
                          <w:p>
                            <w:pPr>
                              <w:pStyle w:val="TableContents"/>
                              <w:spacing w:before="0" w:after="283"/>
                              <w:jc w:val="center"/>
                              <w:rPr/>
                            </w:pPr>
                            <w:r>
                              <w:rPr/>
                              <w:drawing>
                                <wp:inline distT="0" distB="0" distL="0" distR="0">
                                  <wp:extent cx="333375" cy="371475"/>
                                  <wp:effectExtent l="0" t="0" r="0" b="0"/>
                                  <wp:docPr id="178"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Image96" descr=""/>
                                          <pic:cNvPicPr>
                                            <a:picLocks noChangeAspect="1" noChangeArrowheads="1"/>
                                          </pic:cNvPicPr>
                                        </pic:nvPicPr>
                                        <pic:blipFill>
                                          <a:blip r:embed="rId97"/>
                                          <a:stretch>
                                            <a:fillRect/>
                                          </a:stretch>
                                        </pic:blipFill>
                                        <pic:spPr bwMode="auto">
                                          <a:xfrm>
                                            <a:off x="0" y="0"/>
                                            <a:ext cx="333375" cy="371475"/>
                                          </a:xfrm>
                                          <a:prstGeom prst="rect">
                                            <a:avLst/>
                                          </a:prstGeom>
                                        </pic:spPr>
                                      </pic:pic>
                                    </a:graphicData>
                                  </a:graphic>
                                </wp:inline>
                              </w:drawing>
                            </w:r>
                          </w:p>
                        </w:tc>
                        <w:tc>
                          <w:tcPr>
                            <w:tcW w:w="4505"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Business development &amp; strategy</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Able to respond to fast-moving changes </w:t>
                            </w:r>
                          </w:p>
                        </w:tc>
                        <w:tc>
                          <w:tcPr>
                            <w:tcW w:w="635" w:type="dxa"/>
                            <w:tcBorders/>
                            <w:shd w:fill="auto"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9 of 11</w:t>
                            </w:r>
                          </w:p>
                        </w:tc>
                      </w:tr>
                      <w:tr>
                        <w:trPr/>
                        <w:tc>
                          <w:tcPr>
                            <w:tcW w:w="675" w:type="dxa"/>
                            <w:tcBorders/>
                            <w:shd w:fill="DCDDDE" w:val="clear"/>
                            <w:vAlign w:val="center"/>
                          </w:tcPr>
                          <w:p>
                            <w:pPr>
                              <w:pStyle w:val="TableContents"/>
                              <w:spacing w:before="0" w:after="283"/>
                              <w:jc w:val="center"/>
                              <w:rPr/>
                            </w:pPr>
                            <w:r>
                              <w:rPr/>
                              <w:drawing>
                                <wp:inline distT="0" distB="0" distL="0" distR="0">
                                  <wp:extent cx="381000" cy="266700"/>
                                  <wp:effectExtent l="0" t="0" r="0" b="0"/>
                                  <wp:docPr id="179"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Image97" descr=""/>
                                          <pic:cNvPicPr>
                                            <a:picLocks noChangeAspect="1" noChangeArrowheads="1"/>
                                          </pic:cNvPicPr>
                                        </pic:nvPicPr>
                                        <pic:blipFill>
                                          <a:blip r:embed="rId98"/>
                                          <a:stretch>
                                            <a:fillRect/>
                                          </a:stretch>
                                        </pic:blipFill>
                                        <pic:spPr bwMode="auto">
                                          <a:xfrm>
                                            <a:off x="0" y="0"/>
                                            <a:ext cx="381000" cy="266700"/>
                                          </a:xfrm>
                                          <a:prstGeom prst="rect">
                                            <a:avLst/>
                                          </a:prstGeom>
                                        </pic:spPr>
                                      </pic:pic>
                                    </a:graphicData>
                                  </a:graphic>
                                </wp:inline>
                              </w:drawing>
                            </w:r>
                          </w:p>
                        </w:tc>
                        <w:tc>
                          <w:tcPr>
                            <w:tcW w:w="4505"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Other public company leadership or board service</w:t>
                            </w:r>
                          </w:p>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Experienced in large-scale strategy and operations</w:t>
                            </w:r>
                          </w:p>
                        </w:tc>
                        <w:tc>
                          <w:tcPr>
                            <w:tcW w:w="635" w:type="dxa"/>
                            <w:tcBorders/>
                            <w:shd w:fill="DCDDDE" w:val="clear"/>
                            <w:vAlign w:val="center"/>
                          </w:tcPr>
                          <w:p>
                            <w:pPr>
                              <w:pStyle w:val="TableContents"/>
                              <w:spacing w:before="0" w:after="283"/>
                              <w:jc w:val="center"/>
                              <w:rPr>
                                <w:rFonts w:ascii="Arial;Helvetica;Sans-Serif" w:hAnsi="Arial;Helvetica;Sans-Serif"/>
                                <w:b/>
                                <w:color w:val="231F20"/>
                                <w:sz w:val="16"/>
                              </w:rPr>
                            </w:pPr>
                            <w:r>
                              <w:rPr>
                                <w:rFonts w:ascii="Arial;Helvetica;Sans-Serif" w:hAnsi="Arial;Helvetica;Sans-Serif"/>
                                <w:b/>
                                <w:color w:val="231F20"/>
                                <w:sz w:val="16"/>
                              </w:rPr>
                              <w:t>9 of 11</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63">
                <wp:simplePos x="0" y="0"/>
                <wp:positionH relativeFrom="column">
                  <wp:align>right</wp:align>
                </wp:positionH>
                <wp:positionV relativeFrom="line">
                  <wp:posOffset>635</wp:posOffset>
                </wp:positionV>
                <wp:extent cx="1943735" cy="5019040"/>
                <wp:effectExtent l="0" t="0" r="0" b="0"/>
                <wp:wrapSquare wrapText="largest"/>
                <wp:docPr id="180" name="Frame21"/>
                <a:graphic xmlns:a="http://schemas.openxmlformats.org/drawingml/2006/main">
                  <a:graphicData uri="http://schemas.microsoft.com/office/word/2010/wordprocessingShape">
                    <wps:wsp>
                      <wps:cNvSpPr txBox="1"/>
                      <wps:spPr>
                        <a:xfrm>
                          <a:off x="0" y="0"/>
                          <a:ext cx="1943735" cy="5019040"/>
                        </a:xfrm>
                        <a:prstGeom prst="rect"/>
                      </wps:spPr>
                      <wps:txbx>
                        <w:txbxContent>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val="false"/>
                                <w:i w:val="false"/>
                                <w:caps w:val="false"/>
                                <w:smallCaps w:val="false"/>
                                <w:color w:val="6D6E71"/>
                                <w:sz w:val="18"/>
                              </w:rPr>
                            </w:pPr>
                            <w:r>
                              <w:rPr>
                                <w:rFonts w:ascii="Arial;Helvetica;Sans-Serif" w:hAnsi="Arial;Helvetica;Sans-Serif"/>
                                <w:b/>
                                <w:i w:val="false"/>
                                <w:caps w:val="false"/>
                                <w:smallCaps w:val="false"/>
                                <w:color w:val="6D6E71"/>
                                <w:sz w:val="18"/>
                              </w:rPr>
                              <w:t>Tenure*:</w:t>
                            </w:r>
                            <w:r>
                              <w:rPr>
                                <w:rFonts w:ascii="Arial;Helvetica;Sans-Serif" w:hAnsi="Arial;Helvetica;Sans-Serif"/>
                                <w:b w:val="false"/>
                                <w:i w:val="false"/>
                                <w:caps w:val="false"/>
                                <w:smallCaps w:val="false"/>
                                <w:color w:val="6D6E71"/>
                                <w:sz w:val="18"/>
                              </w:rPr>
                              <w:t> </w:t>
                            </w:r>
                          </w:p>
                          <w:p>
                            <w:pPr>
                              <w:pStyle w:val="TextBody"/>
                              <w:spacing w:before="0" w:after="0"/>
                              <w:jc w:val="center"/>
                              <w:rPr>
                                <w:rFonts w:ascii="Arial;Helvetica;Sans-Serif" w:hAnsi="Arial;Helvetica;Sans-Serif"/>
                                <w:b/>
                                <w:i w:val="false"/>
                                <w:caps w:val="false"/>
                                <w:smallCaps w:val="false"/>
                                <w:color w:val="6D6E71"/>
                                <w:sz w:val="18"/>
                              </w:rPr>
                            </w:pPr>
                            <w:r>
                              <w:rPr>
                                <w:rFonts w:ascii="Arial;Helvetica;Sans-Serif" w:hAnsi="Arial;Helvetica;Sans-Serif"/>
                                <w:b/>
                                <w:i w:val="false"/>
                                <w:caps w:val="false"/>
                                <w:smallCaps w:val="false"/>
                                <w:color w:val="6D6E71"/>
                                <w:sz w:val="18"/>
                              </w:rPr>
                              <w:t>8 Years Average</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428750" cy="1428750"/>
                                  <wp:effectExtent l="0" t="0" r="0" b="0"/>
                                  <wp:docPr id="18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Image98" descr=""/>
                                          <pic:cNvPicPr>
                                            <a:picLocks noChangeAspect="1" noChangeArrowheads="1"/>
                                          </pic:cNvPicPr>
                                        </pic:nvPicPr>
                                        <pic:blipFill>
                                          <a:blip r:embed="rId99"/>
                                          <a:stretch>
                                            <a:fillRect/>
                                          </a:stretch>
                                        </pic:blipFill>
                                        <pic:spPr bwMode="auto">
                                          <a:xfrm>
                                            <a:off x="0" y="0"/>
                                            <a:ext cx="1428750" cy="1428750"/>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 xml:space="preserve">*Since Company IPO in 2010 </w:t>
                              <w:br/>
                              <w:t>and through 2023</w:t>
                            </w:r>
                          </w:p>
                          <w:p>
                            <w:pPr>
                              <w:pStyle w:val="TextBody"/>
                              <w:spacing w:before="0" w:after="0"/>
                              <w:jc w:val="center"/>
                              <w:rPr>
                                <w:caps w:val="false"/>
                                <w:smallCaps w:val="false"/>
                                <w:color w:val="58595B"/>
                              </w:rPr>
                            </w:pPr>
                            <w:r>
                              <w:rPr>
                                <w:caps w:val="false"/>
                                <w:smallCaps w:val="false"/>
                                <w:color w:val="58595B"/>
                              </w:rPr>
                              <w:t> </w:t>
                            </w:r>
                          </w:p>
                          <w:p>
                            <w:pPr>
                              <w:pStyle w:val="TextBody"/>
                              <w:spacing w:before="0" w:after="0"/>
                              <w:jc w:val="center"/>
                              <w:rPr>
                                <w:rFonts w:ascii="Arial;Helvetica;Sans-Serif" w:hAnsi="Arial;Helvetica;Sans-Serif"/>
                                <w:b/>
                                <w:i w:val="false"/>
                                <w:caps w:val="false"/>
                                <w:smallCaps w:val="false"/>
                                <w:color w:val="6D6E71"/>
                                <w:sz w:val="18"/>
                              </w:rPr>
                            </w:pPr>
                            <w:r>
                              <w:rPr>
                                <w:rFonts w:ascii="Arial;Helvetica;Sans-Serif" w:hAnsi="Arial;Helvetica;Sans-Serif"/>
                                <w:b/>
                                <w:i w:val="false"/>
                                <w:caps w:val="false"/>
                                <w:smallCaps w:val="false"/>
                                <w:color w:val="6D6E71"/>
                                <w:sz w:val="18"/>
                              </w:rPr>
                              <w:t>Age: 65 Average</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428750" cy="1428750"/>
                                  <wp:effectExtent l="0" t="0" r="0" b="0"/>
                                  <wp:docPr id="18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Image99" descr=""/>
                                          <pic:cNvPicPr>
                                            <a:picLocks noChangeAspect="1" noChangeArrowheads="1"/>
                                          </pic:cNvPicPr>
                                        </pic:nvPicPr>
                                        <pic:blipFill>
                                          <a:blip r:embed="rId100"/>
                                          <a:stretch>
                                            <a:fillRect/>
                                          </a:stretch>
                                        </pic:blipFill>
                                        <pic:spPr bwMode="auto">
                                          <a:xfrm>
                                            <a:off x="0" y="0"/>
                                            <a:ext cx="1428750" cy="1428750"/>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txbxContent>
                      </wps:txbx>
                      <wps:bodyPr anchor="t" lIns="0" tIns="0" rIns="0" bIns="0">
                        <a:noAutofit/>
                      </wps:bodyPr>
                    </wps:wsp>
                  </a:graphicData>
                </a:graphic>
                <wp14:sizeRelH relativeFrom="margin">
                  <wp14:pctWidth>30000</wp14:pctWidth>
                </wp14:sizeRelH>
              </wp:anchor>
            </w:drawing>
          </mc:Choice>
          <mc:Fallback>
            <w:pict>
              <v:rect style="position:absolute;rotation:0;width:153.05pt;height:395.2pt;mso-wrap-distance-left:0pt;mso-wrap-distance-right:0pt;mso-wrap-distance-top:0pt;mso-wrap-distance-bottom:0pt;margin-top:0pt;mso-position-vertical:top;mso-position-vertical-relative:text;margin-left:357.2pt;mso-position-horizontal:right;mso-position-horizontal-relative:text">
                <v:textbox>
                  <w:txbxContent>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sz w:val="18"/>
                        </w:rPr>
                      </w:pPr>
                      <w:r>
                        <w:rPr>
                          <w:rFonts w:ascii="Arial;Helvetica;Sans-Serif" w:hAnsi="Arial;Helvetica;Sans-Serif"/>
                          <w:b/>
                          <w:sz w:val="18"/>
                        </w:rPr>
                      </w:r>
                    </w:p>
                    <w:p>
                      <w:pPr>
                        <w:pStyle w:val="TextBody"/>
                        <w:spacing w:before="0" w:after="0"/>
                        <w:jc w:val="center"/>
                        <w:rPr>
                          <w:rFonts w:ascii="Arial;Helvetica;Sans-Serif" w:hAnsi="Arial;Helvetica;Sans-Serif"/>
                          <w:b w:val="false"/>
                          <w:i w:val="false"/>
                          <w:caps w:val="false"/>
                          <w:smallCaps w:val="false"/>
                          <w:color w:val="6D6E71"/>
                          <w:sz w:val="18"/>
                        </w:rPr>
                      </w:pPr>
                      <w:r>
                        <w:rPr>
                          <w:rFonts w:ascii="Arial;Helvetica;Sans-Serif" w:hAnsi="Arial;Helvetica;Sans-Serif"/>
                          <w:b/>
                          <w:i w:val="false"/>
                          <w:caps w:val="false"/>
                          <w:smallCaps w:val="false"/>
                          <w:color w:val="6D6E71"/>
                          <w:sz w:val="18"/>
                        </w:rPr>
                        <w:t>Tenure*:</w:t>
                      </w:r>
                      <w:r>
                        <w:rPr>
                          <w:rFonts w:ascii="Arial;Helvetica;Sans-Serif" w:hAnsi="Arial;Helvetica;Sans-Serif"/>
                          <w:b w:val="false"/>
                          <w:i w:val="false"/>
                          <w:caps w:val="false"/>
                          <w:smallCaps w:val="false"/>
                          <w:color w:val="6D6E71"/>
                          <w:sz w:val="18"/>
                        </w:rPr>
                        <w:t> </w:t>
                      </w:r>
                    </w:p>
                    <w:p>
                      <w:pPr>
                        <w:pStyle w:val="TextBody"/>
                        <w:spacing w:before="0" w:after="0"/>
                        <w:jc w:val="center"/>
                        <w:rPr>
                          <w:rFonts w:ascii="Arial;Helvetica;Sans-Serif" w:hAnsi="Arial;Helvetica;Sans-Serif"/>
                          <w:b/>
                          <w:i w:val="false"/>
                          <w:caps w:val="false"/>
                          <w:smallCaps w:val="false"/>
                          <w:color w:val="6D6E71"/>
                          <w:sz w:val="18"/>
                        </w:rPr>
                      </w:pPr>
                      <w:r>
                        <w:rPr>
                          <w:rFonts w:ascii="Arial;Helvetica;Sans-Serif" w:hAnsi="Arial;Helvetica;Sans-Serif"/>
                          <w:b/>
                          <w:i w:val="false"/>
                          <w:caps w:val="false"/>
                          <w:smallCaps w:val="false"/>
                          <w:color w:val="6D6E71"/>
                          <w:sz w:val="18"/>
                        </w:rPr>
                        <w:t>8 Years Average</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428750" cy="1428750"/>
                            <wp:effectExtent l="0" t="0" r="0" b="0"/>
                            <wp:docPr id="18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Image98" descr=""/>
                                    <pic:cNvPicPr>
                                      <a:picLocks noChangeAspect="1" noChangeArrowheads="1"/>
                                    </pic:cNvPicPr>
                                  </pic:nvPicPr>
                                  <pic:blipFill>
                                    <a:blip r:embed="rId99"/>
                                    <a:stretch>
                                      <a:fillRect/>
                                    </a:stretch>
                                  </pic:blipFill>
                                  <pic:spPr bwMode="auto">
                                    <a:xfrm>
                                      <a:off x="0" y="0"/>
                                      <a:ext cx="1428750" cy="1428750"/>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 xml:space="preserve">*Since Company IPO in 2010 </w:t>
                        <w:br/>
                        <w:t>and through 2023</w:t>
                      </w:r>
                    </w:p>
                    <w:p>
                      <w:pPr>
                        <w:pStyle w:val="TextBody"/>
                        <w:spacing w:before="0" w:after="0"/>
                        <w:jc w:val="center"/>
                        <w:rPr>
                          <w:caps w:val="false"/>
                          <w:smallCaps w:val="false"/>
                          <w:color w:val="58595B"/>
                        </w:rPr>
                      </w:pPr>
                      <w:r>
                        <w:rPr>
                          <w:caps w:val="false"/>
                          <w:smallCaps w:val="false"/>
                          <w:color w:val="58595B"/>
                        </w:rPr>
                        <w:t> </w:t>
                      </w:r>
                    </w:p>
                    <w:p>
                      <w:pPr>
                        <w:pStyle w:val="TextBody"/>
                        <w:spacing w:before="0" w:after="0"/>
                        <w:jc w:val="center"/>
                        <w:rPr>
                          <w:rFonts w:ascii="Arial;Helvetica;Sans-Serif" w:hAnsi="Arial;Helvetica;Sans-Serif"/>
                          <w:b/>
                          <w:i w:val="false"/>
                          <w:caps w:val="false"/>
                          <w:smallCaps w:val="false"/>
                          <w:color w:val="6D6E71"/>
                          <w:sz w:val="18"/>
                        </w:rPr>
                      </w:pPr>
                      <w:r>
                        <w:rPr>
                          <w:rFonts w:ascii="Arial;Helvetica;Sans-Serif" w:hAnsi="Arial;Helvetica;Sans-Serif"/>
                          <w:b/>
                          <w:i w:val="false"/>
                          <w:caps w:val="false"/>
                          <w:smallCaps w:val="false"/>
                          <w:color w:val="6D6E71"/>
                          <w:sz w:val="18"/>
                        </w:rPr>
                        <w:t>Age: 65 Average</w:t>
                      </w:r>
                    </w:p>
                    <w:p>
                      <w:pPr>
                        <w:pStyle w:val="TextBody"/>
                        <w:spacing w:before="0" w:after="0"/>
                        <w:jc w:val="center"/>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1428750" cy="1428750"/>
                            <wp:effectExtent l="0" t="0" r="0" b="0"/>
                            <wp:docPr id="18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 name="Image99" descr=""/>
                                    <pic:cNvPicPr>
                                      <a:picLocks noChangeAspect="1" noChangeArrowheads="1"/>
                                    </pic:cNvPicPr>
                                  </pic:nvPicPr>
                                  <pic:blipFill>
                                    <a:blip r:embed="rId100"/>
                                    <a:stretch>
                                      <a:fillRect/>
                                    </a:stretch>
                                  </pic:blipFill>
                                  <pic:spPr bwMode="auto">
                                    <a:xfrm>
                                      <a:off x="0" y="0"/>
                                      <a:ext cx="1428750" cy="1428750"/>
                                    </a:xfrm>
                                    <a:prstGeom prst="rect">
                                      <a:avLst/>
                                    </a:prstGeom>
                                  </pic:spPr>
                                </pic:pic>
                              </a:graphicData>
                            </a:graphic>
                          </wp:inline>
                        </w:drawing>
                      </w:r>
                    </w:p>
                    <w:p>
                      <w:pPr>
                        <w:pStyle w:val="TextBody"/>
                        <w:spacing w:before="0" w:after="0"/>
                        <w:jc w:val="center"/>
                        <w:rPr>
                          <w:caps w:val="false"/>
                          <w:smallCaps w:val="false"/>
                        </w:rPr>
                      </w:pPr>
                      <w:r>
                        <w:rPr>
                          <w:caps w:val="false"/>
                          <w:smallCaps w:val="false"/>
                        </w:rPr>
                        <w:t> </w:t>
                      </w:r>
                    </w:p>
                  </w:txbxContent>
                </v:textbox>
                <w10:wrap type="square" side="left"/>
              </v:rect>
            </w:pict>
          </mc:Fallback>
        </mc:AlternateContent>
      </w:r>
    </w:p>
    <w:tbl>
      <w:tblPr>
        <w:tblW w:w="3835" w:type="dxa"/>
        <w:jc w:val="left"/>
        <w:tblInd w:w="0" w:type="dxa"/>
        <w:tblCellMar>
          <w:top w:w="0" w:type="dxa"/>
          <w:left w:w="0" w:type="dxa"/>
          <w:bottom w:w="0" w:type="dxa"/>
          <w:right w:w="0" w:type="dxa"/>
        </w:tblCellMar>
      </w:tblPr>
      <w:tblGrid>
        <w:gridCol w:w="215"/>
        <w:gridCol w:w="3620"/>
      </w:tblGrid>
      <w:tr>
        <w:trPr/>
        <w:tc>
          <w:tcPr>
            <w:tcW w:w="215" w:type="dxa"/>
            <w:tcBorders/>
            <w:shd w:fill="auto" w:val="clear"/>
            <w:vAlign w:val="center"/>
          </w:tcPr>
          <w:p>
            <w:pPr>
              <w:pStyle w:val="TableContents"/>
              <w:spacing w:before="0" w:after="283"/>
              <w:jc w:val="left"/>
              <w:rPr>
                <w:b/>
                <w:color w:val="58595B"/>
                <w:sz w:val="16"/>
              </w:rPr>
            </w:pPr>
            <w:r>
              <w:rPr>
                <w:b/>
                <w:color w:val="58595B"/>
                <w:sz w:val="16"/>
              </w:rPr>
              <w:t>12</w:t>
            </w:r>
          </w:p>
        </w:tc>
        <w:tc>
          <w:tcPr>
            <w:tcW w:w="3620" w:type="dxa"/>
            <w:tcBorders/>
            <w:shd w:fill="auto" w:val="clear"/>
            <w:vAlign w:val="center"/>
          </w:tcPr>
          <w:p>
            <w:pPr>
              <w:pStyle w:val="TableContents"/>
              <w:spacing w:before="0" w:after="283"/>
              <w:rPr>
                <w:color w:val="58595B"/>
                <w:sz w:val="16"/>
              </w:rPr>
            </w:pPr>
            <w:r>
              <w:rPr>
                <w:color w:val="58595B"/>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03.</w:t>
      </w:r>
      <w:r>
        <w:rPr>
          <w:rFonts w:ascii="Arial;Helvetica;Sans-Serif" w:hAnsi="Arial;Helvetica;Sans-Serif"/>
          <w:b w:val="false"/>
          <w:i w:val="false"/>
          <w:caps w:val="false"/>
          <w:smallCaps w:val="false"/>
          <w:sz w:val="20"/>
        </w:rPr>
        <w:t> </w:t>
      </w:r>
      <w:r>
        <w:rPr>
          <w:rFonts w:ascii="Arial;Helvetica;Sans-Serif" w:hAnsi="Arial;Helvetica;Sans-Serif"/>
          <w:b w:val="false"/>
          <w:i w:val="false"/>
          <w:caps w:val="false"/>
          <w:smallCaps w:val="false"/>
          <w:color w:val="EE0027"/>
          <w:sz w:val="20"/>
        </w:rPr>
        <w:t>CORPORATE GOVERNANCE AND BOARD MATTERS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EE0027"/>
          <w:sz w:val="18"/>
        </w:rPr>
      </w:pPr>
      <w:bookmarkStart w:id="37" w:name="a022"/>
      <w:bookmarkEnd w:id="37"/>
      <w:r>
        <w:rPr>
          <w:rFonts w:ascii="Arial;Helvetica;Sans-Serif" w:hAnsi="Arial;Helvetica;Sans-Serif"/>
          <w:b/>
          <w:i w:val="false"/>
          <w:caps w:val="false"/>
          <w:smallCaps w:val="false"/>
          <w:color w:val="EE0027"/>
          <w:sz w:val="18"/>
        </w:rPr>
        <w:t>Director Nominees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Nomination and Governance committee evaluates the Board’s composition at least annually to determine whether directors’ backgrounds and experiences align with our long-term strategy. The committee also takes into consideration the results of the Board’s self-evaluation. Based on its review, the committee determines whether Board refreshment is needed in the near future. Then the committee searches for potential candidates, utilizing a variety of sources to help identify nominees who would be valuable assets to our Board and to FLEETCOR. To meet the needs of our Board, the committee seeks to identify candidates possessing the desired qualities, skills and background.</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All directors’ terms expire at this year’s annual meeting, and they will stand for election for a one-year term, expiring at the following annual meeting. At and after the annual meeting, all directors will be elected annually and we will have no classified director terms.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February and March 2023 the Board was considering feedback it received in light of its continued shareholder engagement, including shareholder views expressed to us on our strategy, performance and Board composition. In March 2023, the Company, following an extensive and deliberative engagement process, entered into a Cooperation Agreement (the “Cooperation Agreement”) with D.E. Shaw Oculus Portfolios, L.L.C. and D.E. Shaw Valence Portfolios, L.L.C. (collectively, “D.E. Shaw”). Under the terms of the Cooperation Agreement, among other things, we appointed Rahul Gupta to the Board. We also formed a Strategic Review Committee of the Board focused on consideration of the possible separation or disposition of one or more businesses of the Company. In addition, we agreed to add a second new director. Upon appointment of the second new director, it is expected that one of the Company’s longer tenured directors will retire. The appointment of Mr. Gupta and the Company’s agreement to add a second new director advances the Company’s Board refreshment process, which is intended to deepen the Board’s skill set in financial oversight. These new appointments follow the January appointment of Annabelle Bexiga, a technology executive.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Based on the needs of the Board and FLEETCOR, the Board has selected Messrs. Buckman, Clarke, Farrelly, Gupta, Hagerty, Jones, Macchia, Sloan and Stull and Mses. Bexiga and Moddelmog as nominees to be voted upon at the annual meeting by the shareholders.</w:t>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2265"/>
        <w:gridCol w:w="60"/>
        <w:gridCol w:w="3144"/>
        <w:gridCol w:w="4736"/>
      </w:tblGrid>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18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 name="Image100" descr=""/>
                          <pic:cNvPicPr>
                            <a:picLocks noChangeAspect="1" noChangeArrowheads="1"/>
                          </pic:cNvPicPr>
                        </pic:nvPicPr>
                        <pic:blipFill>
                          <a:blip r:embed="rId101"/>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rPr>
            </w:pPr>
            <w:r>
              <w:rPr>
                <w:caps w:val="false"/>
                <w:smallCaps w:val="false"/>
              </w:rPr>
              <w:t>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Age: 61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2023</w:t>
            </w:r>
          </w:p>
        </w:tc>
        <w:tc>
          <w:tcPr>
            <w:tcW w:w="60" w:type="dxa"/>
            <w:tcBorders/>
            <w:shd w:fill="auto" w:val="clear"/>
            <w:vAlign w:val="center"/>
          </w:tcPr>
          <w:p>
            <w:pPr>
              <w:pStyle w:val="TableContents"/>
              <w:spacing w:before="0" w:after="283"/>
              <w:rPr/>
            </w:pPr>
            <w:r>
              <w:rPr/>
              <w:t> </w:t>
            </w:r>
          </w:p>
        </w:tc>
        <w:tc>
          <w:tcPr>
            <w:tcW w:w="3144"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Annabelle Bexiga</w:t>
            </w:r>
          </w:p>
        </w:tc>
        <w:tc>
          <w:tcPr>
            <w:tcW w:w="4736"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1333500" cy="209550"/>
                  <wp:effectExtent l="0" t="0" r="0" b="0"/>
                  <wp:docPr id="18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Image101" descr=""/>
                          <pic:cNvPicPr>
                            <a:picLocks noChangeAspect="1" noChangeArrowheads="1"/>
                          </pic:cNvPicPr>
                        </pic:nvPicPr>
                        <pic:blipFill>
                          <a:blip r:embed="rId102"/>
                          <a:stretch>
                            <a:fillRect/>
                          </a:stretch>
                        </pic:blipFill>
                        <pic:spPr bwMode="auto">
                          <a:xfrm>
                            <a:off x="0" y="0"/>
                            <a:ext cx="1333500" cy="209550"/>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Prior Chief Information Officer positions at AIG (NYSE: AIG), a multinational finance and insurance corporation, from 2015 to 2017, TIAA, a Fortune 100 financial services organization, from 2010 to 2015, Bain Capital, and JP Morgan Chase.</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(current): Triton International Limited, StoneX Group Inc., DWS Group GmbH &amp; Co. KGaA, and Quantexa Ltd.</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Substantial expertise in technology, security, and financial services.</w:t>
            </w:r>
          </w:p>
        </w:tc>
      </w:tr>
    </w:tbl>
    <w:p>
      <w:pPr>
        <w:pStyle w:val="TextBody"/>
        <w:spacing w:before="0" w:after="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0"/>
              <w:jc w:val="righ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color w:val="58595B"/>
                <w:sz w:val="16"/>
              </w:rPr>
            </w:pPr>
            <w:r>
              <w:rPr>
                <w:rFonts w:ascii="Arial;Helvetica;Sans-Serif" w:hAnsi="Arial;Helvetica;Sans-Serif"/>
                <w:b/>
                <w:color w:val="58595B"/>
                <w:sz w:val="16"/>
              </w:rPr>
              <w:t>13</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03.</w:t>
      </w:r>
      <w:r>
        <w:rPr>
          <w:rFonts w:ascii="Arial;Helvetica;Sans-Serif" w:hAnsi="Arial;Helvetica;Sans-Serif"/>
          <w:b w:val="false"/>
          <w:i w:val="false"/>
          <w:caps w:val="false"/>
          <w:smallCaps w:val="false"/>
          <w:sz w:val="20"/>
        </w:rPr>
        <w:t> </w:t>
      </w:r>
      <w:r>
        <w:rPr>
          <w:rFonts w:ascii="Arial;Helvetica;Sans-Serif" w:hAnsi="Arial;Helvetica;Sans-Serif"/>
          <w:b w:val="false"/>
          <w:i w:val="false"/>
          <w:caps w:val="false"/>
          <w:smallCaps w:val="false"/>
          <w:color w:val="EE0027"/>
          <w:sz w:val="20"/>
        </w:rPr>
        <w:t>CORPORATE GOVERNANCE AND BOARD MATTERS</w:t>
      </w:r>
    </w:p>
    <w:p>
      <w:pPr>
        <w:pStyle w:val="TextBody"/>
        <w:spacing w:before="0" w:after="0"/>
        <w:rPr>
          <w:caps w:val="false"/>
          <w:smallCaps w:val="false"/>
          <w:color w:val="EE0027"/>
        </w:rPr>
      </w:pPr>
      <w:r>
        <w:rPr>
          <w:caps w:val="false"/>
          <w:smallCaps w:val="false"/>
          <w:color w:val="EE0027"/>
        </w:rPr>
        <w:t> </w:t>
      </w:r>
    </w:p>
    <w:tbl>
      <w:tblPr>
        <w:tblW w:w="10205" w:type="dxa"/>
        <w:jc w:val="left"/>
        <w:tblInd w:w="0" w:type="dxa"/>
        <w:tblCellMar>
          <w:top w:w="0" w:type="dxa"/>
          <w:left w:w="0" w:type="dxa"/>
          <w:bottom w:w="0" w:type="dxa"/>
          <w:right w:w="0" w:type="dxa"/>
        </w:tblCellMar>
      </w:tblPr>
      <w:tblGrid>
        <w:gridCol w:w="2265"/>
        <w:gridCol w:w="60"/>
        <w:gridCol w:w="2890"/>
        <w:gridCol w:w="4990"/>
      </w:tblGrid>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18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Image102" descr=""/>
                          <pic:cNvPicPr>
                            <a:picLocks noChangeAspect="1" noChangeArrowheads="1"/>
                          </pic:cNvPicPr>
                        </pic:nvPicPr>
                        <pic:blipFill>
                          <a:blip r:embed="rId103"/>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FF0000"/>
              </w:rPr>
            </w:pPr>
            <w:r>
              <w:rPr>
                <w:caps w:val="false"/>
                <w:smallCaps w:val="false"/>
                <w:color w:val="FF0000"/>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Age: 75</w:t>
            </w:r>
            <w:r>
              <w:rPr>
                <w:rFonts w:ascii="Arial;Helvetica;Sans-Serif" w:hAnsi="Arial;Helvetica;Sans-Serif"/>
                <w:b w:val="false"/>
                <w:i w:val="false"/>
                <w:caps w:val="false"/>
                <w:smallCaps w:val="false"/>
                <w:color w:val="58595B"/>
                <w:sz w:val="16"/>
              </w:rPr>
              <w:t>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2013</w:t>
            </w:r>
          </w:p>
        </w:tc>
        <w:tc>
          <w:tcPr>
            <w:tcW w:w="60" w:type="dxa"/>
            <w:tcBorders/>
            <w:shd w:fill="auto" w:val="clear"/>
            <w:vAlign w:val="center"/>
          </w:tcPr>
          <w:p>
            <w:pPr>
              <w:pStyle w:val="TableContents"/>
              <w:spacing w:before="0" w:after="283"/>
              <w:rPr/>
            </w:pPr>
            <w:r>
              <w:rPr/>
              <w:t> </w:t>
            </w:r>
          </w:p>
        </w:tc>
        <w:tc>
          <w:tcPr>
            <w:tcW w:w="2890"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Michael Buckman</w:t>
            </w:r>
          </w:p>
        </w:tc>
        <w:tc>
          <w:tcPr>
            <w:tcW w:w="4990"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1428750" cy="200025"/>
                  <wp:effectExtent l="0" t="0" r="0" b="0"/>
                  <wp:docPr id="18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Image103" descr=""/>
                          <pic:cNvPicPr>
                            <a:picLocks noChangeAspect="1" noChangeArrowheads="1"/>
                          </pic:cNvPicPr>
                        </pic:nvPicPr>
                        <pic:blipFill>
                          <a:blip r:embed="rId104"/>
                          <a:stretch>
                            <a:fillRect/>
                          </a:stretch>
                        </pic:blipFill>
                        <pic:spPr bwMode="auto">
                          <a:xfrm>
                            <a:off x="0" y="0"/>
                            <a:ext cx="1428750" cy="200025"/>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former Managing Partner and Founder of Buckman Consulting LLC, a travel, logistics and payment systems consulting firm, since founding in 2009; prior President of the Asia/Pacific division of BCD Travel, and Chief Executive Officer of BCD from 2001 to 2007; Senior executive positions with Homestore.com, American Express, Sabre Travel Services, American Airlines and Worldspan</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Extensive experience as a senior executive of various technology, travel and payment systems companies </w:t>
            </w:r>
          </w:p>
        </w:tc>
      </w:tr>
      <w:tr>
        <w:trPr/>
        <w:tc>
          <w:tcPr>
            <w:tcW w:w="2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0" w:type="dxa"/>
            <w:tcBorders/>
            <w:shd w:fill="auto" w:val="clear"/>
            <w:vAlign w:val="center"/>
          </w:tcPr>
          <w:p>
            <w:pPr>
              <w:pStyle w:val="TableContents"/>
              <w:spacing w:before="0" w:after="283"/>
              <w:rPr/>
            </w:pPr>
            <w:r>
              <w:rPr/>
              <w:t> </w:t>
            </w:r>
          </w:p>
        </w:tc>
        <w:tc>
          <w:tcPr>
            <w:tcW w:w="4990" w:type="dxa"/>
            <w:tcBorders/>
            <w:shd w:fill="auto" w:val="clear"/>
            <w:vAlign w:val="center"/>
          </w:tcPr>
          <w:p>
            <w:pPr>
              <w:pStyle w:val="TableContents"/>
              <w:spacing w:before="0" w:after="283"/>
              <w:jc w:val="right"/>
              <w:rPr/>
            </w:pPr>
            <w:r>
              <w:rPr/>
              <w:t> </w:t>
            </w:r>
          </w:p>
        </w:tc>
      </w:tr>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95425"/>
                  <wp:effectExtent l="0" t="0" r="0" b="0"/>
                  <wp:docPr id="18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Image104" descr=""/>
                          <pic:cNvPicPr>
                            <a:picLocks noChangeAspect="1" noChangeArrowheads="1"/>
                          </pic:cNvPicPr>
                        </pic:nvPicPr>
                        <pic:blipFill>
                          <a:blip r:embed="rId105"/>
                          <a:stretch>
                            <a:fillRect/>
                          </a:stretch>
                        </pic:blipFill>
                        <pic:spPr bwMode="auto">
                          <a:xfrm>
                            <a:off x="0" y="0"/>
                            <a:ext cx="1428750" cy="1495425"/>
                          </a:xfrm>
                          <a:prstGeom prst="rect">
                            <a:avLst/>
                          </a:prstGeom>
                        </pic:spPr>
                      </pic:pic>
                    </a:graphicData>
                  </a:graphic>
                </wp:inline>
              </w:drawing>
            </w:r>
          </w:p>
          <w:p>
            <w:pPr>
              <w:pStyle w:val="TableContents"/>
              <w:spacing w:before="0" w:after="0"/>
              <w:rPr>
                <w:caps w:val="false"/>
                <w:smallCaps w:val="false"/>
                <w:color w:val="FF0000"/>
              </w:rPr>
            </w:pPr>
            <w:r>
              <w:rPr>
                <w:caps w:val="false"/>
                <w:smallCaps w:val="false"/>
                <w:color w:val="FF0000"/>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Age: 67</w:t>
            </w:r>
            <w:r>
              <w:rPr>
                <w:rFonts w:ascii="Arial;Helvetica;Sans-Serif" w:hAnsi="Arial;Helvetica;Sans-Serif"/>
                <w:b w:val="false"/>
                <w:i w:val="false"/>
                <w:caps w:val="false"/>
                <w:smallCaps w:val="false"/>
                <w:color w:val="58595B"/>
                <w:sz w:val="16"/>
              </w:rPr>
              <w:t>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2000</w:t>
            </w:r>
          </w:p>
        </w:tc>
        <w:tc>
          <w:tcPr>
            <w:tcW w:w="60" w:type="dxa"/>
            <w:tcBorders/>
            <w:shd w:fill="auto" w:val="clear"/>
            <w:vAlign w:val="center"/>
          </w:tcPr>
          <w:p>
            <w:pPr>
              <w:pStyle w:val="TableContents"/>
              <w:spacing w:before="0" w:after="283"/>
              <w:rPr/>
            </w:pPr>
            <w:r>
              <w:rPr/>
              <w:t> </w:t>
            </w:r>
          </w:p>
        </w:tc>
        <w:tc>
          <w:tcPr>
            <w:tcW w:w="2890"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Ronald F. Clarke</w:t>
            </w:r>
          </w:p>
        </w:tc>
        <w:tc>
          <w:tcPr>
            <w:tcW w:w="4990"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1524000" cy="180975"/>
                  <wp:effectExtent l="0" t="0" r="0" b="0"/>
                  <wp:docPr id="19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Image105" descr=""/>
                          <pic:cNvPicPr>
                            <a:picLocks noChangeAspect="1" noChangeArrowheads="1"/>
                          </pic:cNvPicPr>
                        </pic:nvPicPr>
                        <pic:blipFill>
                          <a:blip r:embed="rId106"/>
                          <a:stretch>
                            <a:fillRect/>
                          </a:stretch>
                        </pic:blipFill>
                        <pic:spPr bwMode="auto">
                          <a:xfrm>
                            <a:off x="0" y="0"/>
                            <a:ext cx="1524000" cy="180975"/>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Company CEO since August 2000; prior President &amp; COO of AHL Services, Inc. a staffing firm; Chief Marketing Officer of Automatic Data Processing, a computer services company; Principal with Booz Allen Hamilton, a global management firm; Marketing Manager of General Electric Company, a diversified technology, media and financial services company</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(current): Ceridian HCM Holding Inc. (NYSE: CDAY)</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Deep knowledge of our Company and industry through his service as our chief executive officer </w:t>
            </w:r>
          </w:p>
        </w:tc>
      </w:tr>
      <w:tr>
        <w:trPr/>
        <w:tc>
          <w:tcPr>
            <w:tcW w:w="2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90" w:type="dxa"/>
            <w:tcBorders/>
            <w:shd w:fill="auto" w:val="clear"/>
            <w:vAlign w:val="center"/>
          </w:tcPr>
          <w:p>
            <w:pPr>
              <w:pStyle w:val="TableContents"/>
              <w:spacing w:before="0" w:after="283"/>
              <w:rPr/>
            </w:pPr>
            <w:r>
              <w:rPr/>
              <w:t> </w:t>
            </w:r>
          </w:p>
        </w:tc>
        <w:tc>
          <w:tcPr>
            <w:tcW w:w="4990" w:type="dxa"/>
            <w:tcBorders/>
            <w:shd w:fill="auto" w:val="clear"/>
            <w:vAlign w:val="center"/>
          </w:tcPr>
          <w:p>
            <w:pPr>
              <w:pStyle w:val="TableContents"/>
              <w:spacing w:before="0" w:after="283"/>
              <w:jc w:val="right"/>
              <w:rPr/>
            </w:pPr>
            <w:r>
              <w:rPr/>
              <w:t> </w:t>
            </w:r>
          </w:p>
        </w:tc>
      </w:tr>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19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Image106" descr=""/>
                          <pic:cNvPicPr>
                            <a:picLocks noChangeAspect="1" noChangeArrowheads="1"/>
                          </pic:cNvPicPr>
                        </pic:nvPicPr>
                        <pic:blipFill>
                          <a:blip r:embed="rId107"/>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FF0000"/>
              </w:rPr>
            </w:pPr>
            <w:r>
              <w:rPr>
                <w:caps w:val="false"/>
                <w:smallCaps w:val="false"/>
                <w:color w:val="FF0000"/>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Age: 79</w:t>
            </w:r>
            <w:r>
              <w:rPr>
                <w:rFonts w:ascii="Arial;Helvetica;Sans-Serif" w:hAnsi="Arial;Helvetica;Sans-Serif"/>
                <w:b w:val="false"/>
                <w:i w:val="false"/>
                <w:caps w:val="false"/>
                <w:smallCaps w:val="false"/>
                <w:color w:val="58595B"/>
                <w:sz w:val="16"/>
              </w:rPr>
              <w:t>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2014</w:t>
            </w:r>
          </w:p>
        </w:tc>
        <w:tc>
          <w:tcPr>
            <w:tcW w:w="60" w:type="dxa"/>
            <w:tcBorders/>
            <w:shd w:fill="auto" w:val="clear"/>
            <w:vAlign w:val="center"/>
          </w:tcPr>
          <w:p>
            <w:pPr>
              <w:pStyle w:val="TableContents"/>
              <w:spacing w:before="0" w:after="283"/>
              <w:rPr/>
            </w:pPr>
            <w:r>
              <w:rPr/>
              <w:t> </w:t>
            </w:r>
          </w:p>
        </w:tc>
        <w:tc>
          <w:tcPr>
            <w:tcW w:w="2890"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Joseph W. Farrelly</w:t>
            </w:r>
          </w:p>
        </w:tc>
        <w:tc>
          <w:tcPr>
            <w:tcW w:w="4990"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1428750" cy="219075"/>
                  <wp:effectExtent l="0" t="0" r="0" b="0"/>
                  <wp:docPr id="19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Image107" descr=""/>
                          <pic:cNvPicPr>
                            <a:picLocks noChangeAspect="1" noChangeArrowheads="1"/>
                          </pic:cNvPicPr>
                        </pic:nvPicPr>
                        <pic:blipFill>
                          <a:blip r:embed="rId108"/>
                          <a:stretch>
                            <a:fillRect/>
                          </a:stretch>
                        </pic:blipFill>
                        <pic:spPr bwMode="auto">
                          <a:xfrm>
                            <a:off x="0" y="0"/>
                            <a:ext cx="1428750" cy="219075"/>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Senior Vice President, Chief Information Officer of Interpublic Group of Companies, Inc. (NYSE:IPG), a global provider of advertising and marketing services, from 2006 through March 2015; prior Executive Vice President and Chief Information Officer at Aventis, Vivendi Universal, Joseph E. Seagrams and Nabisco</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(current): NetNumber Inc.</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(prior): Helium, GridApps and Aperture Technologies, Inc., all of which were acquired by larger companies in their respective industries</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Substantial experience and knowledge regarding information technology and security; experience in advertising and marketing </w:t>
            </w:r>
          </w:p>
        </w:tc>
      </w:tr>
    </w:tbl>
    <w:p>
      <w:pPr>
        <w:pStyle w:val="TextBody"/>
        <w:spacing w:before="0" w:after="0"/>
        <w:rPr>
          <w:caps w:val="false"/>
          <w:smallCaps w:val="false"/>
          <w:color w:val="58595B"/>
        </w:rPr>
      </w:pPr>
      <w:r>
        <w:rPr>
          <w:caps w:val="false"/>
          <w:smallCaps w:val="false"/>
          <w:color w:val="58595B"/>
        </w:rPr>
        <w:t> </w:t>
      </w:r>
    </w:p>
    <w:tbl>
      <w:tblPr>
        <w:tblW w:w="3835" w:type="dxa"/>
        <w:jc w:val="left"/>
        <w:tblInd w:w="0" w:type="dxa"/>
        <w:tblCellMar>
          <w:top w:w="0" w:type="dxa"/>
          <w:left w:w="0" w:type="dxa"/>
          <w:bottom w:w="0" w:type="dxa"/>
          <w:right w:w="0" w:type="dxa"/>
        </w:tblCellMar>
      </w:tblPr>
      <w:tblGrid>
        <w:gridCol w:w="215"/>
        <w:gridCol w:w="3620"/>
      </w:tblGrid>
      <w:tr>
        <w:trPr/>
        <w:tc>
          <w:tcPr>
            <w:tcW w:w="215" w:type="dxa"/>
            <w:tcBorders/>
            <w:shd w:fill="auto" w:val="clear"/>
            <w:vAlign w:val="center"/>
          </w:tcPr>
          <w:p>
            <w:pPr>
              <w:pStyle w:val="TableContents"/>
              <w:spacing w:before="0" w:after="283"/>
              <w:jc w:val="left"/>
              <w:rPr>
                <w:b/>
                <w:color w:val="58595B"/>
                <w:sz w:val="16"/>
              </w:rPr>
            </w:pPr>
            <w:r>
              <w:rPr>
                <w:b/>
                <w:color w:val="58595B"/>
                <w:sz w:val="16"/>
              </w:rPr>
              <w:t>14</w:t>
            </w:r>
          </w:p>
        </w:tc>
        <w:tc>
          <w:tcPr>
            <w:tcW w:w="3620" w:type="dxa"/>
            <w:tcBorders/>
            <w:shd w:fill="auto" w:val="clear"/>
            <w:vAlign w:val="center"/>
          </w:tcPr>
          <w:p>
            <w:pPr>
              <w:pStyle w:val="TableContents"/>
              <w:spacing w:before="0" w:after="283"/>
              <w:rPr>
                <w:color w:val="58595B"/>
                <w:sz w:val="16"/>
              </w:rPr>
            </w:pPr>
            <w:r>
              <w:rPr>
                <w:color w:val="58595B"/>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03.</w:t>
      </w:r>
      <w:r>
        <w:rPr>
          <w:rFonts w:ascii="Arial;Helvetica;Sans-Serif" w:hAnsi="Arial;Helvetica;Sans-Serif"/>
          <w:b w:val="false"/>
          <w:i w:val="false"/>
          <w:caps w:val="false"/>
          <w:smallCaps w:val="false"/>
          <w:sz w:val="20"/>
        </w:rPr>
        <w:t> </w:t>
      </w:r>
      <w:r>
        <w:rPr>
          <w:rFonts w:ascii="Arial;Helvetica;Sans-Serif" w:hAnsi="Arial;Helvetica;Sans-Serif"/>
          <w:b w:val="false"/>
          <w:i w:val="false"/>
          <w:caps w:val="false"/>
          <w:smallCaps w:val="false"/>
          <w:color w:val="EE0027"/>
          <w:sz w:val="20"/>
        </w:rPr>
        <w:t>CORPORATE GOVERNANCE AND BOARD MATTERS</w:t>
      </w:r>
    </w:p>
    <w:p>
      <w:pPr>
        <w:pStyle w:val="TextBody"/>
        <w:spacing w:before="0" w:after="0"/>
        <w:rPr>
          <w:caps w:val="false"/>
          <w:smallCaps w:val="false"/>
          <w:color w:val="EE0027"/>
        </w:rPr>
      </w:pPr>
      <w:r>
        <w:rPr>
          <w:caps w:val="false"/>
          <w:smallCaps w:val="false"/>
          <w:color w:val="EE0027"/>
        </w:rPr>
        <w:t> </w:t>
      </w:r>
    </w:p>
    <w:tbl>
      <w:tblPr>
        <w:tblW w:w="10205" w:type="dxa"/>
        <w:jc w:val="left"/>
        <w:tblInd w:w="0" w:type="dxa"/>
        <w:tblCellMar>
          <w:top w:w="0" w:type="dxa"/>
          <w:left w:w="0" w:type="dxa"/>
          <w:bottom w:w="0" w:type="dxa"/>
          <w:right w:w="0" w:type="dxa"/>
        </w:tblCellMar>
      </w:tblPr>
      <w:tblGrid>
        <w:gridCol w:w="2265"/>
        <w:gridCol w:w="60"/>
        <w:gridCol w:w="3010"/>
        <w:gridCol w:w="4870"/>
      </w:tblGrid>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19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Image108" descr=""/>
                          <pic:cNvPicPr>
                            <a:picLocks noChangeAspect="1" noChangeArrowheads="1"/>
                          </pic:cNvPicPr>
                        </pic:nvPicPr>
                        <pic:blipFill>
                          <a:blip r:embed="rId109"/>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FF0000"/>
              </w:rPr>
            </w:pPr>
            <w:r>
              <w:rPr>
                <w:caps w:val="false"/>
                <w:smallCaps w:val="false"/>
                <w:color w:val="FF0000"/>
              </w:rPr>
              <w:t>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Age: 64</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2023</w:t>
            </w:r>
          </w:p>
        </w:tc>
        <w:tc>
          <w:tcPr>
            <w:tcW w:w="60" w:type="dxa"/>
            <w:tcBorders/>
            <w:shd w:fill="auto" w:val="clear"/>
            <w:vAlign w:val="center"/>
          </w:tcPr>
          <w:p>
            <w:pPr>
              <w:pStyle w:val="TableContents"/>
              <w:spacing w:before="0" w:after="283"/>
              <w:rPr/>
            </w:pPr>
            <w:r>
              <w:rPr/>
              <w:t> </w:t>
            </w:r>
          </w:p>
        </w:tc>
        <w:tc>
          <w:tcPr>
            <w:tcW w:w="3010"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Rahul Gupta</w:t>
            </w:r>
          </w:p>
        </w:tc>
        <w:tc>
          <w:tcPr>
            <w:tcW w:w="4870"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1428750" cy="200025"/>
                  <wp:effectExtent l="0" t="0" r="0" b="0"/>
                  <wp:docPr id="19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 name="Image109" descr=""/>
                          <pic:cNvPicPr>
                            <a:picLocks noChangeAspect="1" noChangeArrowheads="1"/>
                          </pic:cNvPicPr>
                        </pic:nvPicPr>
                        <pic:blipFill>
                          <a:blip r:embed="rId110"/>
                          <a:stretch>
                            <a:fillRect/>
                          </a:stretch>
                        </pic:blipFill>
                        <pic:spPr bwMode="auto">
                          <a:xfrm>
                            <a:off x="0" y="0"/>
                            <a:ext cx="1428750" cy="200025"/>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Prior executive positions as CEO of RevSpring, a healthcare billing and payments company from 2017 to 2019; as Group President for Fiserv (NASDAQ: FISV) from 2006 to 2017 and as President for eFunds (NYSE: EFD) from 2002 to 2006. In addition, Mr. Gupta has launched several startup companies in the payments and marketing spaces, built technology businesses for Fidelity Investments, and served numerous consulting clients for PricewaterhouseCoopers (PwC).</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(current): Mitek (NASDAQ: MITK), SavvyMoney, Amount. Inc., Exact Payments and Capital Good Fund</w:t>
            </w:r>
          </w:p>
          <w:p>
            <w:pPr>
              <w:pStyle w:val="TableContents"/>
              <w:spacing w:before="0" w:after="0"/>
              <w:rPr>
                <w:caps w:val="false"/>
                <w:smallCaps w:val="false"/>
              </w:rPr>
            </w:pPr>
            <w:r>
              <w:rPr>
                <w:caps w:val="false"/>
                <w:smallCaps w:val="false"/>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(prior): Cardtronics plc (formerly NASDAQ: CATM) from 2020 to 2021; Paylease, LLC from 2019 to 2021 and Ncontracts from 2018 to 2020.</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Over 37 years of experience in the financial services and payments industries and significant experience in fintech venture and private equity </w:t>
            </w:r>
          </w:p>
        </w:tc>
      </w:tr>
      <w:tr>
        <w:trPr/>
        <w:tc>
          <w:tcPr>
            <w:tcW w:w="2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10" w:type="dxa"/>
            <w:tcBorders/>
            <w:shd w:fill="auto" w:val="clear"/>
            <w:vAlign w:val="center"/>
          </w:tcPr>
          <w:p>
            <w:pPr>
              <w:pStyle w:val="TableContents"/>
              <w:spacing w:before="0" w:after="283"/>
              <w:rPr/>
            </w:pPr>
            <w:r>
              <w:rPr/>
              <w:t> </w:t>
            </w:r>
          </w:p>
        </w:tc>
        <w:tc>
          <w:tcPr>
            <w:tcW w:w="4870" w:type="dxa"/>
            <w:tcBorders/>
            <w:shd w:fill="auto" w:val="clear"/>
            <w:vAlign w:val="center"/>
          </w:tcPr>
          <w:p>
            <w:pPr>
              <w:pStyle w:val="TableContents"/>
              <w:spacing w:before="0" w:after="283"/>
              <w:jc w:val="right"/>
              <w:rPr/>
            </w:pPr>
            <w:r>
              <w:rPr/>
              <w:t> </w:t>
            </w:r>
          </w:p>
        </w:tc>
      </w:tr>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19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Image110" descr=""/>
                          <pic:cNvPicPr>
                            <a:picLocks noChangeAspect="1" noChangeArrowheads="1"/>
                          </pic:cNvPicPr>
                        </pic:nvPicPr>
                        <pic:blipFill>
                          <a:blip r:embed="rId111"/>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FF0000"/>
              </w:rPr>
            </w:pPr>
            <w:r>
              <w:rPr>
                <w:caps w:val="false"/>
                <w:smallCaps w:val="false"/>
                <w:color w:val="FF0000"/>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Age: 60</w:t>
            </w:r>
            <w:r>
              <w:rPr>
                <w:rFonts w:ascii="Arial;Helvetica;Sans-Serif" w:hAnsi="Arial;Helvetica;Sans-Serif"/>
                <w:b w:val="false"/>
                <w:i w:val="false"/>
                <w:caps w:val="false"/>
                <w:smallCaps w:val="false"/>
                <w:color w:val="58595B"/>
                <w:sz w:val="16"/>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Director Since: 2014</w:t>
            </w:r>
            <w:r>
              <w:rPr>
                <w:rFonts w:ascii="Arial;Helvetica;Sans-Serif" w:hAnsi="Arial;Helvetica;Sans-Serif"/>
                <w:b w:val="false"/>
                <w:i w:val="false"/>
                <w:caps w:val="false"/>
                <w:smallCaps w:val="false"/>
                <w:color w:val="58595B"/>
                <w:sz w:val="16"/>
              </w:rPr>
              <w:t> </w:t>
            </w:r>
          </w:p>
        </w:tc>
        <w:tc>
          <w:tcPr>
            <w:tcW w:w="60" w:type="dxa"/>
            <w:tcBorders/>
            <w:shd w:fill="auto" w:val="clear"/>
            <w:vAlign w:val="center"/>
          </w:tcPr>
          <w:p>
            <w:pPr>
              <w:pStyle w:val="TableContents"/>
              <w:spacing w:before="0" w:after="283"/>
              <w:rPr/>
            </w:pPr>
            <w:r>
              <w:rPr/>
              <w:t> </w:t>
            </w:r>
          </w:p>
        </w:tc>
        <w:tc>
          <w:tcPr>
            <w:tcW w:w="3010"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Thomas M. Hagerty</w:t>
            </w:r>
          </w:p>
        </w:tc>
        <w:tc>
          <w:tcPr>
            <w:tcW w:w="4870"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1428750" cy="200025"/>
                  <wp:effectExtent l="0" t="0" r="0" b="0"/>
                  <wp:docPr id="19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111" descr=""/>
                          <pic:cNvPicPr>
                            <a:picLocks noChangeAspect="1" noChangeArrowheads="1"/>
                          </pic:cNvPicPr>
                        </pic:nvPicPr>
                        <pic:blipFill>
                          <a:blip r:embed="rId112"/>
                          <a:stretch>
                            <a:fillRect/>
                          </a:stretch>
                        </pic:blipFill>
                        <pic:spPr bwMode="auto">
                          <a:xfrm>
                            <a:off x="0" y="0"/>
                            <a:ext cx="1428750" cy="200025"/>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Managing Director of Thomas H. Lee Partners, L.P., a leading private equity firm, since 1994</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(current): Black Knight, Inc. (NYSE: BKI) (not standing for re-election), Ceridian HCM Holding Inc. (NYSE: CDAY), Fidelity National Financial, Inc. (NYSE: FNF), and Dun &amp; Bradstreet Holdings, Inc. (NYSE:DNB)</w:t>
            </w:r>
          </w:p>
          <w:p>
            <w:pPr>
              <w:pStyle w:val="TableContents"/>
              <w:spacing w:before="0" w:after="0"/>
              <w:rPr>
                <w:rFonts w:ascii="Arial;Helvetica;Sans-Serif" w:hAnsi="Arial;Helvetica;Sans-Serif"/>
                <w:sz w:val="18"/>
              </w:rPr>
            </w:pPr>
            <w:r>
              <w:rPr>
                <w:rFonts w:ascii="Arial;Helvetica;Sans-Serif" w:hAnsi="Arial;Helvetica;Sans-Serif"/>
                <w:sz w:val="18"/>
              </w:rPr>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Managerial and strategic expertise developed by working with and enhancing value at large, growth-oriented companies; expertise in corporate finance; substantial public company board experience</w:t>
            </w:r>
          </w:p>
        </w:tc>
      </w:tr>
      <w:tr>
        <w:trPr/>
        <w:tc>
          <w:tcPr>
            <w:tcW w:w="2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010" w:type="dxa"/>
            <w:tcBorders/>
            <w:shd w:fill="auto" w:val="clear"/>
            <w:vAlign w:val="center"/>
          </w:tcPr>
          <w:p>
            <w:pPr>
              <w:pStyle w:val="TableContents"/>
              <w:spacing w:before="0" w:after="283"/>
              <w:rPr/>
            </w:pPr>
            <w:r>
              <w:rPr/>
              <w:t> </w:t>
            </w:r>
          </w:p>
        </w:tc>
        <w:tc>
          <w:tcPr>
            <w:tcW w:w="4870" w:type="dxa"/>
            <w:tcBorders/>
            <w:shd w:fill="auto" w:val="clear"/>
            <w:vAlign w:val="center"/>
          </w:tcPr>
          <w:p>
            <w:pPr>
              <w:pStyle w:val="TableContents"/>
              <w:spacing w:before="0" w:after="283"/>
              <w:jc w:val="right"/>
              <w:rPr/>
            </w:pPr>
            <w:r>
              <w:rPr/>
              <w:t> </w:t>
            </w:r>
          </w:p>
        </w:tc>
      </w:tr>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19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 name="Image112" descr=""/>
                          <pic:cNvPicPr>
                            <a:picLocks noChangeAspect="1" noChangeArrowheads="1"/>
                          </pic:cNvPicPr>
                        </pic:nvPicPr>
                        <pic:blipFill>
                          <a:blip r:embed="rId113"/>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FF0000"/>
              </w:rPr>
            </w:pPr>
            <w:r>
              <w:rPr>
                <w:caps w:val="false"/>
                <w:smallCaps w:val="false"/>
                <w:color w:val="FF0000"/>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Age: 52</w:t>
            </w:r>
            <w:r>
              <w:rPr>
                <w:rFonts w:ascii="Arial;Helvetica;Sans-Serif" w:hAnsi="Arial;Helvetica;Sans-Serif"/>
                <w:b w:val="false"/>
                <w:i w:val="false"/>
                <w:caps w:val="false"/>
                <w:smallCaps w:val="false"/>
                <w:color w:val="58595B"/>
                <w:sz w:val="16"/>
              </w:rPr>
              <w:t>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2020</w:t>
            </w:r>
          </w:p>
        </w:tc>
        <w:tc>
          <w:tcPr>
            <w:tcW w:w="60" w:type="dxa"/>
            <w:tcBorders/>
            <w:shd w:fill="auto" w:val="clear"/>
            <w:vAlign w:val="center"/>
          </w:tcPr>
          <w:p>
            <w:pPr>
              <w:pStyle w:val="TableContents"/>
              <w:spacing w:before="0" w:after="283"/>
              <w:rPr/>
            </w:pPr>
            <w:r>
              <w:rPr/>
              <w:t> </w:t>
            </w:r>
          </w:p>
        </w:tc>
        <w:tc>
          <w:tcPr>
            <w:tcW w:w="3010"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Archie L. Jones, Jr.</w:t>
            </w:r>
          </w:p>
        </w:tc>
        <w:tc>
          <w:tcPr>
            <w:tcW w:w="4870"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952500" cy="200025"/>
                  <wp:effectExtent l="0" t="0" r="0" b="0"/>
                  <wp:docPr id="19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 name="Image113" descr=""/>
                          <pic:cNvPicPr>
                            <a:picLocks noChangeAspect="1" noChangeArrowheads="1"/>
                          </pic:cNvPicPr>
                        </pic:nvPicPr>
                        <pic:blipFill>
                          <a:blip r:embed="rId114"/>
                          <a:stretch>
                            <a:fillRect/>
                          </a:stretch>
                        </pic:blipFill>
                        <pic:spPr bwMode="auto">
                          <a:xfrm>
                            <a:off x="0" y="0"/>
                            <a:ext cx="952500" cy="200025"/>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Managing Director of Six Pillars Partners, a private equity firm investing in high-growth companies, and a Professor at Harvard Business School; prior executive positions at private equity, public and private companies including NOWaccount Network Corporation, IBM, Kenexa (NYSE: KNXA) and Parthenon Capital; Certified Public Accountant and graduate of Morehouse College and Harvard Business School</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(current): Project Evident</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Managerial expertise in the financial institutions industry; expertise in mergers and acquisitions</w:t>
            </w:r>
          </w:p>
        </w:tc>
      </w:tr>
    </w:tbl>
    <w:p>
      <w:pPr>
        <w:pStyle w:val="TextBody"/>
        <w:spacing w:before="0" w:after="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0"/>
              <w:jc w:val="righ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color w:val="58595B"/>
                <w:sz w:val="16"/>
              </w:rPr>
            </w:pPr>
            <w:r>
              <w:rPr>
                <w:rFonts w:ascii="Arial;Helvetica;Sans-Serif" w:hAnsi="Arial;Helvetica;Sans-Serif"/>
                <w:b/>
                <w:color w:val="58595B"/>
                <w:sz w:val="16"/>
              </w:rPr>
              <w:t>15</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03.</w:t>
      </w:r>
      <w:r>
        <w:rPr>
          <w:rFonts w:ascii="Arial;Helvetica;Sans-Serif" w:hAnsi="Arial;Helvetica;Sans-Serif"/>
          <w:b w:val="false"/>
          <w:i w:val="false"/>
          <w:caps w:val="false"/>
          <w:smallCaps w:val="false"/>
          <w:sz w:val="20"/>
        </w:rPr>
        <w:t> </w:t>
      </w:r>
      <w:r>
        <w:rPr>
          <w:rFonts w:ascii="Arial;Helvetica;Sans-Serif" w:hAnsi="Arial;Helvetica;Sans-Serif"/>
          <w:b w:val="false"/>
          <w:i w:val="false"/>
          <w:caps w:val="false"/>
          <w:smallCaps w:val="false"/>
          <w:color w:val="EE0027"/>
          <w:sz w:val="20"/>
        </w:rPr>
        <w:t>CORPORATE GOVERNANCE AND BOARD MATTERS</w:t>
      </w:r>
    </w:p>
    <w:p>
      <w:pPr>
        <w:pStyle w:val="TextBody"/>
        <w:spacing w:before="0" w:after="0"/>
        <w:rPr>
          <w:caps w:val="false"/>
          <w:smallCaps w:val="false"/>
          <w:color w:val="EE0027"/>
        </w:rPr>
      </w:pPr>
      <w:r>
        <w:rPr>
          <w:caps w:val="false"/>
          <w:smallCaps w:val="false"/>
          <w:color w:val="EE0027"/>
        </w:rPr>
        <w:t> </w:t>
      </w:r>
    </w:p>
    <w:tbl>
      <w:tblPr>
        <w:tblW w:w="10205" w:type="dxa"/>
        <w:jc w:val="left"/>
        <w:tblInd w:w="0" w:type="dxa"/>
        <w:tblCellMar>
          <w:top w:w="0" w:type="dxa"/>
          <w:left w:w="0" w:type="dxa"/>
          <w:bottom w:w="0" w:type="dxa"/>
          <w:right w:w="0" w:type="dxa"/>
        </w:tblCellMar>
      </w:tblPr>
      <w:tblGrid>
        <w:gridCol w:w="2265"/>
        <w:gridCol w:w="60"/>
        <w:gridCol w:w="3187"/>
        <w:gridCol w:w="4693"/>
      </w:tblGrid>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19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Image114" descr=""/>
                          <pic:cNvPicPr>
                            <a:picLocks noChangeAspect="1" noChangeArrowheads="1"/>
                          </pic:cNvPicPr>
                        </pic:nvPicPr>
                        <pic:blipFill>
                          <a:blip r:embed="rId115"/>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333333"/>
              </w:rPr>
            </w:pPr>
            <w:r>
              <w:rPr>
                <w:caps w:val="false"/>
                <w:smallCaps w:val="false"/>
                <w:color w:val="333333"/>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Age: 71</w:t>
            </w:r>
            <w:r>
              <w:rPr>
                <w:rFonts w:ascii="Arial;Helvetica;Sans-Serif" w:hAnsi="Arial;Helvetica;Sans-Serif"/>
                <w:b w:val="false"/>
                <w:i w:val="false"/>
                <w:caps w:val="false"/>
                <w:smallCaps w:val="false"/>
                <w:color w:val="58595B"/>
                <w:sz w:val="16"/>
              </w:rPr>
              <w:t>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2010</w:t>
            </w:r>
          </w:p>
        </w:tc>
        <w:tc>
          <w:tcPr>
            <w:tcW w:w="60" w:type="dxa"/>
            <w:tcBorders/>
            <w:shd w:fill="auto" w:val="clear"/>
            <w:vAlign w:val="center"/>
          </w:tcPr>
          <w:p>
            <w:pPr>
              <w:pStyle w:val="TableContents"/>
              <w:spacing w:before="0" w:after="283"/>
              <w:rPr/>
            </w:pPr>
            <w:r>
              <w:rPr/>
              <w:t> </w:t>
            </w:r>
          </w:p>
        </w:tc>
        <w:tc>
          <w:tcPr>
            <w:tcW w:w="3187"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Richard Macchia</w:t>
            </w:r>
          </w:p>
        </w:tc>
        <w:tc>
          <w:tcPr>
            <w:tcW w:w="4693"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1428750" cy="133350"/>
                  <wp:effectExtent l="0" t="0" r="0" b="0"/>
                  <wp:docPr id="20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 name="Image115" descr=""/>
                          <pic:cNvPicPr>
                            <a:picLocks noChangeAspect="1" noChangeArrowheads="1"/>
                          </pic:cNvPicPr>
                        </pic:nvPicPr>
                        <pic:blipFill>
                          <a:blip r:embed="rId116"/>
                          <a:stretch>
                            <a:fillRect/>
                          </a:stretch>
                        </pic:blipFill>
                        <pic:spPr bwMode="auto">
                          <a:xfrm>
                            <a:off x="0" y="0"/>
                            <a:ext cx="1428750" cy="133350"/>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Chief Financial Officer and Senior Vice President of Administration for Internet Security Systems, Inc., an information security provider, from 1997 through October 2006, when it was acquired by International Business Machines Corporation; senior executive roles, including as principal financial officer and accounting officer, with several public companies, including with MicroBilt Corporation, a financial information services company, and First Financial Management Corporation, a company providing credit card authorization, processing and settlement services and other enterprise solutions; Partner in the audit and assurance practice of KPMG</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Over 20 years of experience in the financial and information services industry and significant audit and accounting background </w:t>
            </w:r>
          </w:p>
        </w:tc>
      </w:tr>
      <w:tr>
        <w:trPr/>
        <w:tc>
          <w:tcPr>
            <w:tcW w:w="2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87" w:type="dxa"/>
            <w:tcBorders/>
            <w:shd w:fill="auto" w:val="clear"/>
            <w:vAlign w:val="center"/>
          </w:tcPr>
          <w:p>
            <w:pPr>
              <w:pStyle w:val="TableContents"/>
              <w:spacing w:before="0" w:after="283"/>
              <w:rPr/>
            </w:pPr>
            <w:r>
              <w:rPr/>
              <w:t> </w:t>
            </w:r>
          </w:p>
        </w:tc>
        <w:tc>
          <w:tcPr>
            <w:tcW w:w="4693" w:type="dxa"/>
            <w:tcBorders/>
            <w:shd w:fill="auto" w:val="clear"/>
            <w:vAlign w:val="center"/>
          </w:tcPr>
          <w:p>
            <w:pPr>
              <w:pStyle w:val="TableContents"/>
              <w:spacing w:before="0" w:after="283"/>
              <w:jc w:val="right"/>
              <w:rPr/>
            </w:pPr>
            <w:r>
              <w:rPr/>
              <w:t> </w:t>
            </w:r>
          </w:p>
        </w:tc>
      </w:tr>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20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 name="Image116" descr=""/>
                          <pic:cNvPicPr>
                            <a:picLocks noChangeAspect="1" noChangeArrowheads="1"/>
                          </pic:cNvPicPr>
                        </pic:nvPicPr>
                        <pic:blipFill>
                          <a:blip r:embed="rId117"/>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333333"/>
              </w:rPr>
            </w:pPr>
            <w:r>
              <w:rPr>
                <w:caps w:val="false"/>
                <w:smallCaps w:val="false"/>
                <w:color w:val="333333"/>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Age: 67</w:t>
            </w:r>
            <w:r>
              <w:rPr>
                <w:rFonts w:ascii="Arial;Helvetica;Sans-Serif" w:hAnsi="Arial;Helvetica;Sans-Serif"/>
                <w:b w:val="false"/>
                <w:i w:val="false"/>
                <w:caps w:val="false"/>
                <w:smallCaps w:val="false"/>
                <w:color w:val="58595B"/>
                <w:sz w:val="16"/>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Director Since: 2017</w:t>
            </w:r>
            <w:r>
              <w:rPr>
                <w:rFonts w:ascii="Arial;Helvetica;Sans-Serif" w:hAnsi="Arial;Helvetica;Sans-Serif"/>
                <w:b w:val="false"/>
                <w:i w:val="false"/>
                <w:caps w:val="false"/>
                <w:smallCaps w:val="false"/>
                <w:color w:val="58595B"/>
                <w:sz w:val="16"/>
              </w:rPr>
              <w:t> </w:t>
            </w:r>
          </w:p>
        </w:tc>
        <w:tc>
          <w:tcPr>
            <w:tcW w:w="60" w:type="dxa"/>
            <w:tcBorders/>
            <w:shd w:fill="auto" w:val="clear"/>
            <w:vAlign w:val="center"/>
          </w:tcPr>
          <w:p>
            <w:pPr>
              <w:pStyle w:val="TableContents"/>
              <w:spacing w:before="0" w:after="283"/>
              <w:rPr/>
            </w:pPr>
            <w:r>
              <w:rPr/>
              <w:t> </w:t>
            </w:r>
          </w:p>
        </w:tc>
        <w:tc>
          <w:tcPr>
            <w:tcW w:w="3187"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Hala G. Moddelmog</w:t>
            </w:r>
          </w:p>
        </w:tc>
        <w:tc>
          <w:tcPr>
            <w:tcW w:w="4693"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952500" cy="209550"/>
                  <wp:effectExtent l="0" t="0" r="0" b="0"/>
                  <wp:docPr id="20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 name="Image117" descr=""/>
                          <pic:cNvPicPr>
                            <a:picLocks noChangeAspect="1" noChangeArrowheads="1"/>
                          </pic:cNvPicPr>
                        </pic:nvPicPr>
                        <pic:blipFill>
                          <a:blip r:embed="rId118"/>
                          <a:stretch>
                            <a:fillRect/>
                          </a:stretch>
                        </pic:blipFill>
                        <pic:spPr bwMode="auto">
                          <a:xfrm>
                            <a:off x="0" y="0"/>
                            <a:ext cx="952500" cy="209550"/>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President &amp; CEO of the Woodruff Arts Center, which enriches the lives of more than 800,000 patrons annually, including more than 170,000 students and teachers, making the Woodruff Arts Center the largest arts educator in the state of Georgia; prior President &amp; CEO of the Metro Atlanta Chamber of Commerce; prior President of Arby’s Restaurant Group, Inc., a division of Wendy’s/Arby’s Group, Inc. (NYSE: WEN); President &amp; CEO of Susan G. Komen for the Cure, the world’s largest breast cancer organization; CEO of Catalytic Ventures, LLC, a business that evaluated investment opportunities in foodservice, franchising and multi-unit retail; and President of Church’s Chicken</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(current): Lamb Weston Holdings, Inc. (NYSE: LW)</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(prior): Amerigroup Corporation (NYSE: AGP) from 2009 to 2012; AMN Healthcare Services, Inc. (NYSE: AHS) from 2008 to 2010 and a number of non-profit boards of directors</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Over 20 years leading and enhancing value at high-growth companies including through M&amp;A; expertise in marketing; experience as an executive of large public companies; community ties and extensive board experience </w:t>
            </w:r>
          </w:p>
        </w:tc>
      </w:tr>
      <w:tr>
        <w:trPr/>
        <w:tc>
          <w:tcPr>
            <w:tcW w:w="226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187" w:type="dxa"/>
            <w:tcBorders/>
            <w:shd w:fill="auto" w:val="clear"/>
            <w:vAlign w:val="center"/>
          </w:tcPr>
          <w:p>
            <w:pPr>
              <w:pStyle w:val="TableContents"/>
              <w:spacing w:before="0" w:after="283"/>
              <w:rPr/>
            </w:pPr>
            <w:r>
              <w:rPr/>
              <w:t> </w:t>
            </w:r>
          </w:p>
        </w:tc>
        <w:tc>
          <w:tcPr>
            <w:tcW w:w="4693" w:type="dxa"/>
            <w:tcBorders/>
            <w:shd w:fill="auto" w:val="clear"/>
            <w:vAlign w:val="center"/>
          </w:tcPr>
          <w:p>
            <w:pPr>
              <w:pStyle w:val="TableContents"/>
              <w:spacing w:before="0" w:after="283"/>
              <w:jc w:val="right"/>
              <w:rPr/>
            </w:pPr>
            <w:r>
              <w:rPr/>
              <w:t> </w:t>
            </w:r>
          </w:p>
        </w:tc>
      </w:tr>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20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Image118" descr=""/>
                          <pic:cNvPicPr>
                            <a:picLocks noChangeAspect="1" noChangeArrowheads="1"/>
                          </pic:cNvPicPr>
                        </pic:nvPicPr>
                        <pic:blipFill>
                          <a:blip r:embed="rId119"/>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333333"/>
              </w:rPr>
            </w:pPr>
            <w:r>
              <w:rPr>
                <w:caps w:val="false"/>
                <w:smallCaps w:val="false"/>
                <w:color w:val="333333"/>
              </w:rPr>
              <w:t> </w:t>
            </w:r>
          </w:p>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Age: 55</w:t>
            </w:r>
            <w:r>
              <w:rPr>
                <w:rFonts w:ascii="Arial;Helvetica;Sans-Serif" w:hAnsi="Arial;Helvetica;Sans-Serif"/>
                <w:b w:val="false"/>
                <w:i w:val="false"/>
                <w:caps w:val="false"/>
                <w:smallCaps w:val="false"/>
                <w:color w:val="58595B"/>
                <w:sz w:val="16"/>
              </w:rPr>
              <w:t> </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2013</w:t>
            </w:r>
          </w:p>
        </w:tc>
        <w:tc>
          <w:tcPr>
            <w:tcW w:w="60" w:type="dxa"/>
            <w:tcBorders/>
            <w:shd w:fill="auto" w:val="clear"/>
            <w:vAlign w:val="center"/>
          </w:tcPr>
          <w:p>
            <w:pPr>
              <w:pStyle w:val="TableContents"/>
              <w:spacing w:before="0" w:after="283"/>
              <w:rPr/>
            </w:pPr>
            <w:r>
              <w:rPr/>
              <w:t> </w:t>
            </w:r>
          </w:p>
        </w:tc>
        <w:tc>
          <w:tcPr>
            <w:tcW w:w="3187"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Jeffrey S. Sloan</w:t>
            </w:r>
          </w:p>
        </w:tc>
        <w:tc>
          <w:tcPr>
            <w:tcW w:w="4693"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1428750" cy="200025"/>
                  <wp:effectExtent l="0" t="0" r="0" b="0"/>
                  <wp:docPr id="20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Image119" descr=""/>
                          <pic:cNvPicPr>
                            <a:picLocks noChangeAspect="1" noChangeArrowheads="1"/>
                          </pic:cNvPicPr>
                        </pic:nvPicPr>
                        <pic:blipFill>
                          <a:blip r:embed="rId120"/>
                          <a:stretch>
                            <a:fillRect/>
                          </a:stretch>
                        </pic:blipFill>
                        <pic:spPr bwMode="auto">
                          <a:xfrm>
                            <a:off x="0" y="0"/>
                            <a:ext cx="1428750" cy="200025"/>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CEO of Global Payments Inc., a leading international payments technology company since 2013; prior Executive positions with Goldman Sachs Group, Inc., including Partner and the worldwide head of Goldman’s financial technology group</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Other board experience (current): Global Payments Inc. (NYSE: GPN); Metro Atlanta Chamber of Commerce; Atlanta Committee for Progress</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28 years of experience in the financial services and payments industries; financial acumen and experience as a public company executive </w:t>
            </w:r>
          </w:p>
        </w:tc>
      </w:tr>
    </w:tbl>
    <w:p>
      <w:pPr>
        <w:pStyle w:val="TextBody"/>
        <w:spacing w:before="0" w:after="0"/>
        <w:rPr>
          <w:caps w:val="false"/>
          <w:smallCaps w:val="false"/>
          <w:color w:val="58595B"/>
        </w:rPr>
      </w:pPr>
      <w:r>
        <w:rPr>
          <w:caps w:val="false"/>
          <w:smallCaps w:val="false"/>
          <w:color w:val="58595B"/>
        </w:rPr>
        <w:t> </w:t>
      </w:r>
    </w:p>
    <w:tbl>
      <w:tblPr>
        <w:tblW w:w="3835" w:type="dxa"/>
        <w:jc w:val="left"/>
        <w:tblInd w:w="0" w:type="dxa"/>
        <w:tblCellMar>
          <w:top w:w="0" w:type="dxa"/>
          <w:left w:w="0" w:type="dxa"/>
          <w:bottom w:w="0" w:type="dxa"/>
          <w:right w:w="0" w:type="dxa"/>
        </w:tblCellMar>
      </w:tblPr>
      <w:tblGrid>
        <w:gridCol w:w="215"/>
        <w:gridCol w:w="3620"/>
      </w:tblGrid>
      <w:tr>
        <w:trPr/>
        <w:tc>
          <w:tcPr>
            <w:tcW w:w="215" w:type="dxa"/>
            <w:tcBorders/>
            <w:shd w:fill="auto" w:val="clear"/>
            <w:vAlign w:val="center"/>
          </w:tcPr>
          <w:p>
            <w:pPr>
              <w:pStyle w:val="TableContents"/>
              <w:spacing w:before="0" w:after="283"/>
              <w:jc w:val="left"/>
              <w:rPr>
                <w:b/>
                <w:color w:val="58595B"/>
                <w:sz w:val="16"/>
              </w:rPr>
            </w:pPr>
            <w:r>
              <w:rPr>
                <w:b/>
                <w:color w:val="58595B"/>
                <w:sz w:val="16"/>
              </w:rPr>
              <w:t>16</w:t>
            </w:r>
          </w:p>
        </w:tc>
        <w:tc>
          <w:tcPr>
            <w:tcW w:w="3620" w:type="dxa"/>
            <w:tcBorders/>
            <w:shd w:fill="auto" w:val="clear"/>
            <w:vAlign w:val="center"/>
          </w:tcPr>
          <w:p>
            <w:pPr>
              <w:pStyle w:val="TableContents"/>
              <w:spacing w:before="0" w:after="283"/>
              <w:rPr>
                <w:color w:val="58595B"/>
                <w:sz w:val="16"/>
              </w:rPr>
            </w:pPr>
            <w:r>
              <w:rPr>
                <w:color w:val="58595B"/>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03.</w:t>
      </w:r>
      <w:r>
        <w:rPr>
          <w:rFonts w:ascii="Arial;Helvetica;Sans-Serif" w:hAnsi="Arial;Helvetica;Sans-Serif"/>
          <w:b w:val="false"/>
          <w:i w:val="false"/>
          <w:caps w:val="false"/>
          <w:smallCaps w:val="false"/>
          <w:sz w:val="20"/>
        </w:rPr>
        <w:t> </w:t>
      </w:r>
      <w:r>
        <w:rPr>
          <w:rFonts w:ascii="Arial;Helvetica;Sans-Serif" w:hAnsi="Arial;Helvetica;Sans-Serif"/>
          <w:b w:val="false"/>
          <w:i w:val="false"/>
          <w:caps w:val="false"/>
          <w:smallCaps w:val="false"/>
          <w:color w:val="EE0027"/>
          <w:sz w:val="20"/>
        </w:rPr>
        <w:t>CORPORATE GOVERNANCE AND BOARD MATTERS</w:t>
      </w:r>
    </w:p>
    <w:p>
      <w:pPr>
        <w:pStyle w:val="TextBody"/>
        <w:spacing w:before="0" w:after="0"/>
        <w:rPr>
          <w:caps w:val="false"/>
          <w:smallCaps w:val="false"/>
          <w:color w:val="EE0027"/>
        </w:rPr>
      </w:pPr>
      <w:r>
        <w:rPr>
          <w:caps w:val="false"/>
          <w:smallCaps w:val="false"/>
          <w:color w:val="EE0027"/>
        </w:rPr>
        <w:t> </w:t>
      </w:r>
    </w:p>
    <w:tbl>
      <w:tblPr>
        <w:tblW w:w="10205" w:type="dxa"/>
        <w:jc w:val="left"/>
        <w:tblInd w:w="0" w:type="dxa"/>
        <w:tblCellMar>
          <w:top w:w="0" w:type="dxa"/>
          <w:left w:w="0" w:type="dxa"/>
          <w:bottom w:w="0" w:type="dxa"/>
          <w:right w:w="0" w:type="dxa"/>
        </w:tblCellMar>
      </w:tblPr>
      <w:tblGrid>
        <w:gridCol w:w="2265"/>
        <w:gridCol w:w="60"/>
        <w:gridCol w:w="3452"/>
        <w:gridCol w:w="4428"/>
      </w:tblGrid>
      <w:tr>
        <w:trPr/>
        <w:tc>
          <w:tcPr>
            <w:tcW w:w="2265" w:type="dxa"/>
            <w:vMerge w:val="restart"/>
            <w:tcBorders/>
            <w:shd w:fill="auto" w:val="clear"/>
            <w:vAlign w:val="center"/>
          </w:tcPr>
          <w:p>
            <w:pPr>
              <w:pStyle w:val="TableContents"/>
              <w:spacing w:before="0" w:after="0"/>
              <w:rPr>
                <w:caps w:val="false"/>
                <w:smallCaps w:val="false"/>
              </w:rPr>
            </w:pPr>
            <w:r>
              <w:rPr>
                <w:caps w:val="false"/>
                <w:smallCaps w:val="false"/>
              </w:rPr>
              <w:drawing>
                <wp:inline distT="0" distB="0" distL="0" distR="0">
                  <wp:extent cx="1428750" cy="1466850"/>
                  <wp:effectExtent l="0" t="0" r="0" b="0"/>
                  <wp:docPr id="20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Image120" descr=""/>
                          <pic:cNvPicPr>
                            <a:picLocks noChangeAspect="1" noChangeArrowheads="1"/>
                          </pic:cNvPicPr>
                        </pic:nvPicPr>
                        <pic:blipFill>
                          <a:blip r:embed="rId121"/>
                          <a:stretch>
                            <a:fillRect/>
                          </a:stretch>
                        </pic:blipFill>
                        <pic:spPr bwMode="auto">
                          <a:xfrm>
                            <a:off x="0" y="0"/>
                            <a:ext cx="1428750" cy="1466850"/>
                          </a:xfrm>
                          <a:prstGeom prst="rect">
                            <a:avLst/>
                          </a:prstGeom>
                        </pic:spPr>
                      </pic:pic>
                    </a:graphicData>
                  </a:graphic>
                </wp:inline>
              </w:drawing>
            </w:r>
          </w:p>
          <w:p>
            <w:pPr>
              <w:pStyle w:val="TableContents"/>
              <w:spacing w:before="0" w:after="0"/>
              <w:rPr>
                <w:caps w:val="false"/>
                <w:smallCaps w:val="false"/>
                <w:color w:val="FF0000"/>
              </w:rPr>
            </w:pPr>
            <w:r>
              <w:rPr>
                <w:caps w:val="false"/>
                <w:smallCaps w:val="false"/>
                <w:color w:val="FF0000"/>
              </w:rPr>
              <w:t> </w:t>
            </w:r>
          </w:p>
          <w:p>
            <w:pPr>
              <w:pStyle w:val="TableContents"/>
              <w:spacing w:before="0" w:after="0"/>
              <w:rPr>
                <w:rFonts w:ascii="Times New Roman;Times;Serif" w:hAnsi="Times New Roman;Times;Serif"/>
                <w:b w:val="false"/>
                <w:i w:val="false"/>
                <w:caps w:val="false"/>
                <w:smallCaps w:val="false"/>
                <w:color w:val="58595B"/>
                <w:sz w:val="16"/>
              </w:rPr>
            </w:pPr>
            <w:r>
              <w:rPr>
                <w:rFonts w:ascii="Arial;Helvetica;Sans-Serif" w:hAnsi="Arial;Helvetica;Sans-Serif"/>
                <w:b w:val="false"/>
                <w:i/>
                <w:caps w:val="false"/>
                <w:smallCaps w:val="false"/>
                <w:color w:val="58595B"/>
                <w:sz w:val="16"/>
              </w:rPr>
              <w:t>Lead Independent Director</w:t>
            </w:r>
            <w:r>
              <w:rPr>
                <w:rFonts w:ascii="Times New Roman;Times;Serif" w:hAnsi="Times New Roman;Times;Serif"/>
                <w:b w:val="false"/>
                <w:i w:val="false"/>
                <w:caps w:val="false"/>
                <w:smallCaps w:val="false"/>
                <w:color w:val="58595B"/>
                <w:sz w:val="16"/>
              </w:rPr>
              <w:br/>
            </w:r>
            <w:r>
              <w:rPr>
                <w:rFonts w:ascii="Arial;Helvetica;Sans-Serif" w:hAnsi="Arial;Helvetica;Sans-Serif"/>
                <w:b w:val="false"/>
                <w:i/>
                <w:caps w:val="false"/>
                <w:smallCaps w:val="false"/>
                <w:color w:val="58595B"/>
                <w:sz w:val="16"/>
              </w:rPr>
              <w:t>Age: 64</w:t>
            </w:r>
          </w:p>
          <w:p>
            <w:pPr>
              <w:pStyle w:val="TableContents"/>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Director Since: 2000</w:t>
            </w:r>
          </w:p>
        </w:tc>
        <w:tc>
          <w:tcPr>
            <w:tcW w:w="60" w:type="dxa"/>
            <w:tcBorders/>
            <w:shd w:fill="auto" w:val="clear"/>
            <w:vAlign w:val="center"/>
          </w:tcPr>
          <w:p>
            <w:pPr>
              <w:pStyle w:val="TableContents"/>
              <w:spacing w:before="0" w:after="283"/>
              <w:rPr/>
            </w:pPr>
            <w:r>
              <w:rPr/>
              <w:t> </w:t>
            </w:r>
          </w:p>
        </w:tc>
        <w:tc>
          <w:tcPr>
            <w:tcW w:w="3452" w:type="dxa"/>
            <w:tcBorders>
              <w:bottom w:val="single" w:sz="8" w:space="0" w:color="000000"/>
            </w:tcBorders>
            <w:shd w:fill="auto" w:val="clear"/>
            <w:tcMar>
              <w:bottom w:w="160" w:type="dxa"/>
            </w:tcMar>
            <w:vAlign w:val="center"/>
          </w:tcPr>
          <w:p>
            <w:pPr>
              <w:pStyle w:val="TableContents"/>
              <w:spacing w:before="0" w:after="283"/>
              <w:rPr>
                <w:rFonts w:ascii="Arial;Helvetica;Sans-Serif" w:hAnsi="Arial;Helvetica;Sans-Serif"/>
                <w:b/>
                <w:color w:val="EE0027"/>
                <w:sz w:val="20"/>
              </w:rPr>
            </w:pPr>
            <w:r>
              <w:rPr>
                <w:rFonts w:ascii="Arial;Helvetica;Sans-Serif" w:hAnsi="Arial;Helvetica;Sans-Serif"/>
                <w:b/>
                <w:color w:val="EE0027"/>
                <w:sz w:val="20"/>
              </w:rPr>
              <w:t>Steven T. Stull</w:t>
            </w:r>
          </w:p>
        </w:tc>
        <w:tc>
          <w:tcPr>
            <w:tcW w:w="4428" w:type="dxa"/>
            <w:tcBorders>
              <w:bottom w:val="single" w:sz="8" w:space="0" w:color="000000"/>
            </w:tcBorders>
            <w:shd w:fill="auto" w:val="clear"/>
            <w:tcMar>
              <w:bottom w:w="160" w:type="dxa"/>
            </w:tcMar>
            <w:vAlign w:val="center"/>
          </w:tcPr>
          <w:p>
            <w:pPr>
              <w:pStyle w:val="TableContents"/>
              <w:spacing w:before="0" w:after="283"/>
              <w:jc w:val="right"/>
              <w:rPr/>
            </w:pPr>
            <w:r>
              <w:rPr/>
              <w:drawing>
                <wp:inline distT="0" distB="0" distL="0" distR="0">
                  <wp:extent cx="952500" cy="200025"/>
                  <wp:effectExtent l="0" t="0" r="0" b="0"/>
                  <wp:docPr id="20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Image121" descr=""/>
                          <pic:cNvPicPr>
                            <a:picLocks noChangeAspect="1" noChangeArrowheads="1"/>
                          </pic:cNvPicPr>
                        </pic:nvPicPr>
                        <pic:blipFill>
                          <a:blip r:embed="rId122"/>
                          <a:stretch>
                            <a:fillRect/>
                          </a:stretch>
                        </pic:blipFill>
                        <pic:spPr bwMode="auto">
                          <a:xfrm>
                            <a:off x="0" y="0"/>
                            <a:ext cx="952500" cy="200025"/>
                          </a:xfrm>
                          <a:prstGeom prst="rect">
                            <a:avLst/>
                          </a:prstGeom>
                        </pic:spPr>
                      </pic:pic>
                    </a:graphicData>
                  </a:graphic>
                </wp:inline>
              </w:drawing>
            </w:r>
          </w:p>
        </w:tc>
      </w:tr>
      <w:tr>
        <w:trPr/>
        <w:tc>
          <w:tcPr>
            <w:tcW w:w="2265" w:type="dxa"/>
            <w:vMerge w:val="continue"/>
            <w:tcBorders/>
            <w:shd w:fill="auto" w:val="clear"/>
            <w:vAlign w:val="center"/>
          </w:tcPr>
          <w:p>
            <w:pPr>
              <w:pStyle w:val="Normal"/>
              <w:rPr/>
            </w:pPr>
            <w:r>
              <w:rPr/>
            </w:r>
          </w:p>
        </w:tc>
        <w:tc>
          <w:tcPr>
            <w:tcW w:w="60" w:type="dxa"/>
            <w:tcBorders/>
            <w:shd w:fill="auto" w:val="clear"/>
            <w:vAlign w:val="center"/>
          </w:tcPr>
          <w:p>
            <w:pPr>
              <w:pStyle w:val="TableContents"/>
              <w:spacing w:before="0" w:after="283"/>
              <w:rPr/>
            </w:pPr>
            <w:r>
              <w:rPr/>
              <w:t> </w:t>
            </w:r>
          </w:p>
        </w:tc>
        <w:tc>
          <w:tcPr>
            <w:tcW w:w="7880" w:type="dxa"/>
            <w:gridSpan w:val="2"/>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Featured experience, qualifications and attributes: CEO and Co-Founder of Advantage Capital Partners, a private equity firm, overseeing investments in the technology, financial and information services industries, since 1992; prior Investment executive with a large insurance company; Chief financial officer of an information services company and other career experience in financial institutions</w:t>
            </w:r>
          </w:p>
          <w:p>
            <w:pPr>
              <w:pStyle w:val="TableContents"/>
              <w:spacing w:before="0" w:after="0"/>
              <w:rPr>
                <w:caps w:val="false"/>
                <w:smallCaps w:val="false"/>
                <w:color w:val="58595B"/>
              </w:rPr>
            </w:pPr>
            <w:r>
              <w:rPr>
                <w:caps w:val="false"/>
                <w:smallCaps w:val="false"/>
                <w:color w:val="58595B"/>
              </w:rPr>
              <w:t> </w:t>
            </w:r>
          </w:p>
          <w:p>
            <w:pPr>
              <w:pStyle w:val="TableContents"/>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Provides: Deep experience in investments and the financial services business </w:t>
            </w:r>
          </w:p>
        </w:tc>
      </w:tr>
    </w:tbl>
    <w:p>
      <w:pPr>
        <w:pStyle w:val="TextBody"/>
        <w:spacing w:before="0" w:after="0"/>
        <w:rPr>
          <w:caps w:val="false"/>
          <w:smallCaps w:val="false"/>
          <w:color w:val="EE0027"/>
        </w:rPr>
      </w:pPr>
      <w:r>
        <w:rPr>
          <w:caps w:val="false"/>
          <w:smallCaps w:val="false"/>
          <w:color w:val="EE0027"/>
        </w:rPr>
        <w:t> </w:t>
      </w:r>
    </w:p>
    <w:p>
      <w:pPr>
        <w:pStyle w:val="TextBody"/>
        <w:spacing w:before="0" w:after="0"/>
        <w:rPr>
          <w:caps w:val="false"/>
          <w:smallCaps w:val="false"/>
        </w:rPr>
      </w:pPr>
      <w:r>
        <w:rPr>
          <w:caps w:val="false"/>
          <w:smallCaps w:val="false"/>
        </w:rPr>
        <w:t> </w:t>
      </w:r>
      <w:r>
        <mc:AlternateContent>
          <mc:Choice Requires="wps">
            <w:drawing>
              <wp:anchor behindDoc="0" distT="0" distB="0" distL="0" distR="0" simplePos="0" locked="0" layoutInCell="1" allowOverlap="1" relativeHeight="64">
                <wp:simplePos x="0" y="0"/>
                <wp:positionH relativeFrom="column">
                  <wp:align>left</wp:align>
                </wp:positionH>
                <wp:positionV relativeFrom="line">
                  <wp:posOffset>635</wp:posOffset>
                </wp:positionV>
                <wp:extent cx="3110230" cy="2658110"/>
                <wp:effectExtent l="0" t="0" r="0" b="0"/>
                <wp:wrapSquare wrapText="largest"/>
                <wp:docPr id="207" name="Frame22"/>
                <a:graphic xmlns:a="http://schemas.openxmlformats.org/drawingml/2006/main">
                  <a:graphicData uri="http://schemas.microsoft.com/office/word/2010/wordprocessingShape">
                    <wps:wsp>
                      <wps:cNvSpPr txBox="1"/>
                      <wps:spPr>
                        <a:xfrm>
                          <a:off x="0" y="0"/>
                          <a:ext cx="3110230" cy="2658110"/>
                        </a:xfrm>
                        <a:prstGeom prst="rect"/>
                      </wps:spPr>
                      <wps:txbx>
                        <w:txbxContent>
                          <w:p>
                            <w:pPr>
                              <w:pStyle w:val="TextBody"/>
                              <w:spacing w:before="0" w:after="0"/>
                              <w:rPr>
                                <w:rFonts w:ascii="Arial;Helvetica;Sans-Serif" w:hAnsi="Arial;Helvetica;Sans-Serif"/>
                                <w:b/>
                                <w:i w:val="false"/>
                                <w:caps w:val="false"/>
                                <w:smallCaps w:val="false"/>
                                <w:color w:val="EE0027"/>
                                <w:sz w:val="20"/>
                              </w:rPr>
                            </w:pPr>
                            <w:bookmarkStart w:id="38" w:name="a023"/>
                            <w:bookmarkEnd w:id="38"/>
                            <w:r>
                              <w:rPr>
                                <w:rFonts w:ascii="Arial;Helvetica;Sans-Serif" w:hAnsi="Arial;Helvetica;Sans-Serif"/>
                                <w:b/>
                                <w:i w:val="false"/>
                                <w:caps w:val="false"/>
                                <w:smallCaps w:val="false"/>
                                <w:color w:val="EE0027"/>
                                <w:sz w:val="20"/>
                              </w:rPr>
                              <w:t>Evaluation and Evolution of Our Board</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part of our focus on shareholder value, we regularly evaluate the performance of our Board and its committees and engage in self-evaluation process. We also evaluate the mix of experience, expertise and tenure of our individual directors. Our corporate governance guidelines reflect this approach. We believe our directors’ diverse backgrounds help us to make the most of opportunities and to effectively manage risk. We believe that our efforts have and will continue to result in a board and management focused on delivering exceptional value to our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39" w:name="a024"/>
                            <w:bookmarkEnd w:id="39"/>
                            <w:r>
                              <w:rPr>
                                <w:rFonts w:ascii="Arial;Helvetica;Sans-Serif" w:hAnsi="Arial;Helvetica;Sans-Serif"/>
                                <w:b/>
                                <w:i w:val="false"/>
                                <w:caps w:val="false"/>
                                <w:smallCaps w:val="false"/>
                                <w:color w:val="EE0027"/>
                                <w:sz w:val="20"/>
                              </w:rPr>
                              <w:t>Board Meetings and Committees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held five meetings in 2022 and each director attended at least 75% of all Board and applicable committee meetings during the year. Our independent directors meet regularly in executive session at each scheduled in-person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9.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EE0027"/>
                          <w:sz w:val="20"/>
                        </w:rPr>
                      </w:pPr>
                      <w:bookmarkStart w:id="40" w:name="a023"/>
                      <w:bookmarkEnd w:id="40"/>
                      <w:r>
                        <w:rPr>
                          <w:rFonts w:ascii="Arial;Helvetica;Sans-Serif" w:hAnsi="Arial;Helvetica;Sans-Serif"/>
                          <w:b/>
                          <w:i w:val="false"/>
                          <w:caps w:val="false"/>
                          <w:smallCaps w:val="false"/>
                          <w:color w:val="EE0027"/>
                          <w:sz w:val="20"/>
                        </w:rPr>
                        <w:t>Evaluation and Evolution of Our Board</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part of our focus on shareholder value, we regularly evaluate the performance of our Board and its committees and engage in self-evaluation process. We also evaluate the mix of experience, expertise and tenure of our individual directors. Our corporate governance guidelines reflect this approach. We believe our directors’ diverse backgrounds help us to make the most of opportunities and to effectively manage risk. We believe that our efforts have and will continue to result in a board and management focused on delivering exceptional value to our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41" w:name="a024"/>
                      <w:bookmarkEnd w:id="41"/>
                      <w:r>
                        <w:rPr>
                          <w:rFonts w:ascii="Arial;Helvetica;Sans-Serif" w:hAnsi="Arial;Helvetica;Sans-Serif"/>
                          <w:b/>
                          <w:i w:val="false"/>
                          <w:caps w:val="false"/>
                          <w:smallCaps w:val="false"/>
                          <w:color w:val="EE0027"/>
                          <w:sz w:val="20"/>
                        </w:rPr>
                        <w:t>Board Meetings and Committees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held five meetings in 2022 and each director attended at least 75% of all Board and applicable committee meetings during the year. Our independent directors meet regularly in executive session at each scheduled in-person</w:t>
                      </w:r>
                    </w:p>
                  </w:txbxContent>
                </v:textbox>
                <w10:wrap type="square" side="right"/>
              </v:rect>
            </w:pict>
          </mc:Fallback>
        </mc:AlternateContent>
      </w:r>
      <w:r>
        <mc:AlternateContent>
          <mc:Choice Requires="wps">
            <w:drawing>
              <wp:anchor behindDoc="0" distT="0" distB="0" distL="0" distR="0" simplePos="0" locked="0" layoutInCell="1" allowOverlap="1" relativeHeight="65">
                <wp:simplePos x="0" y="0"/>
                <wp:positionH relativeFrom="column">
                  <wp:align>right</wp:align>
                </wp:positionH>
                <wp:positionV relativeFrom="line">
                  <wp:posOffset>635</wp:posOffset>
                </wp:positionV>
                <wp:extent cx="3110230" cy="2979420"/>
                <wp:effectExtent l="0" t="0" r="0" b="0"/>
                <wp:wrapSquare wrapText="largest"/>
                <wp:docPr id="208" name="Frame23"/>
                <a:graphic xmlns:a="http://schemas.openxmlformats.org/drawingml/2006/main">
                  <a:graphicData uri="http://schemas.microsoft.com/office/word/2010/wordprocessingShape">
                    <wps:wsp>
                      <wps:cNvSpPr txBox="1"/>
                      <wps:spPr>
                        <a:xfrm>
                          <a:off x="0" y="0"/>
                          <a:ext cx="3110230" cy="297942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Board meeting. These sessions are led by independent directors selected on a rotating basis, who report the results of the independent sessions to the CEO and, if appropriate to other members of senior management.</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Through 2022, our Board had five standing committees: an audit committee; a compensation committee, a nominating and corporate governance committee referred to as our governance committee; an executive and acquisitions committee; an information technology and security committee. As described above, we entered into the Cooperation Agreement in March 2023, pursuant to which we formed an ad hoc strategic review committee. The table below provides current membership for each of the Board committees.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Each committee meets at least quarterly, except the executive and acquisitions committee and strategic review committee, which meets as needed when matters within its charter arise. Our Board has adopted charters for the committees, which are available on our website at https://investor.FLEETCOR.com.</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4.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Board meeting. These sessions are led by independent directors selected on a rotating basis, who report the results of the independent sessions to the CEO and, if appropriate to other members of senior management.</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Through 2022, our Board had five standing committees: an audit committee; a compensation committee, a nominating and corporate governance committee referred to as our governance committee; an executive and acquisitions committee; an information technology and security committee. As described above, we entered into the Cooperation Agreement in March 2023, pursuant to which we formed an ad hoc strategic review committee. The table below provides current membership for each of the Board committees.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Each committee meets at least quarterly, except the executive and acquisitions committee and strategic review committee, which meets as needed when matters within its charter arise. Our Board has adopted charters for the committees, which are available on our website at https://investor.FLEETCOR.com.</w:t>
                      </w:r>
                    </w:p>
                  </w:txbxContent>
                </v:textbox>
                <w10:wrap type="square" side="left"/>
              </v:rect>
            </w:pict>
          </mc:Fallback>
        </mc:AlternateConten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0"/>
              <w:jc w:val="righ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color w:val="58595B"/>
                <w:sz w:val="16"/>
              </w:rPr>
            </w:pPr>
            <w:r>
              <w:rPr>
                <w:rFonts w:ascii="Arial;Helvetica;Sans-Serif" w:hAnsi="Arial;Helvetica;Sans-Serif"/>
                <w:b/>
                <w:color w:val="58595B"/>
                <w:sz w:val="16"/>
              </w:rPr>
              <w:t>17</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03. </w:t>
      </w:r>
      <w:r>
        <w:rPr>
          <w:rFonts w:ascii="Arial;Helvetica;Sans-Serif" w:hAnsi="Arial;Helvetica;Sans-Serif"/>
          <w:b w:val="false"/>
          <w:i w:val="false"/>
          <w:caps w:val="false"/>
          <w:smallCaps w:val="false"/>
          <w:color w:val="DC0021"/>
          <w:sz w:val="20"/>
        </w:rPr>
        <w:t>CORPORATE GOVERNANCE AND BOARD MATTERS</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Board Committee Membership</w:t>
      </w:r>
    </w:p>
    <w:p>
      <w:pPr>
        <w:pStyle w:val="TextBody"/>
        <w:spacing w:before="0" w:after="0"/>
        <w:rPr>
          <w:caps w:val="false"/>
          <w:smallCaps w:val="false"/>
        </w:rPr>
      </w:pPr>
      <w:r>
        <w:rPr>
          <w:caps w:val="false"/>
          <w:smallCaps w:val="false"/>
        </w:rPr>
        <w:t> </w:t>
      </w:r>
    </w:p>
    <w:tbl>
      <w:tblPr>
        <w:tblW w:w="7310" w:type="dxa"/>
        <w:jc w:val="left"/>
        <w:tblInd w:w="0" w:type="dxa"/>
        <w:tblCellMar>
          <w:top w:w="0" w:type="dxa"/>
          <w:left w:w="0" w:type="dxa"/>
          <w:bottom w:w="0" w:type="dxa"/>
          <w:right w:w="0" w:type="dxa"/>
        </w:tblCellMar>
      </w:tblPr>
      <w:tblGrid>
        <w:gridCol w:w="1700"/>
        <w:gridCol w:w="455"/>
        <w:gridCol w:w="1190"/>
        <w:gridCol w:w="1145"/>
        <w:gridCol w:w="1025"/>
        <w:gridCol w:w="1010"/>
        <w:gridCol w:w="785"/>
      </w:tblGrid>
      <w:tr>
        <w:trPr/>
        <w:tc>
          <w:tcPr>
            <w:tcW w:w="1700" w:type="dxa"/>
            <w:tcBorders/>
            <w:shd w:fill="DC0021" w:val="clear"/>
            <w:vAlign w:val="center"/>
          </w:tcPr>
          <w:p>
            <w:pPr>
              <w:pStyle w:val="TableContents"/>
              <w:spacing w:before="0" w:after="283"/>
              <w:jc w:val="left"/>
              <w:rPr/>
            </w:pPr>
            <w:r>
              <w:rPr/>
              <w:t> </w:t>
            </w:r>
          </w:p>
        </w:tc>
        <w:tc>
          <w:tcPr>
            <w:tcW w:w="455" w:type="dxa"/>
            <w:tcBorders/>
            <w:shd w:fill="DC0021"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Audit</w:t>
            </w:r>
          </w:p>
        </w:tc>
        <w:tc>
          <w:tcPr>
            <w:tcW w:w="1190" w:type="dxa"/>
            <w:tcBorders/>
            <w:shd w:fill="DC0021"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Compensation</w:t>
            </w:r>
          </w:p>
        </w:tc>
        <w:tc>
          <w:tcPr>
            <w:tcW w:w="1145" w:type="dxa"/>
            <w:tcBorders/>
            <w:shd w:fill="DC0021" w:val="clear"/>
            <w:vAlign w:val="center"/>
          </w:tcPr>
          <w:p>
            <w:pPr>
              <w:pStyle w:val="TableContents"/>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Nomination</w:t>
            </w:r>
          </w:p>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&amp; Governance</w:t>
            </w:r>
          </w:p>
        </w:tc>
        <w:tc>
          <w:tcPr>
            <w:tcW w:w="1025" w:type="dxa"/>
            <w:tcBorders/>
            <w:shd w:fill="DC0021"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Executive &amp; </w:t>
              <w:br/>
              <w:t>Acquisitions</w:t>
            </w:r>
          </w:p>
        </w:tc>
        <w:tc>
          <w:tcPr>
            <w:tcW w:w="1010" w:type="dxa"/>
            <w:tcBorders/>
            <w:shd w:fill="DC0021"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Information </w:t>
              <w:br/>
              <w:t xml:space="preserve">Technology </w:t>
              <w:br/>
              <w:t>&amp; Security</w:t>
            </w:r>
          </w:p>
        </w:tc>
        <w:tc>
          <w:tcPr>
            <w:tcW w:w="785" w:type="dxa"/>
            <w:tcBorders/>
            <w:shd w:fill="DC0021"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Strategic </w:t>
              <w:br/>
              <w:t>Review</w:t>
            </w:r>
          </w:p>
        </w:tc>
      </w:tr>
      <w:tr>
        <w:trPr/>
        <w:tc>
          <w:tcPr>
            <w:tcW w:w="170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Annabelle Bexiga</w:t>
            </w:r>
          </w:p>
        </w:tc>
        <w:tc>
          <w:tcPr>
            <w:tcW w:w="455" w:type="dxa"/>
            <w:tcBorders/>
            <w:shd w:fill="auto" w:val="clear"/>
            <w:vAlign w:val="center"/>
          </w:tcPr>
          <w:p>
            <w:pPr>
              <w:pStyle w:val="TableContents"/>
              <w:spacing w:before="0" w:after="283"/>
              <w:rPr>
                <w:color w:val="58595B"/>
              </w:rPr>
            </w:pPr>
            <w:r>
              <w:rPr>
                <w:color w:val="58595B"/>
              </w:rPr>
              <w:t>—</w:t>
            </w:r>
          </w:p>
        </w:tc>
        <w:tc>
          <w:tcPr>
            <w:tcW w:w="1190" w:type="dxa"/>
            <w:tcBorders/>
            <w:shd w:fill="auto" w:val="clear"/>
            <w:vAlign w:val="center"/>
          </w:tcPr>
          <w:p>
            <w:pPr>
              <w:pStyle w:val="TableContents"/>
              <w:spacing w:before="0" w:after="283"/>
              <w:rPr>
                <w:color w:val="58595B"/>
              </w:rPr>
            </w:pPr>
            <w:r>
              <w:rPr>
                <w:color w:val="58595B"/>
              </w:rPr>
              <w:t>—</w:t>
            </w:r>
          </w:p>
        </w:tc>
        <w:tc>
          <w:tcPr>
            <w:tcW w:w="1145" w:type="dxa"/>
            <w:tcBorders/>
            <w:shd w:fill="auto" w:val="clear"/>
            <w:vAlign w:val="center"/>
          </w:tcPr>
          <w:p>
            <w:pPr>
              <w:pStyle w:val="TableContents"/>
              <w:spacing w:before="0" w:after="283"/>
              <w:rPr>
                <w:color w:val="58595B"/>
              </w:rPr>
            </w:pPr>
            <w:r>
              <w:rPr>
                <w:color w:val="58595B"/>
              </w:rPr>
              <w:t>—</w:t>
            </w:r>
          </w:p>
        </w:tc>
        <w:tc>
          <w:tcPr>
            <w:tcW w:w="1025" w:type="dxa"/>
            <w:tcBorders/>
            <w:shd w:fill="auto" w:val="clear"/>
            <w:vAlign w:val="center"/>
          </w:tcPr>
          <w:p>
            <w:pPr>
              <w:pStyle w:val="TableContents"/>
              <w:spacing w:before="0" w:after="283"/>
              <w:rPr>
                <w:color w:val="58595B"/>
              </w:rPr>
            </w:pPr>
            <w:r>
              <w:rPr>
                <w:color w:val="58595B"/>
              </w:rPr>
              <w:t>—</w:t>
            </w:r>
          </w:p>
        </w:tc>
        <w:tc>
          <w:tcPr>
            <w:tcW w:w="101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78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r>
      <w:tr>
        <w:trPr/>
        <w:tc>
          <w:tcPr>
            <w:tcW w:w="1700"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Michael Buckman</w:t>
            </w:r>
          </w:p>
        </w:tc>
        <w:tc>
          <w:tcPr>
            <w:tcW w:w="45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190" w:type="dxa"/>
            <w:tcBorders/>
            <w:shd w:fill="DCDDDE" w:val="clear"/>
            <w:vAlign w:val="center"/>
          </w:tcPr>
          <w:p>
            <w:pPr>
              <w:pStyle w:val="TableContents"/>
              <w:spacing w:before="0" w:after="283"/>
              <w:rPr>
                <w:color w:val="58595B"/>
              </w:rPr>
            </w:pPr>
            <w:r>
              <w:rPr>
                <w:color w:val="58595B"/>
              </w:rPr>
              <w:t>—</w:t>
            </w:r>
          </w:p>
        </w:tc>
        <w:tc>
          <w:tcPr>
            <w:tcW w:w="1145" w:type="dxa"/>
            <w:tcBorders/>
            <w:shd w:fill="DCDDDE" w:val="clear"/>
            <w:vAlign w:val="center"/>
          </w:tcPr>
          <w:p>
            <w:pPr>
              <w:pStyle w:val="TableContents"/>
              <w:spacing w:before="0" w:after="283"/>
              <w:rPr>
                <w:color w:val="58595B"/>
              </w:rPr>
            </w:pPr>
            <w:r>
              <w:rPr>
                <w:color w:val="58595B"/>
              </w:rPr>
              <w:t>—</w:t>
            </w:r>
          </w:p>
        </w:tc>
        <w:tc>
          <w:tcPr>
            <w:tcW w:w="1025" w:type="dxa"/>
            <w:tcBorders/>
            <w:shd w:fill="DCDDDE" w:val="clear"/>
            <w:vAlign w:val="center"/>
          </w:tcPr>
          <w:p>
            <w:pPr>
              <w:pStyle w:val="TableContents"/>
              <w:spacing w:before="0" w:after="283"/>
              <w:rPr>
                <w:color w:val="58595B"/>
              </w:rPr>
            </w:pPr>
            <w:r>
              <w:rPr>
                <w:color w:val="58595B"/>
              </w:rPr>
              <w:t>—</w:t>
            </w:r>
          </w:p>
        </w:tc>
        <w:tc>
          <w:tcPr>
            <w:tcW w:w="101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785" w:type="dxa"/>
            <w:tcBorders/>
            <w:shd w:fill="DCDDDE" w:val="clear"/>
            <w:vAlign w:val="center"/>
          </w:tcPr>
          <w:p>
            <w:pPr>
              <w:pStyle w:val="TableContents"/>
              <w:spacing w:before="0" w:after="283"/>
              <w:rPr>
                <w:color w:val="58595B"/>
              </w:rPr>
            </w:pPr>
            <w:r>
              <w:rPr>
                <w:color w:val="58595B"/>
              </w:rPr>
              <w:t>—</w:t>
            </w:r>
          </w:p>
        </w:tc>
      </w:tr>
      <w:tr>
        <w:trPr/>
        <w:tc>
          <w:tcPr>
            <w:tcW w:w="170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Ronald F. Clarke</w:t>
            </w:r>
          </w:p>
        </w:tc>
        <w:tc>
          <w:tcPr>
            <w:tcW w:w="455" w:type="dxa"/>
            <w:tcBorders/>
            <w:shd w:fill="auto" w:val="clear"/>
            <w:vAlign w:val="center"/>
          </w:tcPr>
          <w:p>
            <w:pPr>
              <w:pStyle w:val="TableContents"/>
              <w:spacing w:before="0" w:after="283"/>
              <w:rPr>
                <w:color w:val="58595B"/>
              </w:rPr>
            </w:pPr>
            <w:r>
              <w:rPr>
                <w:color w:val="58595B"/>
              </w:rPr>
              <w:t>—</w:t>
            </w:r>
          </w:p>
        </w:tc>
        <w:tc>
          <w:tcPr>
            <w:tcW w:w="1190" w:type="dxa"/>
            <w:tcBorders/>
            <w:shd w:fill="auto" w:val="clear"/>
            <w:vAlign w:val="center"/>
          </w:tcPr>
          <w:p>
            <w:pPr>
              <w:pStyle w:val="TableContents"/>
              <w:spacing w:before="0" w:after="283"/>
              <w:rPr>
                <w:color w:val="58595B"/>
              </w:rPr>
            </w:pPr>
            <w:r>
              <w:rPr>
                <w:color w:val="58595B"/>
              </w:rPr>
              <w:t>—</w:t>
            </w:r>
          </w:p>
        </w:tc>
        <w:tc>
          <w:tcPr>
            <w:tcW w:w="1145" w:type="dxa"/>
            <w:tcBorders/>
            <w:shd w:fill="auto" w:val="clear"/>
            <w:vAlign w:val="center"/>
          </w:tcPr>
          <w:p>
            <w:pPr>
              <w:pStyle w:val="TableContents"/>
              <w:spacing w:before="0" w:after="283"/>
              <w:rPr>
                <w:color w:val="58595B"/>
              </w:rPr>
            </w:pPr>
            <w:r>
              <w:rPr>
                <w:color w:val="58595B"/>
              </w:rPr>
              <w:t>—</w:t>
            </w:r>
          </w:p>
        </w:tc>
        <w:tc>
          <w:tcPr>
            <w:tcW w:w="102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w:t>
            </w:r>
          </w:p>
        </w:tc>
        <w:tc>
          <w:tcPr>
            <w:tcW w:w="1010" w:type="dxa"/>
            <w:tcBorders/>
            <w:shd w:fill="auto" w:val="clear"/>
            <w:vAlign w:val="center"/>
          </w:tcPr>
          <w:p>
            <w:pPr>
              <w:pStyle w:val="TableContents"/>
              <w:spacing w:before="0" w:after="283"/>
              <w:rPr>
                <w:color w:val="58595B"/>
              </w:rPr>
            </w:pPr>
            <w:r>
              <w:rPr>
                <w:color w:val="58595B"/>
              </w:rPr>
              <w:t>—</w:t>
            </w:r>
          </w:p>
        </w:tc>
        <w:tc>
          <w:tcPr>
            <w:tcW w:w="78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w:t>
            </w:r>
          </w:p>
        </w:tc>
      </w:tr>
      <w:tr>
        <w:trPr/>
        <w:tc>
          <w:tcPr>
            <w:tcW w:w="1700"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Joseph W. Farrelly</w:t>
            </w:r>
          </w:p>
        </w:tc>
        <w:tc>
          <w:tcPr>
            <w:tcW w:w="455" w:type="dxa"/>
            <w:tcBorders/>
            <w:shd w:fill="DCDDDE" w:val="clear"/>
            <w:vAlign w:val="center"/>
          </w:tcPr>
          <w:p>
            <w:pPr>
              <w:pStyle w:val="TableContents"/>
              <w:spacing w:before="0" w:after="283"/>
              <w:rPr>
                <w:color w:val="58595B"/>
              </w:rPr>
            </w:pPr>
            <w:r>
              <w:rPr>
                <w:color w:val="58595B"/>
              </w:rPr>
              <w:t>—</w:t>
            </w:r>
          </w:p>
        </w:tc>
        <w:tc>
          <w:tcPr>
            <w:tcW w:w="119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145" w:type="dxa"/>
            <w:tcBorders/>
            <w:shd w:fill="DCDDDE" w:val="clear"/>
            <w:vAlign w:val="center"/>
          </w:tcPr>
          <w:p>
            <w:pPr>
              <w:pStyle w:val="TableContents"/>
              <w:spacing w:before="0" w:after="283"/>
              <w:rPr>
                <w:color w:val="58595B"/>
              </w:rPr>
            </w:pPr>
            <w:r>
              <w:rPr>
                <w:color w:val="58595B"/>
              </w:rPr>
              <w:t>—</w:t>
            </w:r>
          </w:p>
        </w:tc>
        <w:tc>
          <w:tcPr>
            <w:tcW w:w="1025" w:type="dxa"/>
            <w:tcBorders/>
            <w:shd w:fill="DCDDDE" w:val="clear"/>
            <w:vAlign w:val="center"/>
          </w:tcPr>
          <w:p>
            <w:pPr>
              <w:pStyle w:val="TableContents"/>
              <w:spacing w:before="0" w:after="283"/>
              <w:rPr>
                <w:color w:val="58595B"/>
              </w:rPr>
            </w:pPr>
            <w:r>
              <w:rPr>
                <w:color w:val="58595B"/>
              </w:rPr>
              <w:t>—</w:t>
            </w:r>
          </w:p>
        </w:tc>
        <w:tc>
          <w:tcPr>
            <w:tcW w:w="101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w:t>
            </w:r>
          </w:p>
        </w:tc>
        <w:tc>
          <w:tcPr>
            <w:tcW w:w="785" w:type="dxa"/>
            <w:tcBorders/>
            <w:shd w:fill="DCDDDE" w:val="clear"/>
            <w:vAlign w:val="center"/>
          </w:tcPr>
          <w:p>
            <w:pPr>
              <w:pStyle w:val="TableContents"/>
              <w:spacing w:before="0" w:after="283"/>
              <w:rPr>
                <w:color w:val="58595B"/>
              </w:rPr>
            </w:pPr>
            <w:r>
              <w:rPr>
                <w:color w:val="58595B"/>
              </w:rPr>
              <w:t>—</w:t>
            </w:r>
          </w:p>
        </w:tc>
      </w:tr>
      <w:tr>
        <w:trPr/>
        <w:tc>
          <w:tcPr>
            <w:tcW w:w="170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Rahul Gupta</w:t>
            </w:r>
          </w:p>
        </w:tc>
        <w:tc>
          <w:tcPr>
            <w:tcW w:w="455" w:type="dxa"/>
            <w:tcBorders/>
            <w:shd w:fill="auto" w:val="clear"/>
            <w:vAlign w:val="center"/>
          </w:tcPr>
          <w:p>
            <w:pPr>
              <w:pStyle w:val="TableContents"/>
              <w:spacing w:before="0" w:after="283"/>
              <w:rPr>
                <w:color w:val="58595B"/>
              </w:rPr>
            </w:pPr>
            <w:r>
              <w:rPr>
                <w:color w:val="58595B"/>
              </w:rPr>
              <w:t>—</w:t>
            </w:r>
          </w:p>
        </w:tc>
        <w:tc>
          <w:tcPr>
            <w:tcW w:w="1190" w:type="dxa"/>
            <w:tcBorders/>
            <w:shd w:fill="auto" w:val="clear"/>
            <w:vAlign w:val="center"/>
          </w:tcPr>
          <w:p>
            <w:pPr>
              <w:pStyle w:val="TableContents"/>
              <w:spacing w:before="0" w:after="283"/>
              <w:rPr>
                <w:color w:val="58595B"/>
              </w:rPr>
            </w:pPr>
            <w:r>
              <w:rPr>
                <w:color w:val="58595B"/>
              </w:rPr>
              <w:t>—</w:t>
            </w:r>
          </w:p>
        </w:tc>
        <w:tc>
          <w:tcPr>
            <w:tcW w:w="11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025" w:type="dxa"/>
            <w:tcBorders/>
            <w:shd w:fill="auto" w:val="clear"/>
            <w:vAlign w:val="center"/>
          </w:tcPr>
          <w:p>
            <w:pPr>
              <w:pStyle w:val="TableContents"/>
              <w:spacing w:before="0" w:after="283"/>
              <w:rPr>
                <w:color w:val="58595B"/>
              </w:rPr>
            </w:pPr>
            <w:r>
              <w:rPr>
                <w:color w:val="58595B"/>
              </w:rPr>
              <w:t>—</w:t>
            </w:r>
          </w:p>
        </w:tc>
        <w:tc>
          <w:tcPr>
            <w:tcW w:w="1010" w:type="dxa"/>
            <w:tcBorders/>
            <w:shd w:fill="auto" w:val="clear"/>
            <w:vAlign w:val="center"/>
          </w:tcPr>
          <w:p>
            <w:pPr>
              <w:pStyle w:val="TableContents"/>
              <w:spacing w:before="0" w:after="283"/>
              <w:rPr>
                <w:color w:val="58595B"/>
              </w:rPr>
            </w:pPr>
            <w:r>
              <w:rPr>
                <w:color w:val="58595B"/>
              </w:rPr>
              <w:t>—</w:t>
            </w:r>
          </w:p>
        </w:tc>
        <w:tc>
          <w:tcPr>
            <w:tcW w:w="78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r>
      <w:tr>
        <w:trPr/>
        <w:tc>
          <w:tcPr>
            <w:tcW w:w="1700"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Thomas M. Hagerty</w:t>
            </w:r>
          </w:p>
        </w:tc>
        <w:tc>
          <w:tcPr>
            <w:tcW w:w="455" w:type="dxa"/>
            <w:tcBorders/>
            <w:shd w:fill="DCDDDE" w:val="clear"/>
            <w:vAlign w:val="center"/>
          </w:tcPr>
          <w:p>
            <w:pPr>
              <w:pStyle w:val="TableContents"/>
              <w:spacing w:before="0" w:after="283"/>
              <w:rPr>
                <w:color w:val="58595B"/>
              </w:rPr>
            </w:pPr>
            <w:r>
              <w:rPr>
                <w:color w:val="58595B"/>
              </w:rPr>
              <w:t>—</w:t>
            </w:r>
          </w:p>
        </w:tc>
        <w:tc>
          <w:tcPr>
            <w:tcW w:w="119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w:t>
            </w:r>
          </w:p>
        </w:tc>
        <w:tc>
          <w:tcPr>
            <w:tcW w:w="1145" w:type="dxa"/>
            <w:tcBorders/>
            <w:shd w:fill="DCDDDE" w:val="clear"/>
            <w:vAlign w:val="center"/>
          </w:tcPr>
          <w:p>
            <w:pPr>
              <w:pStyle w:val="TableContents"/>
              <w:spacing w:before="0" w:after="283"/>
              <w:rPr>
                <w:color w:val="58595B"/>
              </w:rPr>
            </w:pPr>
            <w:r>
              <w:rPr>
                <w:color w:val="58595B"/>
              </w:rPr>
              <w:t>—</w:t>
            </w:r>
          </w:p>
        </w:tc>
        <w:tc>
          <w:tcPr>
            <w:tcW w:w="102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010" w:type="dxa"/>
            <w:tcBorders/>
            <w:shd w:fill="DCDDDE" w:val="clear"/>
            <w:vAlign w:val="center"/>
          </w:tcPr>
          <w:p>
            <w:pPr>
              <w:pStyle w:val="TableContents"/>
              <w:spacing w:before="0" w:after="283"/>
              <w:rPr>
                <w:color w:val="58595B"/>
              </w:rPr>
            </w:pPr>
            <w:r>
              <w:rPr>
                <w:color w:val="58595B"/>
              </w:rPr>
              <w:t>—</w:t>
            </w:r>
          </w:p>
        </w:tc>
        <w:tc>
          <w:tcPr>
            <w:tcW w:w="78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r>
      <w:tr>
        <w:trPr/>
        <w:tc>
          <w:tcPr>
            <w:tcW w:w="170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Archie L. Jones, Jr.</w:t>
            </w:r>
          </w:p>
        </w:tc>
        <w:tc>
          <w:tcPr>
            <w:tcW w:w="4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190" w:type="dxa"/>
            <w:tcBorders/>
            <w:shd w:fill="auto" w:val="clear"/>
            <w:vAlign w:val="center"/>
          </w:tcPr>
          <w:p>
            <w:pPr>
              <w:pStyle w:val="TableContents"/>
              <w:spacing w:before="0" w:after="283"/>
              <w:rPr>
                <w:color w:val="58595B"/>
              </w:rPr>
            </w:pPr>
            <w:r>
              <w:rPr>
                <w:color w:val="58595B"/>
              </w:rPr>
              <w:t>—</w:t>
            </w:r>
          </w:p>
        </w:tc>
        <w:tc>
          <w:tcPr>
            <w:tcW w:w="11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02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010" w:type="dxa"/>
            <w:tcBorders/>
            <w:shd w:fill="auto" w:val="clear"/>
            <w:vAlign w:val="center"/>
          </w:tcPr>
          <w:p>
            <w:pPr>
              <w:pStyle w:val="TableContents"/>
              <w:spacing w:before="0" w:after="283"/>
              <w:rPr>
                <w:color w:val="58595B"/>
              </w:rPr>
            </w:pPr>
            <w:r>
              <w:rPr>
                <w:color w:val="58595B"/>
              </w:rPr>
              <w:t>—</w:t>
            </w:r>
          </w:p>
        </w:tc>
        <w:tc>
          <w:tcPr>
            <w:tcW w:w="785" w:type="dxa"/>
            <w:tcBorders/>
            <w:shd w:fill="auto" w:val="clear"/>
            <w:vAlign w:val="center"/>
          </w:tcPr>
          <w:p>
            <w:pPr>
              <w:pStyle w:val="TableContents"/>
              <w:spacing w:before="0" w:after="283"/>
              <w:rPr>
                <w:color w:val="58595B"/>
              </w:rPr>
            </w:pPr>
            <w:r>
              <w:rPr>
                <w:color w:val="58595B"/>
              </w:rPr>
              <w:t>—</w:t>
            </w:r>
          </w:p>
        </w:tc>
      </w:tr>
      <w:tr>
        <w:trPr/>
        <w:tc>
          <w:tcPr>
            <w:tcW w:w="1700"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Richard Macchia</w:t>
            </w:r>
          </w:p>
        </w:tc>
        <w:tc>
          <w:tcPr>
            <w:tcW w:w="45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 F</w:t>
            </w:r>
          </w:p>
        </w:tc>
        <w:tc>
          <w:tcPr>
            <w:tcW w:w="1190" w:type="dxa"/>
            <w:tcBorders/>
            <w:shd w:fill="DCDDDE" w:val="clear"/>
            <w:vAlign w:val="center"/>
          </w:tcPr>
          <w:p>
            <w:pPr>
              <w:pStyle w:val="TableContents"/>
              <w:spacing w:before="0" w:after="283"/>
              <w:rPr>
                <w:color w:val="58595B"/>
              </w:rPr>
            </w:pPr>
            <w:r>
              <w:rPr>
                <w:color w:val="58595B"/>
              </w:rPr>
              <w:t>—</w:t>
            </w:r>
          </w:p>
        </w:tc>
        <w:tc>
          <w:tcPr>
            <w:tcW w:w="1145" w:type="dxa"/>
            <w:tcBorders/>
            <w:shd w:fill="DCDDDE" w:val="clear"/>
            <w:vAlign w:val="center"/>
          </w:tcPr>
          <w:p>
            <w:pPr>
              <w:pStyle w:val="TableContents"/>
              <w:spacing w:before="0" w:after="283"/>
              <w:rPr>
                <w:color w:val="58595B"/>
              </w:rPr>
            </w:pPr>
            <w:r>
              <w:rPr>
                <w:color w:val="58595B"/>
              </w:rPr>
              <w:t>—</w:t>
            </w:r>
          </w:p>
        </w:tc>
        <w:tc>
          <w:tcPr>
            <w:tcW w:w="1025" w:type="dxa"/>
            <w:tcBorders/>
            <w:shd w:fill="DCDDDE" w:val="clear"/>
            <w:vAlign w:val="center"/>
          </w:tcPr>
          <w:p>
            <w:pPr>
              <w:pStyle w:val="TableContents"/>
              <w:spacing w:before="0" w:after="283"/>
              <w:rPr>
                <w:color w:val="58595B"/>
              </w:rPr>
            </w:pPr>
            <w:r>
              <w:rPr>
                <w:color w:val="58595B"/>
              </w:rPr>
              <w:t>—</w:t>
            </w:r>
          </w:p>
        </w:tc>
        <w:tc>
          <w:tcPr>
            <w:tcW w:w="101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785" w:type="dxa"/>
            <w:tcBorders/>
            <w:shd w:fill="DCDDDE" w:val="clear"/>
            <w:vAlign w:val="center"/>
          </w:tcPr>
          <w:p>
            <w:pPr>
              <w:pStyle w:val="TableContents"/>
              <w:spacing w:before="0" w:after="283"/>
              <w:rPr>
                <w:color w:val="58595B"/>
              </w:rPr>
            </w:pPr>
            <w:r>
              <w:rPr>
                <w:color w:val="58595B"/>
              </w:rPr>
              <w:t>—</w:t>
            </w:r>
          </w:p>
        </w:tc>
      </w:tr>
      <w:tr>
        <w:trPr/>
        <w:tc>
          <w:tcPr>
            <w:tcW w:w="170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Hala G. Moddelmog</w:t>
            </w:r>
          </w:p>
        </w:tc>
        <w:tc>
          <w:tcPr>
            <w:tcW w:w="455" w:type="dxa"/>
            <w:tcBorders/>
            <w:shd w:fill="auto" w:val="clear"/>
            <w:vAlign w:val="center"/>
          </w:tcPr>
          <w:p>
            <w:pPr>
              <w:pStyle w:val="TableContents"/>
              <w:spacing w:before="0" w:after="283"/>
              <w:rPr>
                <w:color w:val="58595B"/>
              </w:rPr>
            </w:pPr>
            <w:r>
              <w:rPr>
                <w:color w:val="58595B"/>
              </w:rPr>
              <w:t>—</w:t>
            </w:r>
          </w:p>
        </w:tc>
        <w:tc>
          <w:tcPr>
            <w:tcW w:w="119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1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w:t>
            </w:r>
          </w:p>
        </w:tc>
        <w:tc>
          <w:tcPr>
            <w:tcW w:w="1025" w:type="dxa"/>
            <w:tcBorders/>
            <w:shd w:fill="auto" w:val="clear"/>
            <w:vAlign w:val="center"/>
          </w:tcPr>
          <w:p>
            <w:pPr>
              <w:pStyle w:val="TableContents"/>
              <w:spacing w:before="0" w:after="283"/>
              <w:rPr>
                <w:color w:val="58595B"/>
              </w:rPr>
            </w:pPr>
            <w:r>
              <w:rPr>
                <w:color w:val="58595B"/>
              </w:rPr>
              <w:t>—</w:t>
            </w:r>
          </w:p>
        </w:tc>
        <w:tc>
          <w:tcPr>
            <w:tcW w:w="1010" w:type="dxa"/>
            <w:tcBorders/>
            <w:shd w:fill="auto" w:val="clear"/>
            <w:vAlign w:val="center"/>
          </w:tcPr>
          <w:p>
            <w:pPr>
              <w:pStyle w:val="TableContents"/>
              <w:spacing w:before="0" w:after="283"/>
              <w:rPr>
                <w:color w:val="58595B"/>
              </w:rPr>
            </w:pPr>
            <w:r>
              <w:rPr>
                <w:color w:val="58595B"/>
              </w:rPr>
              <w:t>—</w:t>
            </w:r>
          </w:p>
        </w:tc>
        <w:tc>
          <w:tcPr>
            <w:tcW w:w="785" w:type="dxa"/>
            <w:tcBorders/>
            <w:shd w:fill="auto" w:val="clear"/>
            <w:vAlign w:val="center"/>
          </w:tcPr>
          <w:p>
            <w:pPr>
              <w:pStyle w:val="TableContents"/>
              <w:spacing w:before="0" w:after="283"/>
              <w:rPr>
                <w:color w:val="58595B"/>
              </w:rPr>
            </w:pPr>
            <w:r>
              <w:rPr>
                <w:color w:val="58595B"/>
              </w:rPr>
              <w:t>—</w:t>
            </w:r>
          </w:p>
        </w:tc>
      </w:tr>
      <w:tr>
        <w:trPr/>
        <w:tc>
          <w:tcPr>
            <w:tcW w:w="1700"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Jeffrey S. Sloan</w:t>
            </w:r>
          </w:p>
        </w:tc>
        <w:tc>
          <w:tcPr>
            <w:tcW w:w="455" w:type="dxa"/>
            <w:tcBorders/>
            <w:shd w:fill="DCDDDE" w:val="clear"/>
            <w:vAlign w:val="center"/>
          </w:tcPr>
          <w:p>
            <w:pPr>
              <w:pStyle w:val="TableContents"/>
              <w:spacing w:before="0" w:after="283"/>
              <w:rPr>
                <w:color w:val="58595B"/>
              </w:rPr>
            </w:pPr>
            <w:r>
              <w:rPr>
                <w:color w:val="58595B"/>
              </w:rPr>
              <w:t>—</w:t>
            </w:r>
          </w:p>
        </w:tc>
        <w:tc>
          <w:tcPr>
            <w:tcW w:w="1190" w:type="dxa"/>
            <w:tcBorders/>
            <w:shd w:fill="DCDDDE" w:val="clear"/>
            <w:vAlign w:val="center"/>
          </w:tcPr>
          <w:p>
            <w:pPr>
              <w:pStyle w:val="TableContents"/>
              <w:spacing w:before="0" w:after="283"/>
              <w:rPr>
                <w:color w:val="58595B"/>
              </w:rPr>
            </w:pPr>
            <w:r>
              <w:rPr>
                <w:color w:val="58595B"/>
              </w:rPr>
              <w:t>—</w:t>
            </w:r>
          </w:p>
        </w:tc>
        <w:tc>
          <w:tcPr>
            <w:tcW w:w="1145" w:type="dxa"/>
            <w:tcBorders/>
            <w:shd w:fill="DCDDDE" w:val="clear"/>
            <w:vAlign w:val="center"/>
          </w:tcPr>
          <w:p>
            <w:pPr>
              <w:pStyle w:val="TableContents"/>
              <w:spacing w:before="0" w:after="283"/>
              <w:rPr>
                <w:color w:val="58595B"/>
              </w:rPr>
            </w:pPr>
            <w:r>
              <w:rPr>
                <w:color w:val="58595B"/>
              </w:rPr>
              <w:t>—</w:t>
            </w:r>
          </w:p>
        </w:tc>
        <w:tc>
          <w:tcPr>
            <w:tcW w:w="102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01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78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r>
      <w:tr>
        <w:trPr/>
        <w:tc>
          <w:tcPr>
            <w:tcW w:w="170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Steven T. Stull</w:t>
            </w:r>
          </w:p>
        </w:tc>
        <w:tc>
          <w:tcPr>
            <w:tcW w:w="455" w:type="dxa"/>
            <w:tcBorders/>
            <w:shd w:fill="auto" w:val="clear"/>
            <w:vAlign w:val="center"/>
          </w:tcPr>
          <w:p>
            <w:pPr>
              <w:pStyle w:val="TableContents"/>
              <w:spacing w:before="0" w:after="283"/>
              <w:rPr>
                <w:color w:val="58595B"/>
              </w:rPr>
            </w:pPr>
            <w:r>
              <w:rPr>
                <w:color w:val="58595B"/>
              </w:rPr>
              <w:t>—</w:t>
            </w:r>
          </w:p>
        </w:tc>
        <w:tc>
          <w:tcPr>
            <w:tcW w:w="119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1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w:t>
            </w:r>
          </w:p>
        </w:tc>
        <w:tc>
          <w:tcPr>
            <w:tcW w:w="1025" w:type="dxa"/>
            <w:tcBorders/>
            <w:shd w:fill="auto" w:val="clear"/>
            <w:vAlign w:val="center"/>
          </w:tcPr>
          <w:p>
            <w:pPr>
              <w:pStyle w:val="TableContents"/>
              <w:spacing w:before="0" w:after="283"/>
              <w:rPr>
                <w:color w:val="58595B"/>
              </w:rPr>
            </w:pPr>
            <w:r>
              <w:rPr>
                <w:color w:val="58595B"/>
              </w:rPr>
              <w:t>—</w:t>
            </w:r>
          </w:p>
        </w:tc>
        <w:tc>
          <w:tcPr>
            <w:tcW w:w="1010" w:type="dxa"/>
            <w:tcBorders/>
            <w:shd w:fill="auto" w:val="clear"/>
            <w:vAlign w:val="center"/>
          </w:tcPr>
          <w:p>
            <w:pPr>
              <w:pStyle w:val="TableContents"/>
              <w:spacing w:before="0" w:after="283"/>
              <w:rPr>
                <w:color w:val="58595B"/>
              </w:rPr>
            </w:pPr>
            <w:r>
              <w:rPr>
                <w:color w:val="58595B"/>
              </w:rPr>
              <w:t>—</w:t>
            </w:r>
          </w:p>
        </w:tc>
        <w:tc>
          <w:tcPr>
            <w:tcW w:w="785" w:type="dxa"/>
            <w:tcBorders/>
            <w:shd w:fill="auto" w:val="clear"/>
            <w:vAlign w:val="center"/>
          </w:tcPr>
          <w:p>
            <w:pPr>
              <w:pStyle w:val="TableContents"/>
              <w:spacing w:before="0" w:after="283"/>
              <w:rPr>
                <w:color w:val="58595B"/>
              </w:rPr>
            </w:pPr>
            <w:r>
              <w:rPr>
                <w:color w:val="58595B"/>
              </w:rPr>
              <w:t>—</w:t>
            </w:r>
          </w:p>
        </w:tc>
      </w:tr>
    </w:tbl>
    <w:p>
      <w:pPr>
        <w:pStyle w:val="TextBody"/>
        <w:rPr>
          <w:caps w:val="false"/>
          <w:smallCaps w:val="false"/>
        </w:rPr>
      </w:pPr>
      <w:r>
        <w:rPr>
          <w:caps w:val="false"/>
          <w:smallCaps w:val="false"/>
        </w:rPr>
        <w:t> </w:t>
      </w:r>
    </w:p>
    <w:p>
      <w:pPr>
        <w:pStyle w:val="TextBody"/>
        <w:ind w:left="108" w:right="0" w:hanging="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 = Chair          M = Member          F = Financial Expert</w:t>
      </w:r>
    </w:p>
    <w:p>
      <w:pPr>
        <w:pStyle w:val="TextBody"/>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olumn">
                  <wp:align>left</wp:align>
                </wp:positionH>
                <wp:positionV relativeFrom="line">
                  <wp:posOffset>635</wp:posOffset>
                </wp:positionV>
                <wp:extent cx="3110230" cy="5223510"/>
                <wp:effectExtent l="0" t="0" r="0" b="0"/>
                <wp:wrapSquare wrapText="largest"/>
                <wp:docPr id="209" name="Frame24"/>
                <a:graphic xmlns:a="http://schemas.openxmlformats.org/drawingml/2006/main">
                  <a:graphicData uri="http://schemas.microsoft.com/office/word/2010/wordprocessingShape">
                    <wps:wsp>
                      <wps:cNvSpPr txBox="1"/>
                      <wps:spPr>
                        <a:xfrm>
                          <a:off x="0" y="0"/>
                          <a:ext cx="3110230" cy="5223510"/>
                        </a:xfrm>
                        <a:prstGeom prst="rect"/>
                      </wps:spPr>
                      <wps:txbx>
                        <w:txbxContent>
                          <w:p>
                            <w:pPr>
                              <w:pStyle w:val="TextBody"/>
                              <w:rPr>
                                <w:rFonts w:ascii="Arial;Helvetica;Sans-Serif" w:hAnsi="Arial;Helvetica;Sans-Serif"/>
                                <w:b/>
                                <w:i w:val="false"/>
                                <w:caps w:val="false"/>
                                <w:smallCaps w:val="false"/>
                                <w:color w:val="231F20"/>
                                <w:sz w:val="18"/>
                              </w:rPr>
                            </w:pPr>
                            <w:bookmarkStart w:id="42" w:name="a025"/>
                            <w:bookmarkEnd w:id="42"/>
                            <w:r>
                              <w:rPr>
                                <w:rFonts w:ascii="Arial;Helvetica;Sans-Serif" w:hAnsi="Arial;Helvetica;Sans-Serif"/>
                                <w:b/>
                                <w:i w:val="false"/>
                                <w:caps w:val="false"/>
                                <w:smallCaps w:val="false"/>
                                <w:color w:val="231F20"/>
                                <w:sz w:val="18"/>
                              </w:rPr>
                              <w:t>Audit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currently consists of Messrs. Buckman, Jones and Macchia and is chaired by Mr. Macchia. The audit committee held five meetings in 2022. The Board determined that each member of the audit committee is independent under the NYSE rules and Rule 10A-3 of the Exchange Act, and has determined that Mr. Macchia qualifies as an “audit committee financial expert” under SEC rules.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committee’s primary responsibilities include: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0"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Image122" descr=""/>
                                                <pic:cNvPicPr>
                                                  <a:picLocks noChangeAspect="1" noChangeArrowheads="1"/>
                                                </pic:cNvPicPr>
                                              </pic:nvPicPr>
                                              <pic:blipFill>
                                                <a:blip r:embed="rId123"/>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appointing and overseeing independence of and all other aspects of our relationship with our independent registered accountants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1"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Image123" descr=""/>
                                                <pic:cNvPicPr>
                                                  <a:picLocks noChangeAspect="1" noChangeArrowheads="1"/>
                                                </pic:cNvPicPr>
                                              </pic:nvPicPr>
                                              <pic:blipFill>
                                                <a:blip r:embed="rId124"/>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and monitoring our accounting principles and policies, and our financial and accounting controls and compliance with regulatory requirements</w:t>
                                  </w:r>
                                </w:p>
                              </w:tc>
                            </w:tr>
                          </w:tbl>
                          <w:tbl>
                            <w:tblPr>
                              <w:tblW w:w="8413" w:type="dxa"/>
                              <w:jc w:val="left"/>
                              <w:tblInd w:w="0" w:type="dxa"/>
                              <w:tblCellMar>
                                <w:top w:w="0" w:type="dxa"/>
                                <w:left w:w="0" w:type="dxa"/>
                                <w:bottom w:w="0" w:type="dxa"/>
                                <w:right w:w="0" w:type="dxa"/>
                              </w:tblCellMar>
                            </w:tblPr>
                            <w:tblGrid>
                              <w:gridCol w:w="38"/>
                              <w:gridCol w:w="165"/>
                              <w:gridCol w:w="821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2"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Image124" descr=""/>
                                                <pic:cNvPicPr>
                                                  <a:picLocks noChangeAspect="1" noChangeArrowheads="1"/>
                                                </pic:cNvPicPr>
                                              </pic:nvPicPr>
                                              <pic:blipFill>
                                                <a:blip r:embed="rId125"/>
                                                <a:stretch>
                                                  <a:fillRect/>
                                                </a:stretch>
                                              </pic:blipFill>
                                              <pic:spPr bwMode="auto">
                                                <a:xfrm>
                                                  <a:off x="0" y="0"/>
                                                  <a:ext cx="104775" cy="85725"/>
                                                </a:xfrm>
                                                <a:prstGeom prst="rect">
                                                  <a:avLst/>
                                                </a:prstGeom>
                                              </pic:spPr>
                                            </pic:pic>
                                          </a:graphicData>
                                        </a:graphic>
                                      </wp:inline>
                                    </w:drawing>
                                  </w:r>
                                </w:p>
                              </w:tc>
                              <w:tc>
                                <w:tcPr>
                                  <w:tcW w:w="821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overseeing the financial reporting process and reviewing our interim and annual financial statements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3"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Image125" descr=""/>
                                                <pic:cNvPicPr>
                                                  <a:picLocks noChangeAspect="1" noChangeArrowheads="1"/>
                                                </pic:cNvPicPr>
                                              </pic:nvPicPr>
                                              <pic:blipFill>
                                                <a:blip r:embed="rId12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establishing procedures for the confidential, anonymous submission of concerns regarding questionable accounting, internal controls or auditing matters</w:t>
                                  </w:r>
                                </w:p>
                              </w:tc>
                            </w:tr>
                          </w:tbl>
                          <w:tbl>
                            <w:tblPr>
                              <w:tblW w:w="8653" w:type="dxa"/>
                              <w:jc w:val="left"/>
                              <w:tblInd w:w="0" w:type="dxa"/>
                              <w:tblCellMar>
                                <w:top w:w="0" w:type="dxa"/>
                                <w:left w:w="0" w:type="dxa"/>
                                <w:bottom w:w="0" w:type="dxa"/>
                                <w:right w:w="0" w:type="dxa"/>
                              </w:tblCellMar>
                            </w:tblPr>
                            <w:tblGrid>
                              <w:gridCol w:w="38"/>
                              <w:gridCol w:w="165"/>
                              <w:gridCol w:w="84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4"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Image126" descr=""/>
                                                <pic:cNvPicPr>
                                                  <a:picLocks noChangeAspect="1" noChangeArrowheads="1"/>
                                                </pic:cNvPicPr>
                                              </pic:nvPicPr>
                                              <pic:blipFill>
                                                <a:blip r:embed="rId127"/>
                                                <a:stretch>
                                                  <a:fillRect/>
                                                </a:stretch>
                                              </pic:blipFill>
                                              <pic:spPr bwMode="auto">
                                                <a:xfrm>
                                                  <a:off x="0" y="0"/>
                                                  <a:ext cx="104775" cy="85725"/>
                                                </a:xfrm>
                                                <a:prstGeom prst="rect">
                                                  <a:avLst/>
                                                </a:prstGeom>
                                              </pic:spPr>
                                            </pic:pic>
                                          </a:graphicData>
                                        </a:graphic>
                                      </wp:inline>
                                    </w:drawing>
                                  </w:r>
                                </w:p>
                              </w:tc>
                              <w:tc>
                                <w:tcPr>
                                  <w:tcW w:w="84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approving all audit and permissible non-audit services to be performed by our independent accountants</w:t>
                                  </w:r>
                                </w:p>
                              </w:tc>
                            </w:tr>
                          </w:tbl>
                          <w:tbl>
                            <w:tblPr>
                              <w:tblW w:w="4378" w:type="dxa"/>
                              <w:jc w:val="left"/>
                              <w:tblInd w:w="0" w:type="dxa"/>
                              <w:tblCellMar>
                                <w:top w:w="0" w:type="dxa"/>
                                <w:left w:w="0" w:type="dxa"/>
                                <w:bottom w:w="0" w:type="dxa"/>
                                <w:right w:w="0" w:type="dxa"/>
                              </w:tblCellMar>
                            </w:tblPr>
                            <w:tblGrid>
                              <w:gridCol w:w="38"/>
                              <w:gridCol w:w="165"/>
                              <w:gridCol w:w="41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5"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 name="Image127" descr=""/>
                                                <pic:cNvPicPr>
                                                  <a:picLocks noChangeAspect="1" noChangeArrowheads="1"/>
                                                </pic:cNvPicPr>
                                              </pic:nvPicPr>
                                              <pic:blipFill>
                                                <a:blip r:embed="rId128"/>
                                                <a:stretch>
                                                  <a:fillRect/>
                                                </a:stretch>
                                              </pic:blipFill>
                                              <pic:spPr bwMode="auto">
                                                <a:xfrm>
                                                  <a:off x="0" y="0"/>
                                                  <a:ext cx="104775" cy="85725"/>
                                                </a:xfrm>
                                                <a:prstGeom prst="rect">
                                                  <a:avLst/>
                                                </a:prstGeom>
                                              </pic:spPr>
                                            </pic:pic>
                                          </a:graphicData>
                                        </a:graphic>
                                      </wp:inline>
                                    </w:drawing>
                                  </w:r>
                                </w:p>
                              </w:tc>
                              <w:tc>
                                <w:tcPr>
                                  <w:tcW w:w="41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and approving related-party transactions</w:t>
                                  </w:r>
                                </w:p>
                              </w:tc>
                            </w:tr>
                          </w:tbl>
                          <w:p>
                            <w:pPr>
                              <w:pStyle w:val="TextBody"/>
                              <w:spacing w:before="0" w:after="283"/>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1.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i w:val="false"/>
                          <w:caps w:val="false"/>
                          <w:smallCaps w:val="false"/>
                          <w:color w:val="231F20"/>
                          <w:sz w:val="18"/>
                        </w:rPr>
                      </w:pPr>
                      <w:bookmarkStart w:id="43" w:name="a025"/>
                      <w:bookmarkEnd w:id="43"/>
                      <w:r>
                        <w:rPr>
                          <w:rFonts w:ascii="Arial;Helvetica;Sans-Serif" w:hAnsi="Arial;Helvetica;Sans-Serif"/>
                          <w:b/>
                          <w:i w:val="false"/>
                          <w:caps w:val="false"/>
                          <w:smallCaps w:val="false"/>
                          <w:color w:val="231F20"/>
                          <w:sz w:val="18"/>
                        </w:rPr>
                        <w:t>Audit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currently consists of Messrs. Buckman, Jones and Macchia and is chaired by Mr. Macchia. The audit committee held five meetings in 2022. The Board determined that each member of the audit committee is independent under the NYSE rules and Rule 10A-3 of the Exchange Act, and has determined that Mr. Macchia qualifies as an “audit committee financial expert” under SEC rules.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committee’s primary responsibilities include: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6"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Image122" descr=""/>
                                          <pic:cNvPicPr>
                                            <a:picLocks noChangeAspect="1" noChangeArrowheads="1"/>
                                          </pic:cNvPicPr>
                                        </pic:nvPicPr>
                                        <pic:blipFill>
                                          <a:blip r:embed="rId123"/>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appointing and overseeing independence of and all other aspects of our relationship with our independent registered accountants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7"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Image123" descr=""/>
                                          <pic:cNvPicPr>
                                            <a:picLocks noChangeAspect="1" noChangeArrowheads="1"/>
                                          </pic:cNvPicPr>
                                        </pic:nvPicPr>
                                        <pic:blipFill>
                                          <a:blip r:embed="rId124"/>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and monitoring our accounting principles and policies, and our financial and accounting controls and compliance with regulatory requirements</w:t>
                            </w:r>
                          </w:p>
                        </w:tc>
                      </w:tr>
                    </w:tbl>
                    <w:tbl>
                      <w:tblPr>
                        <w:tblW w:w="8413" w:type="dxa"/>
                        <w:jc w:val="left"/>
                        <w:tblInd w:w="0" w:type="dxa"/>
                        <w:tblCellMar>
                          <w:top w:w="0" w:type="dxa"/>
                          <w:left w:w="0" w:type="dxa"/>
                          <w:bottom w:w="0" w:type="dxa"/>
                          <w:right w:w="0" w:type="dxa"/>
                        </w:tblCellMar>
                      </w:tblPr>
                      <w:tblGrid>
                        <w:gridCol w:w="38"/>
                        <w:gridCol w:w="165"/>
                        <w:gridCol w:w="821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8"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Image124" descr=""/>
                                          <pic:cNvPicPr>
                                            <a:picLocks noChangeAspect="1" noChangeArrowheads="1"/>
                                          </pic:cNvPicPr>
                                        </pic:nvPicPr>
                                        <pic:blipFill>
                                          <a:blip r:embed="rId125"/>
                                          <a:stretch>
                                            <a:fillRect/>
                                          </a:stretch>
                                        </pic:blipFill>
                                        <pic:spPr bwMode="auto">
                                          <a:xfrm>
                                            <a:off x="0" y="0"/>
                                            <a:ext cx="104775" cy="85725"/>
                                          </a:xfrm>
                                          <a:prstGeom prst="rect">
                                            <a:avLst/>
                                          </a:prstGeom>
                                        </pic:spPr>
                                      </pic:pic>
                                    </a:graphicData>
                                  </a:graphic>
                                </wp:inline>
                              </w:drawing>
                            </w:r>
                          </w:p>
                        </w:tc>
                        <w:tc>
                          <w:tcPr>
                            <w:tcW w:w="821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overseeing the financial reporting process and reviewing our interim and annual financial statements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19"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Image125" descr=""/>
                                          <pic:cNvPicPr>
                                            <a:picLocks noChangeAspect="1" noChangeArrowheads="1"/>
                                          </pic:cNvPicPr>
                                        </pic:nvPicPr>
                                        <pic:blipFill>
                                          <a:blip r:embed="rId12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establishing procedures for the confidential, anonymous submission of concerns regarding questionable accounting, internal controls or auditing matters</w:t>
                            </w:r>
                          </w:p>
                        </w:tc>
                      </w:tr>
                    </w:tbl>
                    <w:tbl>
                      <w:tblPr>
                        <w:tblW w:w="8653" w:type="dxa"/>
                        <w:jc w:val="left"/>
                        <w:tblInd w:w="0" w:type="dxa"/>
                        <w:tblCellMar>
                          <w:top w:w="0" w:type="dxa"/>
                          <w:left w:w="0" w:type="dxa"/>
                          <w:bottom w:w="0" w:type="dxa"/>
                          <w:right w:w="0" w:type="dxa"/>
                        </w:tblCellMar>
                      </w:tblPr>
                      <w:tblGrid>
                        <w:gridCol w:w="38"/>
                        <w:gridCol w:w="165"/>
                        <w:gridCol w:w="84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0"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Image126" descr=""/>
                                          <pic:cNvPicPr>
                                            <a:picLocks noChangeAspect="1" noChangeArrowheads="1"/>
                                          </pic:cNvPicPr>
                                        </pic:nvPicPr>
                                        <pic:blipFill>
                                          <a:blip r:embed="rId127"/>
                                          <a:stretch>
                                            <a:fillRect/>
                                          </a:stretch>
                                        </pic:blipFill>
                                        <pic:spPr bwMode="auto">
                                          <a:xfrm>
                                            <a:off x="0" y="0"/>
                                            <a:ext cx="104775" cy="85725"/>
                                          </a:xfrm>
                                          <a:prstGeom prst="rect">
                                            <a:avLst/>
                                          </a:prstGeom>
                                        </pic:spPr>
                                      </pic:pic>
                                    </a:graphicData>
                                  </a:graphic>
                                </wp:inline>
                              </w:drawing>
                            </w:r>
                          </w:p>
                        </w:tc>
                        <w:tc>
                          <w:tcPr>
                            <w:tcW w:w="84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approving all audit and permissible non-audit services to be performed by our independent accountants</w:t>
                            </w:r>
                          </w:p>
                        </w:tc>
                      </w:tr>
                    </w:tbl>
                    <w:tbl>
                      <w:tblPr>
                        <w:tblW w:w="4378" w:type="dxa"/>
                        <w:jc w:val="left"/>
                        <w:tblInd w:w="0" w:type="dxa"/>
                        <w:tblCellMar>
                          <w:top w:w="0" w:type="dxa"/>
                          <w:left w:w="0" w:type="dxa"/>
                          <w:bottom w:w="0" w:type="dxa"/>
                          <w:right w:w="0" w:type="dxa"/>
                        </w:tblCellMar>
                      </w:tblPr>
                      <w:tblGrid>
                        <w:gridCol w:w="38"/>
                        <w:gridCol w:w="165"/>
                        <w:gridCol w:w="41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1"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Image127" descr=""/>
                                          <pic:cNvPicPr>
                                            <a:picLocks noChangeAspect="1" noChangeArrowheads="1"/>
                                          </pic:cNvPicPr>
                                        </pic:nvPicPr>
                                        <pic:blipFill>
                                          <a:blip r:embed="rId128"/>
                                          <a:stretch>
                                            <a:fillRect/>
                                          </a:stretch>
                                        </pic:blipFill>
                                        <pic:spPr bwMode="auto">
                                          <a:xfrm>
                                            <a:off x="0" y="0"/>
                                            <a:ext cx="104775" cy="85725"/>
                                          </a:xfrm>
                                          <a:prstGeom prst="rect">
                                            <a:avLst/>
                                          </a:prstGeom>
                                        </pic:spPr>
                                      </pic:pic>
                                    </a:graphicData>
                                  </a:graphic>
                                </wp:inline>
                              </w:drawing>
                            </w:r>
                          </w:p>
                        </w:tc>
                        <w:tc>
                          <w:tcPr>
                            <w:tcW w:w="41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and approving related-party transactions</w:t>
                            </w:r>
                          </w:p>
                        </w:tc>
                      </w:tr>
                    </w:tbl>
                    <w:p>
                      <w:pPr>
                        <w:pStyle w:val="TextBody"/>
                        <w:spacing w:before="0" w:after="283"/>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111">
                <wp:simplePos x="0" y="0"/>
                <wp:positionH relativeFrom="column">
                  <wp:align>right</wp:align>
                </wp:positionH>
                <wp:positionV relativeFrom="line">
                  <wp:posOffset>635</wp:posOffset>
                </wp:positionV>
                <wp:extent cx="3110230" cy="5223510"/>
                <wp:effectExtent l="0" t="0" r="0" b="0"/>
                <wp:wrapSquare wrapText="largest"/>
                <wp:docPr id="222" name="Frame25"/>
                <a:graphic xmlns:a="http://schemas.openxmlformats.org/drawingml/2006/main">
                  <a:graphicData uri="http://schemas.microsoft.com/office/word/2010/wordprocessingShape">
                    <wps:wsp>
                      <wps:cNvSpPr txBox="1"/>
                      <wps:spPr>
                        <a:xfrm>
                          <a:off x="0" y="0"/>
                          <a:ext cx="3110230" cy="5223510"/>
                        </a:xfrm>
                        <a:prstGeom prst="rect"/>
                      </wps:spPr>
                      <wps:txbx>
                        <w:txbxContent>
                          <w:p>
                            <w:pPr>
                              <w:pStyle w:val="TextBody"/>
                              <w:rPr>
                                <w:rFonts w:ascii="Arial;Helvetica;Sans-Serif" w:hAnsi="Arial;Helvetica;Sans-Serif"/>
                                <w:b/>
                                <w:i w:val="false"/>
                                <w:caps w:val="false"/>
                                <w:smallCaps w:val="false"/>
                                <w:color w:val="231F20"/>
                                <w:sz w:val="18"/>
                              </w:rPr>
                            </w:pPr>
                            <w:bookmarkStart w:id="44" w:name="a026"/>
                            <w:bookmarkEnd w:id="44"/>
                            <w:r>
                              <w:rPr>
                                <w:rFonts w:ascii="Arial;Helvetica;Sans-Serif" w:hAnsi="Arial;Helvetica;Sans-Serif"/>
                                <w:b/>
                                <w:i w:val="false"/>
                                <w:caps w:val="false"/>
                                <w:smallCaps w:val="false"/>
                                <w:color w:val="231F20"/>
                                <w:sz w:val="18"/>
                              </w:rPr>
                              <w:t>Compensation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compensation committee currently consists of Messrs. </w:t>
                            </w:r>
                            <w:r>
                              <w:rPr>
                                <w:rFonts w:ascii="Arial;Helvetica;Sans-Serif" w:hAnsi="Arial;Helvetica;Sans-Serif"/>
                                <w:b w:val="false"/>
                                <w:i w:val="false"/>
                                <w:caps w:val="false"/>
                                <w:smallCaps w:val="false"/>
                                <w:color w:val="58595B"/>
                                <w:spacing w:val="-4"/>
                                <w:sz w:val="18"/>
                              </w:rPr>
                              <w:t>Farrelly,</w:t>
                            </w:r>
                            <w:r>
                              <w:rPr>
                                <w:rFonts w:ascii="Arial;Helvetica;Sans-Serif" w:hAnsi="Arial;Helvetica;Sans-Serif"/>
                                <w:b w:val="false"/>
                                <w:i w:val="false"/>
                                <w:caps w:val="false"/>
                                <w:smallCaps w:val="false"/>
                                <w:color w:val="58595B"/>
                                <w:sz w:val="18"/>
                              </w:rPr>
                              <w:t xml:space="preserve"> Hagerty and </w:t>
                            </w:r>
                            <w:r>
                              <w:rPr>
                                <w:rFonts w:ascii="Arial;Helvetica;Sans-Serif" w:hAnsi="Arial;Helvetica;Sans-Serif"/>
                                <w:b w:val="false"/>
                                <w:i w:val="false"/>
                                <w:caps w:val="false"/>
                                <w:smallCaps w:val="false"/>
                                <w:color w:val="58595B"/>
                                <w:spacing w:val="-3"/>
                                <w:sz w:val="18"/>
                              </w:rPr>
                              <w:t xml:space="preserve">Stull </w:t>
                            </w:r>
                            <w:r>
                              <w:rPr>
                                <w:rFonts w:ascii="Arial;Helvetica;Sans-Serif" w:hAnsi="Arial;Helvetica;Sans-Serif"/>
                                <w:b w:val="false"/>
                                <w:i w:val="false"/>
                                <w:caps w:val="false"/>
                                <w:smallCaps w:val="false"/>
                                <w:color w:val="58595B"/>
                                <w:sz w:val="18"/>
                              </w:rPr>
                              <w:t xml:space="preserve">and Ms. Moddelmog and is chaired by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Hagerty. </w:t>
                            </w:r>
                            <w:r>
                              <w:rPr>
                                <w:rFonts w:ascii="Arial;Helvetica;Sans-Serif" w:hAnsi="Arial;Helvetica;Sans-Serif"/>
                                <w:b w:val="false"/>
                                <w:i w:val="false"/>
                                <w:caps w:val="false"/>
                                <w:smallCaps w:val="false"/>
                                <w:color w:val="58595B"/>
                                <w:sz w:val="18"/>
                              </w:rPr>
                              <w:t xml:space="preserve">The compensation committee held six meetings in 2022. The Board has determined that each compensation committee member is independent under the NYSE rules </w:t>
                            </w:r>
                            <w:r>
                              <w:rPr>
                                <w:rFonts w:ascii="Arial;Helvetica;Sans-Serif" w:hAnsi="Arial;Helvetica;Sans-Serif"/>
                                <w:b w:val="false"/>
                                <w:i w:val="false"/>
                                <w:caps w:val="false"/>
                                <w:smallCaps w:val="false"/>
                                <w:color w:val="58595B"/>
                                <w:spacing w:val="-2"/>
                                <w:sz w:val="18"/>
                              </w:rPr>
                              <w:t xml:space="preserve">for </w:t>
                            </w:r>
                            <w:r>
                              <w:rPr>
                                <w:rFonts w:ascii="Arial;Helvetica;Sans-Serif" w:hAnsi="Arial;Helvetica;Sans-Serif"/>
                                <w:b w:val="false"/>
                                <w:i w:val="false"/>
                                <w:caps w:val="false"/>
                                <w:smallCaps w:val="false"/>
                                <w:color w:val="58595B"/>
                                <w:sz w:val="18"/>
                              </w:rPr>
                              <w:t>compensation committee members.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committee’s primary responsibilities include:</w:t>
                            </w:r>
                          </w:p>
                          <w:p>
                            <w:pPr>
                              <w:pStyle w:val="TextBody"/>
                              <w:rPr>
                                <w:caps w:val="false"/>
                                <w:smallCaps w:val="false"/>
                                <w:color w:val="58595B"/>
                              </w:rPr>
                            </w:pPr>
                            <w:r>
                              <w:rPr>
                                <w:caps w:val="false"/>
                                <w:smallCaps w:val="false"/>
                                <w:color w:val="58595B"/>
                              </w:rPr>
                              <w:t> </w:t>
                            </w:r>
                          </w:p>
                          <w:tbl>
                            <w:tblPr>
                              <w:tblW w:w="9628" w:type="dxa"/>
                              <w:jc w:val="left"/>
                              <w:tblInd w:w="0" w:type="dxa"/>
                              <w:tblCellMar>
                                <w:top w:w="0" w:type="dxa"/>
                                <w:left w:w="0" w:type="dxa"/>
                                <w:bottom w:w="0" w:type="dxa"/>
                                <w:right w:w="0" w:type="dxa"/>
                              </w:tblCellMar>
                            </w:tblPr>
                            <w:tblGrid>
                              <w:gridCol w:w="38"/>
                              <w:gridCol w:w="165"/>
                              <w:gridCol w:w="94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Image128" descr=""/>
                                                <pic:cNvPicPr>
                                                  <a:picLocks noChangeAspect="1" noChangeArrowheads="1"/>
                                                </pic:cNvPicPr>
                                              </pic:nvPicPr>
                                              <pic:blipFill>
                                                <a:blip r:embed="rId129"/>
                                                <a:stretch>
                                                  <a:fillRect/>
                                                </a:stretch>
                                              </pic:blipFill>
                                              <pic:spPr bwMode="auto">
                                                <a:xfrm>
                                                  <a:off x="0" y="0"/>
                                                  <a:ext cx="104775" cy="85725"/>
                                                </a:xfrm>
                                                <a:prstGeom prst="rect">
                                                  <a:avLst/>
                                                </a:prstGeom>
                                              </pic:spPr>
                                            </pic:pic>
                                          </a:graphicData>
                                        </a:graphic>
                                      </wp:inline>
                                    </w:drawing>
                                  </w:r>
                                </w:p>
                              </w:tc>
                              <w:tc>
                                <w:tcPr>
                                  <w:tcW w:w="942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annually reviewing and approving the goals, objectives and specific levels of our executive compensation programs</w:t>
                                  </w:r>
                                </w:p>
                              </w:tc>
                            </w:tr>
                          </w:tbl>
                          <w:tbl>
                            <w:tblPr>
                              <w:tblW w:w="7258" w:type="dxa"/>
                              <w:jc w:val="left"/>
                              <w:tblInd w:w="0" w:type="dxa"/>
                              <w:tblCellMar>
                                <w:top w:w="0" w:type="dxa"/>
                                <w:left w:w="0" w:type="dxa"/>
                                <w:bottom w:w="0" w:type="dxa"/>
                                <w:right w:w="0" w:type="dxa"/>
                              </w:tblCellMar>
                            </w:tblPr>
                            <w:tblGrid>
                              <w:gridCol w:w="38"/>
                              <w:gridCol w:w="165"/>
                              <w:gridCol w:w="70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 name="Image129" descr=""/>
                                                <pic:cNvPicPr>
                                                  <a:picLocks noChangeAspect="1" noChangeArrowheads="1"/>
                                                </pic:cNvPicPr>
                                              </pic:nvPicPr>
                                              <pic:blipFill>
                                                <a:blip r:embed="rId130"/>
                                                <a:stretch>
                                                  <a:fillRect/>
                                                </a:stretch>
                                              </pic:blipFill>
                                              <pic:spPr bwMode="auto">
                                                <a:xfrm>
                                                  <a:off x="0" y="0"/>
                                                  <a:ext cx="104775" cy="85725"/>
                                                </a:xfrm>
                                                <a:prstGeom prst="rect">
                                                  <a:avLst/>
                                                </a:prstGeom>
                                              </pic:spPr>
                                            </pic:pic>
                                          </a:graphicData>
                                        </a:graphic>
                                      </wp:inline>
                                    </w:drawing>
                                  </w:r>
                                </w:p>
                              </w:tc>
                              <w:tc>
                                <w:tcPr>
                                  <w:tcW w:w="70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and approving employment, severance and change in control arrangements</w:t>
                                  </w:r>
                                </w:p>
                              </w:tc>
                            </w:tr>
                          </w:tbl>
                          <w:tbl>
                            <w:tblPr>
                              <w:tblW w:w="3763" w:type="dxa"/>
                              <w:jc w:val="left"/>
                              <w:tblInd w:w="0" w:type="dxa"/>
                              <w:tblCellMar>
                                <w:top w:w="0" w:type="dxa"/>
                                <w:left w:w="0" w:type="dxa"/>
                                <w:bottom w:w="0" w:type="dxa"/>
                                <w:right w:w="0" w:type="dxa"/>
                              </w:tblCellMar>
                            </w:tblPr>
                            <w:tblGrid>
                              <w:gridCol w:w="38"/>
                              <w:gridCol w:w="16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5"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Image130" descr=""/>
                                                <pic:cNvPicPr>
                                                  <a:picLocks noChangeAspect="1" noChangeArrowheads="1"/>
                                                </pic:cNvPicPr>
                                              </pic:nvPicPr>
                                              <pic:blipFill>
                                                <a:blip r:embed="rId131"/>
                                                <a:stretch>
                                                  <a:fillRect/>
                                                </a:stretch>
                                              </pic:blipFill>
                                              <pic:spPr bwMode="auto">
                                                <a:xfrm>
                                                  <a:off x="0" y="0"/>
                                                  <a:ext cx="104775" cy="85725"/>
                                                </a:xfrm>
                                                <a:prstGeom prst="rect">
                                                  <a:avLst/>
                                                </a:prstGeom>
                                              </pic:spPr>
                                            </pic:pic>
                                          </a:graphicData>
                                        </a:graphic>
                                      </wp:inline>
                                    </w:drawing>
                                  </w:r>
                                </w:p>
                              </w:tc>
                              <w:tc>
                                <w:tcPr>
                                  <w:tcW w:w="356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administering our executive incentive plans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 name="Image131" descr=""/>
                                                <pic:cNvPicPr>
                                                  <a:picLocks noChangeAspect="1" noChangeArrowheads="1"/>
                                                </pic:cNvPicPr>
                                              </pic:nvPicPr>
                                              <pic:blipFill>
                                                <a:blip r:embed="rId132"/>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and approving policies related to executive compensation, including stock ownership guidelines, clawback policy and hedging/pledging policy</w:t>
                                  </w:r>
                                </w:p>
                              </w:tc>
                            </w:tr>
                          </w:tbl>
                          <w:tbl>
                            <w:tblPr>
                              <w:tblW w:w="4453" w:type="dxa"/>
                              <w:jc w:val="left"/>
                              <w:tblInd w:w="0" w:type="dxa"/>
                              <w:tblCellMar>
                                <w:top w:w="0" w:type="dxa"/>
                                <w:left w:w="0" w:type="dxa"/>
                                <w:bottom w:w="0" w:type="dxa"/>
                                <w:right w:w="0" w:type="dxa"/>
                              </w:tblCellMar>
                            </w:tblPr>
                            <w:tblGrid>
                              <w:gridCol w:w="38"/>
                              <w:gridCol w:w="165"/>
                              <w:gridCol w:w="42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Image132" descr=""/>
                                                <pic:cNvPicPr>
                                                  <a:picLocks noChangeAspect="1" noChangeArrowheads="1"/>
                                                </pic:cNvPicPr>
                                              </pic:nvPicPr>
                                              <pic:blipFill>
                                                <a:blip r:embed="rId133"/>
                                                <a:stretch>
                                                  <a:fillRect/>
                                                </a:stretch>
                                              </pic:blipFill>
                                              <pic:spPr bwMode="auto">
                                                <a:xfrm>
                                                  <a:off x="0" y="0"/>
                                                  <a:ext cx="104775" cy="85725"/>
                                                </a:xfrm>
                                                <a:prstGeom prst="rect">
                                                  <a:avLst/>
                                                </a:prstGeom>
                                              </pic:spPr>
                                            </pic:pic>
                                          </a:graphicData>
                                        </a:graphic>
                                      </wp:inline>
                                    </w:drawing>
                                  </w:r>
                                </w:p>
                              </w:tc>
                              <w:tc>
                                <w:tcPr>
                                  <w:tcW w:w="42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selecting our independent compensation consultant</w:t>
                                  </w:r>
                                </w:p>
                              </w:tc>
                            </w:tr>
                          </w:tbl>
                          <w:p>
                            <w:pPr>
                              <w:pStyle w:val="TextBody"/>
                              <w:rPr>
                                <w:caps w:val="false"/>
                                <w:smallCaps w:val="false"/>
                              </w:rPr>
                            </w:pPr>
                            <w:r>
                              <w:rPr>
                                <w:caps w:val="false"/>
                                <w:smallCaps w:val="false"/>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may from time to time delegate all or a portion of its duties and responsibilities to a subcommittee of the compensation committee.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11.3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i w:val="false"/>
                          <w:caps w:val="false"/>
                          <w:smallCaps w:val="false"/>
                          <w:color w:val="231F20"/>
                          <w:sz w:val="18"/>
                        </w:rPr>
                      </w:pPr>
                      <w:bookmarkStart w:id="45" w:name="a026"/>
                      <w:bookmarkEnd w:id="45"/>
                      <w:r>
                        <w:rPr>
                          <w:rFonts w:ascii="Arial;Helvetica;Sans-Serif" w:hAnsi="Arial;Helvetica;Sans-Serif"/>
                          <w:b/>
                          <w:i w:val="false"/>
                          <w:caps w:val="false"/>
                          <w:smallCaps w:val="false"/>
                          <w:color w:val="231F20"/>
                          <w:sz w:val="18"/>
                        </w:rPr>
                        <w:t>Compensation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compensation committee currently consists of Messrs. </w:t>
                      </w:r>
                      <w:r>
                        <w:rPr>
                          <w:rFonts w:ascii="Arial;Helvetica;Sans-Serif" w:hAnsi="Arial;Helvetica;Sans-Serif"/>
                          <w:b w:val="false"/>
                          <w:i w:val="false"/>
                          <w:caps w:val="false"/>
                          <w:smallCaps w:val="false"/>
                          <w:color w:val="58595B"/>
                          <w:spacing w:val="-4"/>
                          <w:sz w:val="18"/>
                        </w:rPr>
                        <w:t>Farrelly,</w:t>
                      </w:r>
                      <w:r>
                        <w:rPr>
                          <w:rFonts w:ascii="Arial;Helvetica;Sans-Serif" w:hAnsi="Arial;Helvetica;Sans-Serif"/>
                          <w:b w:val="false"/>
                          <w:i w:val="false"/>
                          <w:caps w:val="false"/>
                          <w:smallCaps w:val="false"/>
                          <w:color w:val="58595B"/>
                          <w:sz w:val="18"/>
                        </w:rPr>
                        <w:t xml:space="preserve"> Hagerty and </w:t>
                      </w:r>
                      <w:r>
                        <w:rPr>
                          <w:rFonts w:ascii="Arial;Helvetica;Sans-Serif" w:hAnsi="Arial;Helvetica;Sans-Serif"/>
                          <w:b w:val="false"/>
                          <w:i w:val="false"/>
                          <w:caps w:val="false"/>
                          <w:smallCaps w:val="false"/>
                          <w:color w:val="58595B"/>
                          <w:spacing w:val="-3"/>
                          <w:sz w:val="18"/>
                        </w:rPr>
                        <w:t xml:space="preserve">Stull </w:t>
                      </w:r>
                      <w:r>
                        <w:rPr>
                          <w:rFonts w:ascii="Arial;Helvetica;Sans-Serif" w:hAnsi="Arial;Helvetica;Sans-Serif"/>
                          <w:b w:val="false"/>
                          <w:i w:val="false"/>
                          <w:caps w:val="false"/>
                          <w:smallCaps w:val="false"/>
                          <w:color w:val="58595B"/>
                          <w:sz w:val="18"/>
                        </w:rPr>
                        <w:t xml:space="preserve">and Ms. Moddelmog and is chaired by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Hagerty. </w:t>
                      </w:r>
                      <w:r>
                        <w:rPr>
                          <w:rFonts w:ascii="Arial;Helvetica;Sans-Serif" w:hAnsi="Arial;Helvetica;Sans-Serif"/>
                          <w:b w:val="false"/>
                          <w:i w:val="false"/>
                          <w:caps w:val="false"/>
                          <w:smallCaps w:val="false"/>
                          <w:color w:val="58595B"/>
                          <w:sz w:val="18"/>
                        </w:rPr>
                        <w:t xml:space="preserve">The compensation committee held six meetings in 2022. The Board has determined that each compensation committee member is independent under the NYSE rules </w:t>
                      </w:r>
                      <w:r>
                        <w:rPr>
                          <w:rFonts w:ascii="Arial;Helvetica;Sans-Serif" w:hAnsi="Arial;Helvetica;Sans-Serif"/>
                          <w:b w:val="false"/>
                          <w:i w:val="false"/>
                          <w:caps w:val="false"/>
                          <w:smallCaps w:val="false"/>
                          <w:color w:val="58595B"/>
                          <w:spacing w:val="-2"/>
                          <w:sz w:val="18"/>
                        </w:rPr>
                        <w:t xml:space="preserve">for </w:t>
                      </w:r>
                      <w:r>
                        <w:rPr>
                          <w:rFonts w:ascii="Arial;Helvetica;Sans-Serif" w:hAnsi="Arial;Helvetica;Sans-Serif"/>
                          <w:b w:val="false"/>
                          <w:i w:val="false"/>
                          <w:caps w:val="false"/>
                          <w:smallCaps w:val="false"/>
                          <w:color w:val="58595B"/>
                          <w:sz w:val="18"/>
                        </w:rPr>
                        <w:t>compensation committee members.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committee’s primary responsibilities include:</w:t>
                      </w:r>
                    </w:p>
                    <w:p>
                      <w:pPr>
                        <w:pStyle w:val="TextBody"/>
                        <w:rPr>
                          <w:caps w:val="false"/>
                          <w:smallCaps w:val="false"/>
                          <w:color w:val="58595B"/>
                        </w:rPr>
                      </w:pPr>
                      <w:r>
                        <w:rPr>
                          <w:caps w:val="false"/>
                          <w:smallCaps w:val="false"/>
                          <w:color w:val="58595B"/>
                        </w:rPr>
                        <w:t> </w:t>
                      </w:r>
                    </w:p>
                    <w:tbl>
                      <w:tblPr>
                        <w:tblW w:w="9628" w:type="dxa"/>
                        <w:jc w:val="left"/>
                        <w:tblInd w:w="0" w:type="dxa"/>
                        <w:tblCellMar>
                          <w:top w:w="0" w:type="dxa"/>
                          <w:left w:w="0" w:type="dxa"/>
                          <w:bottom w:w="0" w:type="dxa"/>
                          <w:right w:w="0" w:type="dxa"/>
                        </w:tblCellMar>
                      </w:tblPr>
                      <w:tblGrid>
                        <w:gridCol w:w="38"/>
                        <w:gridCol w:w="165"/>
                        <w:gridCol w:w="94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 name="Image128" descr=""/>
                                          <pic:cNvPicPr>
                                            <a:picLocks noChangeAspect="1" noChangeArrowheads="1"/>
                                          </pic:cNvPicPr>
                                        </pic:nvPicPr>
                                        <pic:blipFill>
                                          <a:blip r:embed="rId129"/>
                                          <a:stretch>
                                            <a:fillRect/>
                                          </a:stretch>
                                        </pic:blipFill>
                                        <pic:spPr bwMode="auto">
                                          <a:xfrm>
                                            <a:off x="0" y="0"/>
                                            <a:ext cx="104775" cy="85725"/>
                                          </a:xfrm>
                                          <a:prstGeom prst="rect">
                                            <a:avLst/>
                                          </a:prstGeom>
                                        </pic:spPr>
                                      </pic:pic>
                                    </a:graphicData>
                                  </a:graphic>
                                </wp:inline>
                              </w:drawing>
                            </w:r>
                          </w:p>
                        </w:tc>
                        <w:tc>
                          <w:tcPr>
                            <w:tcW w:w="942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annually reviewing and approving the goals, objectives and specific levels of our executive compensation programs</w:t>
                            </w:r>
                          </w:p>
                        </w:tc>
                      </w:tr>
                    </w:tbl>
                    <w:tbl>
                      <w:tblPr>
                        <w:tblW w:w="7258" w:type="dxa"/>
                        <w:jc w:val="left"/>
                        <w:tblInd w:w="0" w:type="dxa"/>
                        <w:tblCellMar>
                          <w:top w:w="0" w:type="dxa"/>
                          <w:left w:w="0" w:type="dxa"/>
                          <w:bottom w:w="0" w:type="dxa"/>
                          <w:right w:w="0" w:type="dxa"/>
                        </w:tblCellMar>
                      </w:tblPr>
                      <w:tblGrid>
                        <w:gridCol w:w="38"/>
                        <w:gridCol w:w="165"/>
                        <w:gridCol w:w="70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Image129" descr=""/>
                                          <pic:cNvPicPr>
                                            <a:picLocks noChangeAspect="1" noChangeArrowheads="1"/>
                                          </pic:cNvPicPr>
                                        </pic:nvPicPr>
                                        <pic:blipFill>
                                          <a:blip r:embed="rId130"/>
                                          <a:stretch>
                                            <a:fillRect/>
                                          </a:stretch>
                                        </pic:blipFill>
                                        <pic:spPr bwMode="auto">
                                          <a:xfrm>
                                            <a:off x="0" y="0"/>
                                            <a:ext cx="104775" cy="85725"/>
                                          </a:xfrm>
                                          <a:prstGeom prst="rect">
                                            <a:avLst/>
                                          </a:prstGeom>
                                        </pic:spPr>
                                      </pic:pic>
                                    </a:graphicData>
                                  </a:graphic>
                                </wp:inline>
                              </w:drawing>
                            </w:r>
                          </w:p>
                        </w:tc>
                        <w:tc>
                          <w:tcPr>
                            <w:tcW w:w="70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and approving employment, severance and change in control arrangements</w:t>
                            </w:r>
                          </w:p>
                        </w:tc>
                      </w:tr>
                    </w:tbl>
                    <w:tbl>
                      <w:tblPr>
                        <w:tblW w:w="3763" w:type="dxa"/>
                        <w:jc w:val="left"/>
                        <w:tblInd w:w="0" w:type="dxa"/>
                        <w:tblCellMar>
                          <w:top w:w="0" w:type="dxa"/>
                          <w:left w:w="0" w:type="dxa"/>
                          <w:bottom w:w="0" w:type="dxa"/>
                          <w:right w:w="0" w:type="dxa"/>
                        </w:tblCellMar>
                      </w:tblPr>
                      <w:tblGrid>
                        <w:gridCol w:w="38"/>
                        <w:gridCol w:w="16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 name="Image130" descr=""/>
                                          <pic:cNvPicPr>
                                            <a:picLocks noChangeAspect="1" noChangeArrowheads="1"/>
                                          </pic:cNvPicPr>
                                        </pic:nvPicPr>
                                        <pic:blipFill>
                                          <a:blip r:embed="rId131"/>
                                          <a:stretch>
                                            <a:fillRect/>
                                          </a:stretch>
                                        </pic:blipFill>
                                        <pic:spPr bwMode="auto">
                                          <a:xfrm>
                                            <a:off x="0" y="0"/>
                                            <a:ext cx="104775" cy="85725"/>
                                          </a:xfrm>
                                          <a:prstGeom prst="rect">
                                            <a:avLst/>
                                          </a:prstGeom>
                                        </pic:spPr>
                                      </pic:pic>
                                    </a:graphicData>
                                  </a:graphic>
                                </wp:inline>
                              </w:drawing>
                            </w:r>
                          </w:p>
                        </w:tc>
                        <w:tc>
                          <w:tcPr>
                            <w:tcW w:w="356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administering our executive incentive plans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Image131" descr=""/>
                                          <pic:cNvPicPr>
                                            <a:picLocks noChangeAspect="1" noChangeArrowheads="1"/>
                                          </pic:cNvPicPr>
                                        </pic:nvPicPr>
                                        <pic:blipFill>
                                          <a:blip r:embed="rId132"/>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and approving policies related to executive compensation, including stock ownership guidelines, clawback policy and hedging/pledging policy</w:t>
                            </w:r>
                          </w:p>
                        </w:tc>
                      </w:tr>
                    </w:tbl>
                    <w:tbl>
                      <w:tblPr>
                        <w:tblW w:w="4453" w:type="dxa"/>
                        <w:jc w:val="left"/>
                        <w:tblInd w:w="0" w:type="dxa"/>
                        <w:tblCellMar>
                          <w:top w:w="0" w:type="dxa"/>
                          <w:left w:w="0" w:type="dxa"/>
                          <w:bottom w:w="0" w:type="dxa"/>
                          <w:right w:w="0" w:type="dxa"/>
                        </w:tblCellMar>
                      </w:tblPr>
                      <w:tblGrid>
                        <w:gridCol w:w="38"/>
                        <w:gridCol w:w="165"/>
                        <w:gridCol w:w="42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 name="Image132" descr=""/>
                                          <pic:cNvPicPr>
                                            <a:picLocks noChangeAspect="1" noChangeArrowheads="1"/>
                                          </pic:cNvPicPr>
                                        </pic:nvPicPr>
                                        <pic:blipFill>
                                          <a:blip r:embed="rId133"/>
                                          <a:stretch>
                                            <a:fillRect/>
                                          </a:stretch>
                                        </pic:blipFill>
                                        <pic:spPr bwMode="auto">
                                          <a:xfrm>
                                            <a:off x="0" y="0"/>
                                            <a:ext cx="104775" cy="85725"/>
                                          </a:xfrm>
                                          <a:prstGeom prst="rect">
                                            <a:avLst/>
                                          </a:prstGeom>
                                        </pic:spPr>
                                      </pic:pic>
                                    </a:graphicData>
                                  </a:graphic>
                                </wp:inline>
                              </w:drawing>
                            </w:r>
                          </w:p>
                        </w:tc>
                        <w:tc>
                          <w:tcPr>
                            <w:tcW w:w="42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selecting our independent compensation consultant</w:t>
                            </w:r>
                          </w:p>
                        </w:tc>
                      </w:tr>
                    </w:tbl>
                    <w:p>
                      <w:pPr>
                        <w:pStyle w:val="TextBody"/>
                        <w:rPr>
                          <w:caps w:val="false"/>
                          <w:smallCaps w:val="false"/>
                        </w:rPr>
                      </w:pPr>
                      <w:r>
                        <w:rPr>
                          <w:caps w:val="false"/>
                          <w:smallCaps w:val="false"/>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may from time to time delegate all or a portion of its duties and responsibilities to a subcommittee of the compensation committee.</w:t>
                      </w:r>
                    </w:p>
                  </w:txbxContent>
                </v:textbox>
                <w10:wrap type="square" side="left"/>
              </v:rect>
            </w:pict>
          </mc:Fallback>
        </mc:AlternateContent>
      </w:r>
    </w:p>
    <w:p>
      <w:pPr>
        <w:pStyle w:val="TextBody"/>
        <w:spacing w:before="0" w:after="0"/>
        <w:rPr/>
      </w:pPr>
      <w:r>
        <w:rPr/>
      </w:r>
    </w:p>
    <w:tbl>
      <w:tblPr>
        <w:tblW w:w="3876" w:type="dxa"/>
        <w:jc w:val="left"/>
        <w:tblInd w:w="0" w:type="dxa"/>
        <w:tblCellMar>
          <w:top w:w="0" w:type="dxa"/>
          <w:left w:w="0" w:type="dxa"/>
          <w:bottom w:w="0" w:type="dxa"/>
          <w:right w:w="0" w:type="dxa"/>
        </w:tblCellMar>
      </w:tblPr>
      <w:tblGrid>
        <w:gridCol w:w="38"/>
        <w:gridCol w:w="200"/>
        <w:gridCol w:w="3638"/>
      </w:tblGrid>
      <w:tr>
        <w:trPr/>
        <w:tc>
          <w:tcPr>
            <w:tcW w:w="38"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18</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03. </w:t>
      </w:r>
      <w:r>
        <w:rPr>
          <w:rFonts w:ascii="Arial;Helvetica;Sans-Serif" w:hAnsi="Arial;Helvetica;Sans-Serif"/>
          <w:b w:val="false"/>
          <w:i w:val="false"/>
          <w:caps w:val="false"/>
          <w:smallCaps w:val="false"/>
          <w:color w:val="DC0021"/>
          <w:sz w:val="20"/>
        </w:rPr>
        <w:t>CORPORATE GOVERNANCE AND BOARD MATTERS</w:t>
      </w:r>
    </w:p>
    <w:p>
      <w:pPr>
        <w:pStyle w:val="TextBody"/>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5">
                <wp:simplePos x="0" y="0"/>
                <wp:positionH relativeFrom="column">
                  <wp:align>right</wp:align>
                </wp:positionH>
                <wp:positionV relativeFrom="line">
                  <wp:posOffset>635</wp:posOffset>
                </wp:positionV>
                <wp:extent cx="3110230" cy="9685655"/>
                <wp:effectExtent l="0" t="0" r="0" b="0"/>
                <wp:wrapSquare wrapText="largest"/>
                <wp:docPr id="233" name="Frame27"/>
                <a:graphic xmlns:a="http://schemas.openxmlformats.org/drawingml/2006/main">
                  <a:graphicData uri="http://schemas.microsoft.com/office/word/2010/wordprocessingShape">
                    <wps:wsp>
                      <wps:cNvSpPr txBox="1"/>
                      <wps:spPr>
                        <a:xfrm>
                          <a:off x="0" y="0"/>
                          <a:ext cx="3110230" cy="9685655"/>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technology security and cybersecurity, planning processes, policies and objectives. In furtherance of this role, the primary purpose of the committee is to review, assess and make recommendations regarding the long-term strategy for global information security and the evolution of our technology in a competitive environment.</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12"/>
                                <w:sz w:val="18"/>
                              </w:rPr>
                              <w:t xml:space="preserve">To  </w:t>
                            </w:r>
                            <w:r>
                              <w:rPr>
                                <w:rFonts w:ascii="Arial;Helvetica;Sans-Serif" w:hAnsi="Arial;Helvetica;Sans-Serif"/>
                                <w:b w:val="false"/>
                                <w:i w:val="false"/>
                                <w:caps w:val="false"/>
                                <w:smallCaps w:val="false"/>
                                <w:color w:val="58595B"/>
                                <w:sz w:val="18"/>
                              </w:rPr>
                              <w:t>accomplish this purpose, the information technology and security committee has five primary responsibilities:</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Image139" descr=""/>
                                                <pic:cNvPicPr>
                                                  <a:picLocks noChangeAspect="1" noChangeArrowheads="1"/>
                                                </pic:cNvPicPr>
                                              </pic:nvPicPr>
                                              <pic:blipFill>
                                                <a:blip r:embed="rId134"/>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understanding the security controls and assessments conducted on our major payment platforms and comparing same to industry best practices</w:t>
                                  </w:r>
                                </w:p>
                              </w:tc>
                            </w:tr>
                          </w:tbl>
                          <w:tbl>
                            <w:tblPr>
                              <w:tblW w:w="4693" w:type="dxa"/>
                              <w:jc w:val="left"/>
                              <w:tblInd w:w="0" w:type="dxa"/>
                              <w:tblCellMar>
                                <w:top w:w="0" w:type="dxa"/>
                                <w:left w:w="0" w:type="dxa"/>
                                <w:bottom w:w="0" w:type="dxa"/>
                                <w:right w:w="0" w:type="dxa"/>
                              </w:tblCellMar>
                            </w:tblPr>
                            <w:tblGrid>
                              <w:gridCol w:w="38"/>
                              <w:gridCol w:w="165"/>
                              <w:gridCol w:w="44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 name="Image140" descr=""/>
                                                <pic:cNvPicPr>
                                                  <a:picLocks noChangeAspect="1" noChangeArrowheads="1"/>
                                                </pic:cNvPicPr>
                                              </pic:nvPicPr>
                                              <pic:blipFill>
                                                <a:blip r:embed="rId135"/>
                                                <a:stretch>
                                                  <a:fillRect/>
                                                </a:stretch>
                                              </pic:blipFill>
                                              <pic:spPr bwMode="auto">
                                                <a:xfrm>
                                                  <a:off x="0" y="0"/>
                                                  <a:ext cx="104775" cy="85725"/>
                                                </a:xfrm>
                                                <a:prstGeom prst="rect">
                                                  <a:avLst/>
                                                </a:prstGeom>
                                              </pic:spPr>
                                            </pic:pic>
                                          </a:graphicData>
                                        </a:graphic>
                                      </wp:inline>
                                    </w:drawing>
                                  </w:r>
                                </w:p>
                              </w:tc>
                              <w:tc>
                                <w:tcPr>
                                  <w:tcW w:w="44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evaluating strategies to protect our intellectual property</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141" descr=""/>
                                                <pic:cNvPicPr>
                                                  <a:picLocks noChangeAspect="1" noChangeArrowheads="1"/>
                                                </pic:cNvPicPr>
                                              </pic:nvPicPr>
                                              <pic:blipFill>
                                                <a:blip r:embed="rId13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assessing opportunities to update our processing platform strategies to ensure the long term effective and efficient use of our resources</w:t>
                                  </w:r>
                                </w:p>
                              </w:tc>
                            </w:tr>
                          </w:tbl>
                          <w:tbl>
                            <w:tblPr>
                              <w:tblW w:w="9223" w:type="dxa"/>
                              <w:jc w:val="left"/>
                              <w:tblInd w:w="0" w:type="dxa"/>
                              <w:tblCellMar>
                                <w:top w:w="0" w:type="dxa"/>
                                <w:left w:w="0" w:type="dxa"/>
                                <w:bottom w:w="0" w:type="dxa"/>
                                <w:right w:w="0" w:type="dxa"/>
                              </w:tblCellMar>
                            </w:tblPr>
                            <w:tblGrid>
                              <w:gridCol w:w="38"/>
                              <w:gridCol w:w="165"/>
                              <w:gridCol w:w="902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 name="Image142" descr=""/>
                                                <pic:cNvPicPr>
                                                  <a:picLocks noChangeAspect="1" noChangeArrowheads="1"/>
                                                </pic:cNvPicPr>
                                              </pic:nvPicPr>
                                              <pic:blipFill>
                                                <a:blip r:embed="rId137"/>
                                                <a:stretch>
                                                  <a:fillRect/>
                                                </a:stretch>
                                              </pic:blipFill>
                                              <pic:spPr bwMode="auto">
                                                <a:xfrm>
                                                  <a:off x="0" y="0"/>
                                                  <a:ext cx="104775" cy="85725"/>
                                                </a:xfrm>
                                                <a:prstGeom prst="rect">
                                                  <a:avLst/>
                                                </a:prstGeom>
                                              </pic:spPr>
                                            </pic:pic>
                                          </a:graphicData>
                                        </a:graphic>
                                      </wp:inline>
                                    </w:drawing>
                                  </w:r>
                                </w:p>
                              </w:tc>
                              <w:tc>
                                <w:tcPr>
                                  <w:tcW w:w="902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progress on significant IT security and cybersecurity projects and evaluating effectiveness of projects</w:t>
                                  </w:r>
                                </w:p>
                              </w:tc>
                            </w:tr>
                          </w:tbl>
                          <w:tbl>
                            <w:tblPr>
                              <w:tblW w:w="5368" w:type="dxa"/>
                              <w:jc w:val="left"/>
                              <w:tblInd w:w="0" w:type="dxa"/>
                              <w:tblCellMar>
                                <w:top w:w="0" w:type="dxa"/>
                                <w:left w:w="0" w:type="dxa"/>
                                <w:bottom w:w="0" w:type="dxa"/>
                                <w:right w:w="0" w:type="dxa"/>
                              </w:tblCellMar>
                            </w:tblPr>
                            <w:tblGrid>
                              <w:gridCol w:w="38"/>
                              <w:gridCol w:w="165"/>
                              <w:gridCol w:w="51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 name="Image143" descr=""/>
                                                <pic:cNvPicPr>
                                                  <a:picLocks noChangeAspect="1" noChangeArrowheads="1"/>
                                                </pic:cNvPicPr>
                                              </pic:nvPicPr>
                                              <pic:blipFill>
                                                <a:blip r:embed="rId138"/>
                                                <a:stretch>
                                                  <a:fillRect/>
                                                </a:stretch>
                                              </pic:blipFill>
                                              <pic:spPr bwMode="auto">
                                                <a:xfrm>
                                                  <a:off x="0" y="0"/>
                                                  <a:ext cx="104775" cy="85725"/>
                                                </a:xfrm>
                                                <a:prstGeom prst="rect">
                                                  <a:avLst/>
                                                </a:prstGeom>
                                              </pic:spPr>
                                            </pic:pic>
                                          </a:graphicData>
                                        </a:graphic>
                                      </wp:inline>
                                    </w:drawing>
                                  </w:r>
                                </w:p>
                              </w:tc>
                              <w:tc>
                                <w:tcPr>
                                  <w:tcW w:w="516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overseeing our disaster recovery and business continuity plans</w:t>
                                  </w:r>
                                </w:p>
                              </w:tc>
                            </w:tr>
                          </w:tbl>
                          <w:p>
                            <w:pPr>
                              <w:pStyle w:val="TextBody"/>
                              <w:rPr>
                                <w:caps w:val="false"/>
                                <w:smallCaps w:val="false"/>
                              </w:rPr>
                            </w:pPr>
                            <w:r>
                              <w:rPr>
                                <w:caps w:val="false"/>
                                <w:smallCaps w:val="false"/>
                              </w:rPr>
                              <w:t> </w:t>
                            </w:r>
                          </w:p>
                          <w:p>
                            <w:pPr>
                              <w:pStyle w:val="TextBody"/>
                              <w:rPr>
                                <w:rFonts w:ascii="Arial;Helvetica;Sans-Serif" w:hAnsi="Arial;Helvetica;Sans-Serif"/>
                                <w:b/>
                                <w:i w:val="false"/>
                                <w:caps w:val="false"/>
                                <w:smallCaps w:val="false"/>
                                <w:color w:val="231F20"/>
                                <w:sz w:val="18"/>
                              </w:rPr>
                            </w:pPr>
                            <w:bookmarkStart w:id="46" w:name="a030"/>
                            <w:bookmarkEnd w:id="46"/>
                            <w:r>
                              <w:rPr>
                                <w:rFonts w:ascii="Arial;Helvetica;Sans-Serif" w:hAnsi="Arial;Helvetica;Sans-Serif"/>
                                <w:b/>
                                <w:i w:val="false"/>
                                <w:caps w:val="false"/>
                                <w:smallCaps w:val="false"/>
                                <w:color w:val="231F20"/>
                                <w:sz w:val="18"/>
                              </w:rPr>
                              <w:t>Strategic Review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described above, we entered into the Cooperation Agreement in March 2023, pursuant to which we formed an ad hoc strategic review committee. Our strategic review committee currently consists of Messrs. Clarke, Hagerty, Gupta and Sloan and Ms. Bexiga, and is chaired by Mr. Clarke. The strategic review committee is responsible for the consideration of a possible separation of one or more businesses of the Company, whether by sale, spin-off or split-off or other transaction.</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EE0027"/>
                                <w:sz w:val="20"/>
                              </w:rPr>
                            </w:pPr>
                            <w:bookmarkStart w:id="47" w:name="a031"/>
                            <w:bookmarkEnd w:id="47"/>
                            <w:r>
                              <w:rPr>
                                <w:rFonts w:ascii="Arial;Helvetica;Sans-Serif" w:hAnsi="Arial;Helvetica;Sans-Serif"/>
                                <w:b/>
                                <w:i w:val="false"/>
                                <w:caps w:val="false"/>
                                <w:smallCaps w:val="false"/>
                                <w:color w:val="EE0027"/>
                                <w:sz w:val="20"/>
                              </w:rPr>
                              <w:t>Board Leadership</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corporate governance guidelines provide that our Board will include a majority of independent directors. Our CEO serves as the Chairman of the Board and has served as such since 2003. While we believe this leadership structure has been effective, since 2020 a Lead Independent Director has served as a representative of the independent, non-employee directors of the Board and exercise additional powers and responsibilities in connection with Board meetings. The Lead Independent Director will serve a one-year term, which expires at each annual meeting of shareholders. Mr. Stull has served as Lead Independent Director since 2020, with his term ending at the annual meeting. The Board expects that, if elected at the annual meeting, Mr. Stull will be appointed to serve another term as Lead Independent Director until the 2024 annual meeting.</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62.6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technology security and cybersecurity, planning processes, policies and objectives. In furtherance of this role, the primary purpose of the committee is to review, assess and make recommendations regarding the long-term strategy for global information security and the evolution of our technology in a competitive environment.</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12"/>
                          <w:sz w:val="18"/>
                        </w:rPr>
                        <w:t xml:space="preserve">To  </w:t>
                      </w:r>
                      <w:r>
                        <w:rPr>
                          <w:rFonts w:ascii="Arial;Helvetica;Sans-Serif" w:hAnsi="Arial;Helvetica;Sans-Serif"/>
                          <w:b w:val="false"/>
                          <w:i w:val="false"/>
                          <w:caps w:val="false"/>
                          <w:smallCaps w:val="false"/>
                          <w:color w:val="58595B"/>
                          <w:sz w:val="18"/>
                        </w:rPr>
                        <w:t>accomplish this purpose, the information technology and security committee has five primary responsibilities:</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9" name="Image139" descr=""/>
                                          <pic:cNvPicPr>
                                            <a:picLocks noChangeAspect="1" noChangeArrowheads="1"/>
                                          </pic:cNvPicPr>
                                        </pic:nvPicPr>
                                        <pic:blipFill>
                                          <a:blip r:embed="rId134"/>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understanding the security controls and assessments conducted on our major payment platforms and comparing same to industry best practices</w:t>
                            </w:r>
                          </w:p>
                        </w:tc>
                      </w:tr>
                    </w:tbl>
                    <w:tbl>
                      <w:tblPr>
                        <w:tblW w:w="4693" w:type="dxa"/>
                        <w:jc w:val="left"/>
                        <w:tblInd w:w="0" w:type="dxa"/>
                        <w:tblCellMar>
                          <w:top w:w="0" w:type="dxa"/>
                          <w:left w:w="0" w:type="dxa"/>
                          <w:bottom w:w="0" w:type="dxa"/>
                          <w:right w:w="0" w:type="dxa"/>
                        </w:tblCellMar>
                      </w:tblPr>
                      <w:tblGrid>
                        <w:gridCol w:w="38"/>
                        <w:gridCol w:w="165"/>
                        <w:gridCol w:w="44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0" name="Image140" descr=""/>
                                          <pic:cNvPicPr>
                                            <a:picLocks noChangeAspect="1" noChangeArrowheads="1"/>
                                          </pic:cNvPicPr>
                                        </pic:nvPicPr>
                                        <pic:blipFill>
                                          <a:blip r:embed="rId135"/>
                                          <a:stretch>
                                            <a:fillRect/>
                                          </a:stretch>
                                        </pic:blipFill>
                                        <pic:spPr bwMode="auto">
                                          <a:xfrm>
                                            <a:off x="0" y="0"/>
                                            <a:ext cx="104775" cy="85725"/>
                                          </a:xfrm>
                                          <a:prstGeom prst="rect">
                                            <a:avLst/>
                                          </a:prstGeom>
                                        </pic:spPr>
                                      </pic:pic>
                                    </a:graphicData>
                                  </a:graphic>
                                </wp:inline>
                              </w:drawing>
                            </w:r>
                          </w:p>
                        </w:tc>
                        <w:tc>
                          <w:tcPr>
                            <w:tcW w:w="44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evaluating strategies to protect our intellectual property</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1"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 name="Image141" descr=""/>
                                          <pic:cNvPicPr>
                                            <a:picLocks noChangeAspect="1" noChangeArrowheads="1"/>
                                          </pic:cNvPicPr>
                                        </pic:nvPicPr>
                                        <pic:blipFill>
                                          <a:blip r:embed="rId13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assessing opportunities to update our processing platform strategies to ensure the long term effective and efficient use of our resources</w:t>
                            </w:r>
                          </w:p>
                        </w:tc>
                      </w:tr>
                    </w:tbl>
                    <w:tbl>
                      <w:tblPr>
                        <w:tblW w:w="9223" w:type="dxa"/>
                        <w:jc w:val="left"/>
                        <w:tblInd w:w="0" w:type="dxa"/>
                        <w:tblCellMar>
                          <w:top w:w="0" w:type="dxa"/>
                          <w:left w:w="0" w:type="dxa"/>
                          <w:bottom w:w="0" w:type="dxa"/>
                          <w:right w:w="0" w:type="dxa"/>
                        </w:tblCellMar>
                      </w:tblPr>
                      <w:tblGrid>
                        <w:gridCol w:w="38"/>
                        <w:gridCol w:w="165"/>
                        <w:gridCol w:w="902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2"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2" name="Image142" descr=""/>
                                          <pic:cNvPicPr>
                                            <a:picLocks noChangeAspect="1" noChangeArrowheads="1"/>
                                          </pic:cNvPicPr>
                                        </pic:nvPicPr>
                                        <pic:blipFill>
                                          <a:blip r:embed="rId137"/>
                                          <a:stretch>
                                            <a:fillRect/>
                                          </a:stretch>
                                        </pic:blipFill>
                                        <pic:spPr bwMode="auto">
                                          <a:xfrm>
                                            <a:off x="0" y="0"/>
                                            <a:ext cx="104775" cy="85725"/>
                                          </a:xfrm>
                                          <a:prstGeom prst="rect">
                                            <a:avLst/>
                                          </a:prstGeom>
                                        </pic:spPr>
                                      </pic:pic>
                                    </a:graphicData>
                                  </a:graphic>
                                </wp:inline>
                              </w:drawing>
                            </w:r>
                          </w:p>
                        </w:tc>
                        <w:tc>
                          <w:tcPr>
                            <w:tcW w:w="902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reviewing progress on significant IT security and cybersecurity projects and evaluating effectiveness of projects</w:t>
                            </w:r>
                          </w:p>
                        </w:tc>
                      </w:tr>
                    </w:tbl>
                    <w:tbl>
                      <w:tblPr>
                        <w:tblW w:w="5368" w:type="dxa"/>
                        <w:jc w:val="left"/>
                        <w:tblInd w:w="0" w:type="dxa"/>
                        <w:tblCellMar>
                          <w:top w:w="0" w:type="dxa"/>
                          <w:left w:w="0" w:type="dxa"/>
                          <w:bottom w:w="0" w:type="dxa"/>
                          <w:right w:w="0" w:type="dxa"/>
                        </w:tblCellMar>
                      </w:tblPr>
                      <w:tblGrid>
                        <w:gridCol w:w="38"/>
                        <w:gridCol w:w="165"/>
                        <w:gridCol w:w="51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3"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143" descr=""/>
                                          <pic:cNvPicPr>
                                            <a:picLocks noChangeAspect="1" noChangeArrowheads="1"/>
                                          </pic:cNvPicPr>
                                        </pic:nvPicPr>
                                        <pic:blipFill>
                                          <a:blip r:embed="rId138"/>
                                          <a:stretch>
                                            <a:fillRect/>
                                          </a:stretch>
                                        </pic:blipFill>
                                        <pic:spPr bwMode="auto">
                                          <a:xfrm>
                                            <a:off x="0" y="0"/>
                                            <a:ext cx="104775" cy="85725"/>
                                          </a:xfrm>
                                          <a:prstGeom prst="rect">
                                            <a:avLst/>
                                          </a:prstGeom>
                                        </pic:spPr>
                                      </pic:pic>
                                    </a:graphicData>
                                  </a:graphic>
                                </wp:inline>
                              </w:drawing>
                            </w:r>
                          </w:p>
                        </w:tc>
                        <w:tc>
                          <w:tcPr>
                            <w:tcW w:w="516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overseeing our disaster recovery and business continuity plans</w:t>
                            </w:r>
                          </w:p>
                        </w:tc>
                      </w:tr>
                    </w:tbl>
                    <w:p>
                      <w:pPr>
                        <w:pStyle w:val="TextBody"/>
                        <w:rPr>
                          <w:caps w:val="false"/>
                          <w:smallCaps w:val="false"/>
                        </w:rPr>
                      </w:pPr>
                      <w:r>
                        <w:rPr>
                          <w:caps w:val="false"/>
                          <w:smallCaps w:val="false"/>
                        </w:rPr>
                        <w:t> </w:t>
                      </w:r>
                    </w:p>
                    <w:p>
                      <w:pPr>
                        <w:pStyle w:val="TextBody"/>
                        <w:rPr>
                          <w:rFonts w:ascii="Arial;Helvetica;Sans-Serif" w:hAnsi="Arial;Helvetica;Sans-Serif"/>
                          <w:b/>
                          <w:i w:val="false"/>
                          <w:caps w:val="false"/>
                          <w:smallCaps w:val="false"/>
                          <w:color w:val="231F20"/>
                          <w:sz w:val="18"/>
                        </w:rPr>
                      </w:pPr>
                      <w:bookmarkStart w:id="48" w:name="a030"/>
                      <w:bookmarkEnd w:id="48"/>
                      <w:r>
                        <w:rPr>
                          <w:rFonts w:ascii="Arial;Helvetica;Sans-Serif" w:hAnsi="Arial;Helvetica;Sans-Serif"/>
                          <w:b/>
                          <w:i w:val="false"/>
                          <w:caps w:val="false"/>
                          <w:smallCaps w:val="false"/>
                          <w:color w:val="231F20"/>
                          <w:sz w:val="18"/>
                        </w:rPr>
                        <w:t>Strategic Review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described above, we entered into the Cooperation Agreement in March 2023, pursuant to which we formed an ad hoc strategic review committee. Our strategic review committee currently consists of Messrs. Clarke, Hagerty, Gupta and Sloan and Ms. Bexiga, and is chaired by Mr. Clarke. The strategic review committee is responsible for the consideration of a possible separation of one or more businesses of the Company, whether by sale, spin-off or split-off or other transaction.</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EE0027"/>
                          <w:sz w:val="20"/>
                        </w:rPr>
                      </w:pPr>
                      <w:bookmarkStart w:id="49" w:name="a031"/>
                      <w:bookmarkEnd w:id="49"/>
                      <w:r>
                        <w:rPr>
                          <w:rFonts w:ascii="Arial;Helvetica;Sans-Serif" w:hAnsi="Arial;Helvetica;Sans-Serif"/>
                          <w:b/>
                          <w:i w:val="false"/>
                          <w:caps w:val="false"/>
                          <w:smallCaps w:val="false"/>
                          <w:color w:val="EE0027"/>
                          <w:sz w:val="20"/>
                        </w:rPr>
                        <w:t>Board Leadership</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corporate governance guidelines provide that our Board will include a majority of independent directors. Our CEO serves as the Chairman of the Board and has served as such since 2003. While we believe this leadership structure has been effective, since 2020 a Lead Independent Director has served as a representative of the independent, non-employee directors of the Board and exercise additional powers and responsibilities in connection with Board meetings. The Lead Independent Director will serve a one-year term, which expires at each annual meeting of shareholders. Mr. Stull has served as Lead Independent Director since 2020, with his term ending at the annual meeting. The Board expects that, if elected at the annual meeting, Mr. Stull will be appointed to serve another term as Lead Independent Director until the 2024 annual meeting.</w:t>
                      </w:r>
                    </w:p>
                    <w:p>
                      <w:pPr>
                        <w:pStyle w:val="TextBody"/>
                        <w:spacing w:before="0" w:after="283"/>
                        <w:rPr>
                          <w:caps w:val="false"/>
                          <w:smallCaps w:val="false"/>
                          <w:color w:val="58595B"/>
                        </w:rPr>
                      </w:pPr>
                      <w:r>
                        <w:rPr>
                          <w:caps w:val="false"/>
                          <w:smallCaps w:val="false"/>
                          <w:color w:val="58595B"/>
                        </w:rPr>
                        <w:t> </w:t>
                      </w:r>
                    </w:p>
                  </w:txbxContent>
                </v:textbox>
                <w10:wrap type="square" side="left"/>
              </v:rect>
            </w:pict>
          </mc:Fallback>
        </mc:AlternateContent>
      </w:r>
      <w:r>
        <mc:AlternateContent>
          <mc:Choice Requires="wps">
            <w:drawing>
              <wp:anchor behindDoc="0" distT="0" distB="0" distL="0" distR="0" simplePos="0" locked="0" layoutInCell="1" allowOverlap="1" relativeHeight="112">
                <wp:simplePos x="0" y="0"/>
                <wp:positionH relativeFrom="column">
                  <wp:align>left</wp:align>
                </wp:positionH>
                <wp:positionV relativeFrom="line">
                  <wp:posOffset>635</wp:posOffset>
                </wp:positionV>
                <wp:extent cx="3110230" cy="9972040"/>
                <wp:effectExtent l="0" t="0" r="0" b="0"/>
                <wp:wrapSquare wrapText="largest"/>
                <wp:docPr id="244" name="Frame26"/>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See “Compensation Discussion and Analysis” for a description of the processes and procedures of the compensation committee, the committee’s role, and the role of our executive officers and the compensation committee’s independent compensation consultant, in determining or recommending the amount or form of compensation for executive officers and directors.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50" w:name="a027"/>
                            <w:bookmarkEnd w:id="50"/>
                            <w:r>
                              <w:rPr>
                                <w:rFonts w:ascii="Arial;Helvetica;Sans-Serif" w:hAnsi="Arial;Helvetica;Sans-Serif"/>
                                <w:b/>
                                <w:i w:val="false"/>
                                <w:caps w:val="false"/>
                                <w:smallCaps w:val="false"/>
                                <w:color w:val="231F20"/>
                                <w:sz w:val="18"/>
                              </w:rPr>
                              <w:t>Nomination and Governance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governance committee currently consists of Messrs. Jones, Gupta and Stull and Ms. Moddelmog and is chaired by Ms. Moddelmog. The governance committee held four meetings in 2022.</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governance committee’s primary responsibilities include:</w:t>
                            </w:r>
                          </w:p>
                          <w:p>
                            <w:pPr>
                              <w:pStyle w:val="TextBody"/>
                              <w:rPr>
                                <w:caps w:val="false"/>
                                <w:smallCaps w:val="false"/>
                                <w:color w:val="58595B"/>
                              </w:rPr>
                            </w:pPr>
                            <w:r>
                              <w:rPr>
                                <w:caps w:val="false"/>
                                <w:smallCaps w:val="false"/>
                                <w:color w:val="58595B"/>
                              </w:rPr>
                              <w:t> </w:t>
                            </w:r>
                          </w:p>
                          <w:tbl>
                            <w:tblPr>
                              <w:tblW w:w="2878" w:type="dxa"/>
                              <w:jc w:val="left"/>
                              <w:tblInd w:w="0" w:type="dxa"/>
                              <w:tblCellMar>
                                <w:top w:w="0" w:type="dxa"/>
                                <w:left w:w="0" w:type="dxa"/>
                                <w:bottom w:w="0" w:type="dxa"/>
                                <w:right w:w="0" w:type="dxa"/>
                              </w:tblCellMar>
                            </w:tblPr>
                            <w:tblGrid>
                              <w:gridCol w:w="38"/>
                              <w:gridCol w:w="165"/>
                              <w:gridCol w:w="26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5"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133" descr=""/>
                                                <pic:cNvPicPr>
                                                  <a:picLocks noChangeAspect="1" noChangeArrowheads="1"/>
                                                </pic:cNvPicPr>
                                              </pic:nvPicPr>
                                              <pic:blipFill>
                                                <a:blip r:embed="rId139"/>
                                                <a:stretch>
                                                  <a:fillRect/>
                                                </a:stretch>
                                              </pic:blipFill>
                                              <pic:spPr bwMode="auto">
                                                <a:xfrm>
                                                  <a:off x="0" y="0"/>
                                                  <a:ext cx="104775" cy="85725"/>
                                                </a:xfrm>
                                                <a:prstGeom prst="rect">
                                                  <a:avLst/>
                                                </a:prstGeom>
                                              </pic:spPr>
                                            </pic:pic>
                                          </a:graphicData>
                                        </a:graphic>
                                      </wp:inline>
                                    </w:drawing>
                                  </w:r>
                                </w:p>
                              </w:tc>
                              <w:tc>
                                <w:tcPr>
                                  <w:tcW w:w="26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overseeing succession planning</w:t>
                                  </w:r>
                                </w:p>
                              </w:tc>
                            </w:tr>
                          </w:tbl>
                          <w:tbl>
                            <w:tblPr>
                              <w:tblW w:w="5563" w:type="dxa"/>
                              <w:jc w:val="left"/>
                              <w:tblInd w:w="0" w:type="dxa"/>
                              <w:tblCellMar>
                                <w:top w:w="0" w:type="dxa"/>
                                <w:left w:w="0" w:type="dxa"/>
                                <w:bottom w:w="0" w:type="dxa"/>
                                <w:right w:w="0" w:type="dxa"/>
                              </w:tblCellMar>
                            </w:tblPr>
                            <w:tblGrid>
                              <w:gridCol w:w="38"/>
                              <w:gridCol w:w="165"/>
                              <w:gridCol w:w="53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6"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134" descr=""/>
                                                <pic:cNvPicPr>
                                                  <a:picLocks noChangeAspect="1" noChangeArrowheads="1"/>
                                                </pic:cNvPicPr>
                                              </pic:nvPicPr>
                                              <pic:blipFill>
                                                <a:blip r:embed="rId140"/>
                                                <a:stretch>
                                                  <a:fillRect/>
                                                </a:stretch>
                                              </pic:blipFill>
                                              <pic:spPr bwMode="auto">
                                                <a:xfrm>
                                                  <a:off x="0" y="0"/>
                                                  <a:ext cx="104775" cy="85725"/>
                                                </a:xfrm>
                                                <a:prstGeom prst="rect">
                                                  <a:avLst/>
                                                </a:prstGeom>
                                              </pic:spPr>
                                            </pic:pic>
                                          </a:graphicData>
                                        </a:graphic>
                                      </wp:inline>
                                    </w:drawing>
                                  </w:r>
                                </w:p>
                              </w:tc>
                              <w:tc>
                                <w:tcPr>
                                  <w:tcW w:w="536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developing and recommending criteria for selecting new directors</w:t>
                                  </w:r>
                                </w:p>
                              </w:tc>
                            </w:tr>
                          </w:tbl>
                          <w:tbl>
                            <w:tblPr>
                              <w:tblW w:w="5158" w:type="dxa"/>
                              <w:jc w:val="left"/>
                              <w:tblInd w:w="0" w:type="dxa"/>
                              <w:tblCellMar>
                                <w:top w:w="0" w:type="dxa"/>
                                <w:left w:w="0" w:type="dxa"/>
                                <w:bottom w:w="0" w:type="dxa"/>
                                <w:right w:w="0" w:type="dxa"/>
                              </w:tblCellMar>
                            </w:tblPr>
                            <w:tblGrid>
                              <w:gridCol w:w="38"/>
                              <w:gridCol w:w="165"/>
                              <w:gridCol w:w="49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7"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135" descr=""/>
                                                <pic:cNvPicPr>
                                                  <a:picLocks noChangeAspect="1" noChangeArrowheads="1"/>
                                                </pic:cNvPicPr>
                                              </pic:nvPicPr>
                                              <pic:blipFill>
                                                <a:blip r:embed="rId141"/>
                                                <a:stretch>
                                                  <a:fillRect/>
                                                </a:stretch>
                                              </pic:blipFill>
                                              <pic:spPr bwMode="auto">
                                                <a:xfrm>
                                                  <a:off x="0" y="0"/>
                                                  <a:ext cx="104775" cy="85725"/>
                                                </a:xfrm>
                                                <a:prstGeom prst="rect">
                                                  <a:avLst/>
                                                </a:prstGeom>
                                              </pic:spPr>
                                            </pic:pic>
                                          </a:graphicData>
                                        </a:graphic>
                                      </wp:inline>
                                    </w:drawing>
                                  </w:r>
                                </w:p>
                              </w:tc>
                              <w:tc>
                                <w:tcPr>
                                  <w:tcW w:w="49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evaluating individuals and qualifications to become directors</w:t>
                                  </w:r>
                                </w:p>
                              </w:tc>
                            </w:tr>
                          </w:tbl>
                          <w:tbl>
                            <w:tblPr>
                              <w:tblW w:w="4588" w:type="dxa"/>
                              <w:jc w:val="left"/>
                              <w:tblInd w:w="0" w:type="dxa"/>
                              <w:tblCellMar>
                                <w:top w:w="0" w:type="dxa"/>
                                <w:left w:w="0" w:type="dxa"/>
                                <w:bottom w:w="0" w:type="dxa"/>
                                <w:right w:w="0" w:type="dxa"/>
                              </w:tblCellMar>
                            </w:tblPr>
                            <w:tblGrid>
                              <w:gridCol w:w="38"/>
                              <w:gridCol w:w="165"/>
                              <w:gridCol w:w="43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8"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Image136" descr=""/>
                                                <pic:cNvPicPr>
                                                  <a:picLocks noChangeAspect="1" noChangeArrowheads="1"/>
                                                </pic:cNvPicPr>
                                              </pic:nvPicPr>
                                              <pic:blipFill>
                                                <a:blip r:embed="rId142"/>
                                                <a:stretch>
                                                  <a:fillRect/>
                                                </a:stretch>
                                              </pic:blipFill>
                                              <pic:spPr bwMode="auto">
                                                <a:xfrm>
                                                  <a:off x="0" y="0"/>
                                                  <a:ext cx="104775" cy="85725"/>
                                                </a:xfrm>
                                                <a:prstGeom prst="rect">
                                                  <a:avLst/>
                                                </a:prstGeom>
                                              </pic:spPr>
                                            </pic:pic>
                                          </a:graphicData>
                                        </a:graphic>
                                      </wp:inline>
                                    </w:drawing>
                                  </w:r>
                                </w:p>
                              </w:tc>
                              <w:tc>
                                <w:tcPr>
                                  <w:tcW w:w="438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recommending nominees for committees of the Board</w:t>
                                  </w:r>
                                </w:p>
                              </w:tc>
                            </w:tr>
                          </w:tbl>
                          <w:tbl>
                            <w:tblPr>
                              <w:tblW w:w="6403" w:type="dxa"/>
                              <w:jc w:val="left"/>
                              <w:tblInd w:w="0" w:type="dxa"/>
                              <w:tblCellMar>
                                <w:top w:w="0" w:type="dxa"/>
                                <w:left w:w="0" w:type="dxa"/>
                                <w:bottom w:w="0" w:type="dxa"/>
                                <w:right w:w="0" w:type="dxa"/>
                              </w:tblCellMar>
                            </w:tblPr>
                            <w:tblGrid>
                              <w:gridCol w:w="38"/>
                              <w:gridCol w:w="165"/>
                              <w:gridCol w:w="620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49"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Image137" descr=""/>
                                                <pic:cNvPicPr>
                                                  <a:picLocks noChangeAspect="1" noChangeArrowheads="1"/>
                                                </pic:cNvPicPr>
                                              </pic:nvPicPr>
                                              <pic:blipFill>
                                                <a:blip r:embed="rId143"/>
                                                <a:stretch>
                                                  <a:fillRect/>
                                                </a:stretch>
                                              </pic:blipFill>
                                              <pic:spPr bwMode="auto">
                                                <a:xfrm>
                                                  <a:off x="0" y="0"/>
                                                  <a:ext cx="104775" cy="85725"/>
                                                </a:xfrm>
                                                <a:prstGeom prst="rect">
                                                  <a:avLst/>
                                                </a:prstGeom>
                                              </pic:spPr>
                                            </pic:pic>
                                          </a:graphicData>
                                        </a:graphic>
                                      </wp:inline>
                                    </w:drawing>
                                  </w:r>
                                </w:p>
                              </w:tc>
                              <w:tc>
                                <w:tcPr>
                                  <w:tcW w:w="620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assisting the Board with matters concerning corporate governance practices</w:t>
                                  </w:r>
                                </w:p>
                              </w:tc>
                            </w:tr>
                          </w:tbl>
                          <w:tbl>
                            <w:tblPr>
                              <w:tblW w:w="3988" w:type="dxa"/>
                              <w:jc w:val="left"/>
                              <w:tblInd w:w="0" w:type="dxa"/>
                              <w:tblCellMar>
                                <w:top w:w="0" w:type="dxa"/>
                                <w:left w:w="0" w:type="dxa"/>
                                <w:bottom w:w="0" w:type="dxa"/>
                                <w:right w:w="0" w:type="dxa"/>
                              </w:tblCellMar>
                            </w:tblPr>
                            <w:tblGrid>
                              <w:gridCol w:w="38"/>
                              <w:gridCol w:w="165"/>
                              <w:gridCol w:w="37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0"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 name="Image138" descr=""/>
                                                <pic:cNvPicPr>
                                                  <a:picLocks noChangeAspect="1" noChangeArrowheads="1"/>
                                                </pic:cNvPicPr>
                                              </pic:nvPicPr>
                                              <pic:blipFill>
                                                <a:blip r:embed="rId144"/>
                                                <a:stretch>
                                                  <a:fillRect/>
                                                </a:stretch>
                                              </pic:blipFill>
                                              <pic:spPr bwMode="auto">
                                                <a:xfrm>
                                                  <a:off x="0" y="0"/>
                                                  <a:ext cx="104775" cy="85725"/>
                                                </a:xfrm>
                                                <a:prstGeom prst="rect">
                                                  <a:avLst/>
                                                </a:prstGeom>
                                              </pic:spPr>
                                            </pic:pic>
                                          </a:graphicData>
                                        </a:graphic>
                                      </wp:inline>
                                    </w:drawing>
                                  </w:r>
                                </w:p>
                              </w:tc>
                              <w:tc>
                                <w:tcPr>
                                  <w:tcW w:w="378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overseeing ESG initiatives and considerations</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 xml:space="preserve">governance committee may from </w:t>
                            </w:r>
                            <w:r>
                              <w:rPr>
                                <w:rFonts w:ascii="Arial;Helvetica;Sans-Serif" w:hAnsi="Arial;Helvetica;Sans-Serif"/>
                                <w:b w:val="false"/>
                                <w:i w:val="false"/>
                                <w:caps w:val="false"/>
                                <w:smallCaps w:val="false"/>
                                <w:color w:val="58595B"/>
                                <w:sz w:val="18"/>
                              </w:rPr>
                              <w:t xml:space="preserve">time to time delegate </w:t>
                            </w:r>
                            <w:r>
                              <w:rPr>
                                <w:rFonts w:ascii="Arial;Helvetica;Sans-Serif" w:hAnsi="Arial;Helvetica;Sans-Serif"/>
                                <w:b w:val="false"/>
                                <w:i w:val="false"/>
                                <w:caps w:val="false"/>
                                <w:smallCaps w:val="false"/>
                                <w:color w:val="58595B"/>
                                <w:spacing w:val="-2"/>
                                <w:sz w:val="18"/>
                              </w:rPr>
                              <w:t xml:space="preserve">all </w:t>
                            </w:r>
                            <w:r>
                              <w:rPr>
                                <w:rFonts w:ascii="Arial;Helvetica;Sans-Serif" w:hAnsi="Arial;Helvetica;Sans-Serif"/>
                                <w:b w:val="false"/>
                                <w:i w:val="false"/>
                                <w:caps w:val="false"/>
                                <w:smallCaps w:val="false"/>
                                <w:color w:val="58595B"/>
                                <w:sz w:val="18"/>
                              </w:rPr>
                              <w:t xml:space="preserve">or a portion of its duties and </w:t>
                            </w:r>
                            <w:r>
                              <w:rPr>
                                <w:rFonts w:ascii="Arial;Helvetica;Sans-Serif" w:hAnsi="Arial;Helvetica;Sans-Serif"/>
                                <w:b w:val="false"/>
                                <w:i w:val="false"/>
                                <w:caps w:val="false"/>
                                <w:smallCaps w:val="false"/>
                                <w:color w:val="58595B"/>
                                <w:spacing w:val="-3"/>
                                <w:sz w:val="18"/>
                              </w:rPr>
                              <w:t>responsibilities</w:t>
                            </w:r>
                            <w:r>
                              <w:rPr>
                                <w:rFonts w:ascii="Arial;Helvetica;Sans-Serif" w:hAnsi="Arial;Helvetica;Sans-Serif"/>
                                <w:b w:val="false"/>
                                <w:i w:val="false"/>
                                <w:caps w:val="false"/>
                                <w:smallCaps w:val="false"/>
                                <w:color w:val="58595B"/>
                                <w:sz w:val="18"/>
                              </w:rPr>
                              <w:t xml:space="preserve"> to a </w:t>
                            </w:r>
                            <w:r>
                              <w:rPr>
                                <w:rFonts w:ascii="Arial;Helvetica;Sans-Serif" w:hAnsi="Arial;Helvetica;Sans-Serif"/>
                                <w:b w:val="false"/>
                                <w:i w:val="false"/>
                                <w:caps w:val="false"/>
                                <w:smallCaps w:val="false"/>
                                <w:color w:val="58595B"/>
                                <w:spacing w:val="-3"/>
                                <w:sz w:val="18"/>
                              </w:rPr>
                              <w:t>subcommittee.</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51" w:name="a028"/>
                            <w:bookmarkEnd w:id="51"/>
                            <w:r>
                              <w:rPr>
                                <w:rFonts w:ascii="Arial;Helvetica;Sans-Serif" w:hAnsi="Arial;Helvetica;Sans-Serif"/>
                                <w:b/>
                                <w:i w:val="false"/>
                                <w:caps w:val="false"/>
                                <w:smallCaps w:val="false"/>
                                <w:color w:val="231F20"/>
                                <w:sz w:val="18"/>
                              </w:rPr>
                              <w:t>Executive and Acquisitions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executive and acquisitions committee currently consists of Messrs. Clarke, Hagerty, Jones and Sloan and is chaired by Mr. Clarke. The executive and acquisitions committee held no meetings in 2022, as all acquisitions were discussed with the full Board. The executive and acquisitions committee is responsible for addressing important Company matters, including capital expenditures, investments, acquisitions, dispositions and financing activities, that the Chairman of the Board determines should be addressed before the next scheduled meeting of the Board.</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52" w:name="a029"/>
                            <w:bookmarkEnd w:id="52"/>
                            <w:r>
                              <w:rPr>
                                <w:rFonts w:ascii="Arial;Helvetica;Sans-Serif" w:hAnsi="Arial;Helvetica;Sans-Serif"/>
                                <w:b/>
                                <w:i w:val="false"/>
                                <w:caps w:val="false"/>
                                <w:smallCaps w:val="false"/>
                                <w:color w:val="231F20"/>
                                <w:sz w:val="18"/>
                              </w:rPr>
                              <w:t>Information Technology and Security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information technology and security committee consists of Messrs. Farrelly, Buckman, Macchia and Sloan and Ms. Bexiga, and is chaired by Mr. Farrelly. The information technology and security committee held four meetings in 2022. The information technology and security committee is responsible for providing oversight and leadership for our information</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See “Compensation Discussion and Analysis” for a description of the processes and procedures of the compensation committee, the committee’s role, and the role of our executive officers and the compensation committee’s independent compensation consultant, in determining or recommending the amount or form of compensation for executive officers and directors.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53" w:name="a027"/>
                      <w:bookmarkEnd w:id="53"/>
                      <w:r>
                        <w:rPr>
                          <w:rFonts w:ascii="Arial;Helvetica;Sans-Serif" w:hAnsi="Arial;Helvetica;Sans-Serif"/>
                          <w:b/>
                          <w:i w:val="false"/>
                          <w:caps w:val="false"/>
                          <w:smallCaps w:val="false"/>
                          <w:color w:val="231F20"/>
                          <w:sz w:val="18"/>
                        </w:rPr>
                        <w:t>Nomination and Governance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governance committee currently consists of Messrs. Jones, Gupta and Stull and Ms. Moddelmog and is chaired by Ms. Moddelmog. The governance committee held four meetings in 2022.</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governance committee’s primary responsibilities include:</w:t>
                      </w:r>
                    </w:p>
                    <w:p>
                      <w:pPr>
                        <w:pStyle w:val="TextBody"/>
                        <w:rPr>
                          <w:caps w:val="false"/>
                          <w:smallCaps w:val="false"/>
                          <w:color w:val="58595B"/>
                        </w:rPr>
                      </w:pPr>
                      <w:r>
                        <w:rPr>
                          <w:caps w:val="false"/>
                          <w:smallCaps w:val="false"/>
                          <w:color w:val="58595B"/>
                        </w:rPr>
                        <w:t> </w:t>
                      </w:r>
                    </w:p>
                    <w:tbl>
                      <w:tblPr>
                        <w:tblW w:w="2878" w:type="dxa"/>
                        <w:jc w:val="left"/>
                        <w:tblInd w:w="0" w:type="dxa"/>
                        <w:tblCellMar>
                          <w:top w:w="0" w:type="dxa"/>
                          <w:left w:w="0" w:type="dxa"/>
                          <w:bottom w:w="0" w:type="dxa"/>
                          <w:right w:w="0" w:type="dxa"/>
                        </w:tblCellMar>
                      </w:tblPr>
                      <w:tblGrid>
                        <w:gridCol w:w="38"/>
                        <w:gridCol w:w="165"/>
                        <w:gridCol w:w="26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1"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Image133" descr=""/>
                                          <pic:cNvPicPr>
                                            <a:picLocks noChangeAspect="1" noChangeArrowheads="1"/>
                                          </pic:cNvPicPr>
                                        </pic:nvPicPr>
                                        <pic:blipFill>
                                          <a:blip r:embed="rId139"/>
                                          <a:stretch>
                                            <a:fillRect/>
                                          </a:stretch>
                                        </pic:blipFill>
                                        <pic:spPr bwMode="auto">
                                          <a:xfrm>
                                            <a:off x="0" y="0"/>
                                            <a:ext cx="104775" cy="85725"/>
                                          </a:xfrm>
                                          <a:prstGeom prst="rect">
                                            <a:avLst/>
                                          </a:prstGeom>
                                        </pic:spPr>
                                      </pic:pic>
                                    </a:graphicData>
                                  </a:graphic>
                                </wp:inline>
                              </w:drawing>
                            </w:r>
                          </w:p>
                        </w:tc>
                        <w:tc>
                          <w:tcPr>
                            <w:tcW w:w="26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overseeing succession planning</w:t>
                            </w:r>
                          </w:p>
                        </w:tc>
                      </w:tr>
                    </w:tbl>
                    <w:tbl>
                      <w:tblPr>
                        <w:tblW w:w="5563" w:type="dxa"/>
                        <w:jc w:val="left"/>
                        <w:tblInd w:w="0" w:type="dxa"/>
                        <w:tblCellMar>
                          <w:top w:w="0" w:type="dxa"/>
                          <w:left w:w="0" w:type="dxa"/>
                          <w:bottom w:w="0" w:type="dxa"/>
                          <w:right w:w="0" w:type="dxa"/>
                        </w:tblCellMar>
                      </w:tblPr>
                      <w:tblGrid>
                        <w:gridCol w:w="38"/>
                        <w:gridCol w:w="165"/>
                        <w:gridCol w:w="53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2"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 name="Image134" descr=""/>
                                          <pic:cNvPicPr>
                                            <a:picLocks noChangeAspect="1" noChangeArrowheads="1"/>
                                          </pic:cNvPicPr>
                                        </pic:nvPicPr>
                                        <pic:blipFill>
                                          <a:blip r:embed="rId140"/>
                                          <a:stretch>
                                            <a:fillRect/>
                                          </a:stretch>
                                        </pic:blipFill>
                                        <pic:spPr bwMode="auto">
                                          <a:xfrm>
                                            <a:off x="0" y="0"/>
                                            <a:ext cx="104775" cy="85725"/>
                                          </a:xfrm>
                                          <a:prstGeom prst="rect">
                                            <a:avLst/>
                                          </a:prstGeom>
                                        </pic:spPr>
                                      </pic:pic>
                                    </a:graphicData>
                                  </a:graphic>
                                </wp:inline>
                              </w:drawing>
                            </w:r>
                          </w:p>
                        </w:tc>
                        <w:tc>
                          <w:tcPr>
                            <w:tcW w:w="536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developing and recommending criteria for selecting new directors</w:t>
                            </w:r>
                          </w:p>
                        </w:tc>
                      </w:tr>
                    </w:tbl>
                    <w:tbl>
                      <w:tblPr>
                        <w:tblW w:w="5158" w:type="dxa"/>
                        <w:jc w:val="left"/>
                        <w:tblInd w:w="0" w:type="dxa"/>
                        <w:tblCellMar>
                          <w:top w:w="0" w:type="dxa"/>
                          <w:left w:w="0" w:type="dxa"/>
                          <w:bottom w:w="0" w:type="dxa"/>
                          <w:right w:w="0" w:type="dxa"/>
                        </w:tblCellMar>
                      </w:tblPr>
                      <w:tblGrid>
                        <w:gridCol w:w="38"/>
                        <w:gridCol w:w="165"/>
                        <w:gridCol w:w="49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3"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3" name="Image135" descr=""/>
                                          <pic:cNvPicPr>
                                            <a:picLocks noChangeAspect="1" noChangeArrowheads="1"/>
                                          </pic:cNvPicPr>
                                        </pic:nvPicPr>
                                        <pic:blipFill>
                                          <a:blip r:embed="rId141"/>
                                          <a:stretch>
                                            <a:fillRect/>
                                          </a:stretch>
                                        </pic:blipFill>
                                        <pic:spPr bwMode="auto">
                                          <a:xfrm>
                                            <a:off x="0" y="0"/>
                                            <a:ext cx="104775" cy="85725"/>
                                          </a:xfrm>
                                          <a:prstGeom prst="rect">
                                            <a:avLst/>
                                          </a:prstGeom>
                                        </pic:spPr>
                                      </pic:pic>
                                    </a:graphicData>
                                  </a:graphic>
                                </wp:inline>
                              </w:drawing>
                            </w:r>
                          </w:p>
                        </w:tc>
                        <w:tc>
                          <w:tcPr>
                            <w:tcW w:w="49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evaluating individuals and qualifications to become directors</w:t>
                            </w:r>
                          </w:p>
                        </w:tc>
                      </w:tr>
                    </w:tbl>
                    <w:tbl>
                      <w:tblPr>
                        <w:tblW w:w="4588" w:type="dxa"/>
                        <w:jc w:val="left"/>
                        <w:tblInd w:w="0" w:type="dxa"/>
                        <w:tblCellMar>
                          <w:top w:w="0" w:type="dxa"/>
                          <w:left w:w="0" w:type="dxa"/>
                          <w:bottom w:w="0" w:type="dxa"/>
                          <w:right w:w="0" w:type="dxa"/>
                        </w:tblCellMar>
                      </w:tblPr>
                      <w:tblGrid>
                        <w:gridCol w:w="38"/>
                        <w:gridCol w:w="165"/>
                        <w:gridCol w:w="43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4"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 name="Image136" descr=""/>
                                          <pic:cNvPicPr>
                                            <a:picLocks noChangeAspect="1" noChangeArrowheads="1"/>
                                          </pic:cNvPicPr>
                                        </pic:nvPicPr>
                                        <pic:blipFill>
                                          <a:blip r:embed="rId142"/>
                                          <a:stretch>
                                            <a:fillRect/>
                                          </a:stretch>
                                        </pic:blipFill>
                                        <pic:spPr bwMode="auto">
                                          <a:xfrm>
                                            <a:off x="0" y="0"/>
                                            <a:ext cx="104775" cy="85725"/>
                                          </a:xfrm>
                                          <a:prstGeom prst="rect">
                                            <a:avLst/>
                                          </a:prstGeom>
                                        </pic:spPr>
                                      </pic:pic>
                                    </a:graphicData>
                                  </a:graphic>
                                </wp:inline>
                              </w:drawing>
                            </w:r>
                          </w:p>
                        </w:tc>
                        <w:tc>
                          <w:tcPr>
                            <w:tcW w:w="438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recommending nominees for committees of the Board</w:t>
                            </w:r>
                          </w:p>
                        </w:tc>
                      </w:tr>
                    </w:tbl>
                    <w:tbl>
                      <w:tblPr>
                        <w:tblW w:w="6403" w:type="dxa"/>
                        <w:jc w:val="left"/>
                        <w:tblInd w:w="0" w:type="dxa"/>
                        <w:tblCellMar>
                          <w:top w:w="0" w:type="dxa"/>
                          <w:left w:w="0" w:type="dxa"/>
                          <w:bottom w:w="0" w:type="dxa"/>
                          <w:right w:w="0" w:type="dxa"/>
                        </w:tblCellMar>
                      </w:tblPr>
                      <w:tblGrid>
                        <w:gridCol w:w="38"/>
                        <w:gridCol w:w="165"/>
                        <w:gridCol w:w="620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5"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 name="Image137" descr=""/>
                                          <pic:cNvPicPr>
                                            <a:picLocks noChangeAspect="1" noChangeArrowheads="1"/>
                                          </pic:cNvPicPr>
                                        </pic:nvPicPr>
                                        <pic:blipFill>
                                          <a:blip r:embed="rId143"/>
                                          <a:stretch>
                                            <a:fillRect/>
                                          </a:stretch>
                                        </pic:blipFill>
                                        <pic:spPr bwMode="auto">
                                          <a:xfrm>
                                            <a:off x="0" y="0"/>
                                            <a:ext cx="104775" cy="85725"/>
                                          </a:xfrm>
                                          <a:prstGeom prst="rect">
                                            <a:avLst/>
                                          </a:prstGeom>
                                        </pic:spPr>
                                      </pic:pic>
                                    </a:graphicData>
                                  </a:graphic>
                                </wp:inline>
                              </w:drawing>
                            </w:r>
                          </w:p>
                        </w:tc>
                        <w:tc>
                          <w:tcPr>
                            <w:tcW w:w="620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assisting the Board with matters concerning corporate governance practices</w:t>
                            </w:r>
                          </w:p>
                        </w:tc>
                      </w:tr>
                    </w:tbl>
                    <w:tbl>
                      <w:tblPr>
                        <w:tblW w:w="3988" w:type="dxa"/>
                        <w:jc w:val="left"/>
                        <w:tblInd w:w="0" w:type="dxa"/>
                        <w:tblCellMar>
                          <w:top w:w="0" w:type="dxa"/>
                          <w:left w:w="0" w:type="dxa"/>
                          <w:bottom w:w="0" w:type="dxa"/>
                          <w:right w:w="0" w:type="dxa"/>
                        </w:tblCellMar>
                      </w:tblPr>
                      <w:tblGrid>
                        <w:gridCol w:w="38"/>
                        <w:gridCol w:w="165"/>
                        <w:gridCol w:w="37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6"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Image138" descr=""/>
                                          <pic:cNvPicPr>
                                            <a:picLocks noChangeAspect="1" noChangeArrowheads="1"/>
                                          </pic:cNvPicPr>
                                        </pic:nvPicPr>
                                        <pic:blipFill>
                                          <a:blip r:embed="rId144"/>
                                          <a:stretch>
                                            <a:fillRect/>
                                          </a:stretch>
                                        </pic:blipFill>
                                        <pic:spPr bwMode="auto">
                                          <a:xfrm>
                                            <a:off x="0" y="0"/>
                                            <a:ext cx="104775" cy="85725"/>
                                          </a:xfrm>
                                          <a:prstGeom prst="rect">
                                            <a:avLst/>
                                          </a:prstGeom>
                                        </pic:spPr>
                                      </pic:pic>
                                    </a:graphicData>
                                  </a:graphic>
                                </wp:inline>
                              </w:drawing>
                            </w:r>
                          </w:p>
                        </w:tc>
                        <w:tc>
                          <w:tcPr>
                            <w:tcW w:w="378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overseeing ESG initiatives and considerations</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 xml:space="preserve">governance committee may from </w:t>
                      </w:r>
                      <w:r>
                        <w:rPr>
                          <w:rFonts w:ascii="Arial;Helvetica;Sans-Serif" w:hAnsi="Arial;Helvetica;Sans-Serif"/>
                          <w:b w:val="false"/>
                          <w:i w:val="false"/>
                          <w:caps w:val="false"/>
                          <w:smallCaps w:val="false"/>
                          <w:color w:val="58595B"/>
                          <w:sz w:val="18"/>
                        </w:rPr>
                        <w:t xml:space="preserve">time to time delegate </w:t>
                      </w:r>
                      <w:r>
                        <w:rPr>
                          <w:rFonts w:ascii="Arial;Helvetica;Sans-Serif" w:hAnsi="Arial;Helvetica;Sans-Serif"/>
                          <w:b w:val="false"/>
                          <w:i w:val="false"/>
                          <w:caps w:val="false"/>
                          <w:smallCaps w:val="false"/>
                          <w:color w:val="58595B"/>
                          <w:spacing w:val="-2"/>
                          <w:sz w:val="18"/>
                        </w:rPr>
                        <w:t xml:space="preserve">all </w:t>
                      </w:r>
                      <w:r>
                        <w:rPr>
                          <w:rFonts w:ascii="Arial;Helvetica;Sans-Serif" w:hAnsi="Arial;Helvetica;Sans-Serif"/>
                          <w:b w:val="false"/>
                          <w:i w:val="false"/>
                          <w:caps w:val="false"/>
                          <w:smallCaps w:val="false"/>
                          <w:color w:val="58595B"/>
                          <w:sz w:val="18"/>
                        </w:rPr>
                        <w:t xml:space="preserve">or a portion of its duties and </w:t>
                      </w:r>
                      <w:r>
                        <w:rPr>
                          <w:rFonts w:ascii="Arial;Helvetica;Sans-Serif" w:hAnsi="Arial;Helvetica;Sans-Serif"/>
                          <w:b w:val="false"/>
                          <w:i w:val="false"/>
                          <w:caps w:val="false"/>
                          <w:smallCaps w:val="false"/>
                          <w:color w:val="58595B"/>
                          <w:spacing w:val="-3"/>
                          <w:sz w:val="18"/>
                        </w:rPr>
                        <w:t>responsibilities</w:t>
                      </w:r>
                      <w:r>
                        <w:rPr>
                          <w:rFonts w:ascii="Arial;Helvetica;Sans-Serif" w:hAnsi="Arial;Helvetica;Sans-Serif"/>
                          <w:b w:val="false"/>
                          <w:i w:val="false"/>
                          <w:caps w:val="false"/>
                          <w:smallCaps w:val="false"/>
                          <w:color w:val="58595B"/>
                          <w:sz w:val="18"/>
                        </w:rPr>
                        <w:t xml:space="preserve"> to a </w:t>
                      </w:r>
                      <w:r>
                        <w:rPr>
                          <w:rFonts w:ascii="Arial;Helvetica;Sans-Serif" w:hAnsi="Arial;Helvetica;Sans-Serif"/>
                          <w:b w:val="false"/>
                          <w:i w:val="false"/>
                          <w:caps w:val="false"/>
                          <w:smallCaps w:val="false"/>
                          <w:color w:val="58595B"/>
                          <w:spacing w:val="-3"/>
                          <w:sz w:val="18"/>
                        </w:rPr>
                        <w:t>subcommittee.</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54" w:name="a028"/>
                      <w:bookmarkEnd w:id="54"/>
                      <w:r>
                        <w:rPr>
                          <w:rFonts w:ascii="Arial;Helvetica;Sans-Serif" w:hAnsi="Arial;Helvetica;Sans-Serif"/>
                          <w:b/>
                          <w:i w:val="false"/>
                          <w:caps w:val="false"/>
                          <w:smallCaps w:val="false"/>
                          <w:color w:val="231F20"/>
                          <w:sz w:val="18"/>
                        </w:rPr>
                        <w:t>Executive and Acquisitions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executive and acquisitions committee currently consists of Messrs. Clarke, Hagerty, Jones and Sloan and is chaired by Mr. Clarke. The executive and acquisitions committee held no meetings in 2022, as all acquisitions were discussed with the full Board. The executive and acquisitions committee is responsible for addressing important Company matters, including capital expenditures, investments, acquisitions, dispositions and financing activities, that the Chairman of the Board determines should be addressed before the next scheduled meeting of the Board.</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55" w:name="a029"/>
                      <w:bookmarkEnd w:id="55"/>
                      <w:r>
                        <w:rPr>
                          <w:rFonts w:ascii="Arial;Helvetica;Sans-Serif" w:hAnsi="Arial;Helvetica;Sans-Serif"/>
                          <w:b/>
                          <w:i w:val="false"/>
                          <w:caps w:val="false"/>
                          <w:smallCaps w:val="false"/>
                          <w:color w:val="231F20"/>
                          <w:sz w:val="18"/>
                        </w:rPr>
                        <w:t>Information Technology and Security Committee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information technology and security committee consists of Messrs. Farrelly, Buckman, Macchia and Sloan and Ms. Bexiga, and is chaired by Mr. Farrelly. The information technology and security committee held four meetings in 2022. The information technology and security committee is responsible for providing oversight and leadership for our information</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p>
    <w:p>
      <w:pPr>
        <w:pStyle w:val="TextBody"/>
        <w:spacing w:before="0" w:after="0"/>
        <w:rPr/>
      </w:pPr>
      <w:r>
        <w:rPr/>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19</w:t>
            </w:r>
          </w:p>
        </w:tc>
      </w:tr>
    </w:tbl>
    <w:p>
      <w:pPr>
        <w:pStyle w:val="TextBody"/>
        <w:jc w:val="left"/>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03. </w:t>
      </w:r>
      <w:r>
        <w:rPr>
          <w:rFonts w:ascii="Arial;Helvetica;Sans-Serif" w:hAnsi="Arial;Helvetica;Sans-Serif"/>
          <w:b w:val="false"/>
          <w:i w:val="false"/>
          <w:caps w:val="false"/>
          <w:smallCaps w:val="false"/>
          <w:color w:val="DC0021"/>
          <w:sz w:val="20"/>
        </w:rPr>
        <w:t>CORPORATE GOVERNANCE AND BOARD MATTERS</w:t>
      </w:r>
    </w:p>
    <w:p>
      <w:pPr>
        <w:pStyle w:val="TextBody"/>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3110230" cy="7808595"/>
                <wp:effectExtent l="0" t="0" r="0" b="0"/>
                <wp:wrapSquare wrapText="largest"/>
                <wp:docPr id="257" name="Frame28"/>
                <a:graphic xmlns:a="http://schemas.openxmlformats.org/drawingml/2006/main">
                  <a:graphicData uri="http://schemas.microsoft.com/office/word/2010/wordprocessingShape">
                    <wps:wsp>
                      <wps:cNvSpPr txBox="1"/>
                      <wps:spPr>
                        <a:xfrm>
                          <a:off x="0" y="0"/>
                          <a:ext cx="3110230" cy="7808595"/>
                        </a:xfrm>
                        <a:prstGeom prst="rect"/>
                      </wps:spPr>
                      <wps:txbx>
                        <w:txbxContent>
                          <w:p>
                            <w:pPr>
                              <w:pStyle w:val="TextBody"/>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Lead Independent Director has the following powers and responsibilities:</w:t>
                            </w:r>
                          </w:p>
                          <w:tbl>
                            <w:tblPr>
                              <w:tblW w:w="7168" w:type="dxa"/>
                              <w:jc w:val="left"/>
                              <w:tblInd w:w="0" w:type="dxa"/>
                              <w:tblCellMar>
                                <w:top w:w="0" w:type="dxa"/>
                                <w:left w:w="0" w:type="dxa"/>
                                <w:bottom w:w="0" w:type="dxa"/>
                                <w:right w:w="0" w:type="dxa"/>
                              </w:tblCellMar>
                            </w:tblPr>
                            <w:tblGrid>
                              <w:gridCol w:w="38"/>
                              <w:gridCol w:w="165"/>
                              <w:gridCol w:w="6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8"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Image144" descr=""/>
                                                <pic:cNvPicPr>
                                                  <a:picLocks noChangeAspect="1" noChangeArrowheads="1"/>
                                                </pic:cNvPicPr>
                                              </pic:nvPicPr>
                                              <pic:blipFill>
                                                <a:blip r:embed="rId145"/>
                                                <a:stretch>
                                                  <a:fillRect/>
                                                </a:stretch>
                                              </pic:blipFill>
                                              <pic:spPr bwMode="auto">
                                                <a:xfrm>
                                                  <a:off x="0" y="0"/>
                                                  <a:ext cx="104775" cy="85725"/>
                                                </a:xfrm>
                                                <a:prstGeom prst="rect">
                                                  <a:avLst/>
                                                </a:prstGeom>
                                              </pic:spPr>
                                            </pic:pic>
                                          </a:graphicData>
                                        </a:graphic>
                                      </wp:inline>
                                    </w:drawing>
                                  </w:r>
                                </w:p>
                              </w:tc>
                              <w:tc>
                                <w:tcPr>
                                  <w:tcW w:w="696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preside at all meetings of the Board at which the Chairman of the Board is not present</w:t>
                                  </w:r>
                                </w:p>
                              </w:tc>
                            </w:tr>
                          </w:tbl>
                          <w:tbl>
                            <w:tblPr>
                              <w:tblW w:w="5323" w:type="dxa"/>
                              <w:jc w:val="left"/>
                              <w:tblInd w:w="0" w:type="dxa"/>
                              <w:tblCellMar>
                                <w:top w:w="0" w:type="dxa"/>
                                <w:left w:w="0" w:type="dxa"/>
                                <w:bottom w:w="0" w:type="dxa"/>
                                <w:right w:w="0" w:type="dxa"/>
                              </w:tblCellMar>
                            </w:tblPr>
                            <w:tblGrid>
                              <w:gridCol w:w="38"/>
                              <w:gridCol w:w="165"/>
                              <w:gridCol w:w="512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59"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 name="Image145" descr=""/>
                                                <pic:cNvPicPr>
                                                  <a:picLocks noChangeAspect="1" noChangeArrowheads="1"/>
                                                </pic:cNvPicPr>
                                              </pic:nvPicPr>
                                              <pic:blipFill>
                                                <a:blip r:embed="rId146"/>
                                                <a:stretch>
                                                  <a:fillRect/>
                                                </a:stretch>
                                              </pic:blipFill>
                                              <pic:spPr bwMode="auto">
                                                <a:xfrm>
                                                  <a:off x="0" y="0"/>
                                                  <a:ext cx="104775" cy="85725"/>
                                                </a:xfrm>
                                                <a:prstGeom prst="rect">
                                                  <a:avLst/>
                                                </a:prstGeom>
                                              </pic:spPr>
                                            </pic:pic>
                                          </a:graphicData>
                                        </a:graphic>
                                      </wp:inline>
                                    </w:drawing>
                                  </w:r>
                                </w:p>
                              </w:tc>
                              <w:tc>
                                <w:tcPr>
                                  <w:tcW w:w="512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preside over executive sessions of the non-employee directors</w:t>
                                  </w:r>
                                </w:p>
                              </w:tc>
                            </w:tr>
                          </w:tbl>
                          <w:tbl>
                            <w:tblPr>
                              <w:tblW w:w="7153" w:type="dxa"/>
                              <w:jc w:val="left"/>
                              <w:tblInd w:w="0" w:type="dxa"/>
                              <w:tblCellMar>
                                <w:top w:w="0" w:type="dxa"/>
                                <w:left w:w="0" w:type="dxa"/>
                                <w:bottom w:w="0" w:type="dxa"/>
                                <w:right w:w="0" w:type="dxa"/>
                              </w:tblCellMar>
                            </w:tblPr>
                            <w:tblGrid>
                              <w:gridCol w:w="38"/>
                              <w:gridCol w:w="165"/>
                              <w:gridCol w:w="69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0"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Image146" descr=""/>
                                                <pic:cNvPicPr>
                                                  <a:picLocks noChangeAspect="1" noChangeArrowheads="1"/>
                                                </pic:cNvPicPr>
                                              </pic:nvPicPr>
                                              <pic:blipFill>
                                                <a:blip r:embed="rId147"/>
                                                <a:stretch>
                                                  <a:fillRect/>
                                                </a:stretch>
                                              </pic:blipFill>
                                              <pic:spPr bwMode="auto">
                                                <a:xfrm>
                                                  <a:off x="0" y="0"/>
                                                  <a:ext cx="104775" cy="85725"/>
                                                </a:xfrm>
                                                <a:prstGeom prst="rect">
                                                  <a:avLst/>
                                                </a:prstGeom>
                                              </pic:spPr>
                                            </pic:pic>
                                          </a:graphicData>
                                        </a:graphic>
                                      </wp:inline>
                                    </w:drawing>
                                  </w:r>
                                </w:p>
                              </w:tc>
                              <w:tc>
                                <w:tcPr>
                                  <w:tcW w:w="69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serve as liaison between the non-employee directors and the Chairman and the CEO</w:t>
                                  </w:r>
                                </w:p>
                              </w:tc>
                            </w:tr>
                          </w:tbl>
                          <w:tbl>
                            <w:tblPr>
                              <w:tblW w:w="5443" w:type="dxa"/>
                              <w:jc w:val="left"/>
                              <w:tblInd w:w="0" w:type="dxa"/>
                              <w:tblCellMar>
                                <w:top w:w="0" w:type="dxa"/>
                                <w:left w:w="0" w:type="dxa"/>
                                <w:bottom w:w="0" w:type="dxa"/>
                                <w:right w:w="0" w:type="dxa"/>
                              </w:tblCellMar>
                            </w:tblPr>
                            <w:tblGrid>
                              <w:gridCol w:w="38"/>
                              <w:gridCol w:w="165"/>
                              <w:gridCol w:w="524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1"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Image147" descr=""/>
                                                <pic:cNvPicPr>
                                                  <a:picLocks noChangeAspect="1" noChangeArrowheads="1"/>
                                                </pic:cNvPicPr>
                                              </pic:nvPicPr>
                                              <pic:blipFill>
                                                <a:blip r:embed="rId148"/>
                                                <a:stretch>
                                                  <a:fillRect/>
                                                </a:stretch>
                                              </pic:blipFill>
                                              <pic:spPr bwMode="auto">
                                                <a:xfrm>
                                                  <a:off x="0" y="0"/>
                                                  <a:ext cx="104775" cy="85725"/>
                                                </a:xfrm>
                                                <a:prstGeom prst="rect">
                                                  <a:avLst/>
                                                </a:prstGeom>
                                              </pic:spPr>
                                            </pic:pic>
                                          </a:graphicData>
                                        </a:graphic>
                                      </wp:inline>
                                    </w:drawing>
                                  </w:r>
                                </w:p>
                              </w:tc>
                              <w:tc>
                                <w:tcPr>
                                  <w:tcW w:w="524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call meetings of non-employee directors, with appropriate notice</w:t>
                                  </w:r>
                                </w:p>
                              </w:tc>
                            </w:tr>
                          </w:tbl>
                          <w:tbl>
                            <w:tblPr>
                              <w:tblW w:w="9208" w:type="dxa"/>
                              <w:jc w:val="left"/>
                              <w:tblInd w:w="0" w:type="dxa"/>
                              <w:tblCellMar>
                                <w:top w:w="0" w:type="dxa"/>
                                <w:left w:w="0" w:type="dxa"/>
                                <w:bottom w:w="0" w:type="dxa"/>
                                <w:right w:w="0" w:type="dxa"/>
                              </w:tblCellMar>
                            </w:tblPr>
                            <w:tblGrid>
                              <w:gridCol w:w="38"/>
                              <w:gridCol w:w="165"/>
                              <w:gridCol w:w="900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2"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Image148" descr=""/>
                                                <pic:cNvPicPr>
                                                  <a:picLocks noChangeAspect="1" noChangeArrowheads="1"/>
                                                </pic:cNvPicPr>
                                              </pic:nvPicPr>
                                              <pic:blipFill>
                                                <a:blip r:embed="rId149"/>
                                                <a:stretch>
                                                  <a:fillRect/>
                                                </a:stretch>
                                              </pic:blipFill>
                                              <pic:spPr bwMode="auto">
                                                <a:xfrm>
                                                  <a:off x="0" y="0"/>
                                                  <a:ext cx="104775" cy="85725"/>
                                                </a:xfrm>
                                                <a:prstGeom prst="rect">
                                                  <a:avLst/>
                                                </a:prstGeom>
                                              </pic:spPr>
                                            </pic:pic>
                                          </a:graphicData>
                                        </a:graphic>
                                      </wp:inline>
                                    </w:drawing>
                                  </w:r>
                                </w:p>
                              </w:tc>
                              <w:tc>
                                <w:tcPr>
                                  <w:tcW w:w="900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coordinate with the Chairman and CEO on meeting schedules, agendas and information provided to the Board</w:t>
                                  </w:r>
                                </w:p>
                              </w:tc>
                            </w:tr>
                          </w:tbl>
                          <w:tbl>
                            <w:tblPr>
                              <w:tblW w:w="6418" w:type="dxa"/>
                              <w:jc w:val="left"/>
                              <w:tblInd w:w="0" w:type="dxa"/>
                              <w:tblCellMar>
                                <w:top w:w="0" w:type="dxa"/>
                                <w:left w:w="0" w:type="dxa"/>
                                <w:bottom w:w="0" w:type="dxa"/>
                                <w:right w:w="0" w:type="dxa"/>
                              </w:tblCellMar>
                            </w:tblPr>
                            <w:tblGrid>
                              <w:gridCol w:w="38"/>
                              <w:gridCol w:w="165"/>
                              <w:gridCol w:w="62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3"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Image149" descr=""/>
                                                <pic:cNvPicPr>
                                                  <a:picLocks noChangeAspect="1" noChangeArrowheads="1"/>
                                                </pic:cNvPicPr>
                                              </pic:nvPicPr>
                                              <pic:blipFill>
                                                <a:blip r:embed="rId150"/>
                                                <a:stretch>
                                                  <a:fillRect/>
                                                </a:stretch>
                                              </pic:blipFill>
                                              <pic:spPr bwMode="auto">
                                                <a:xfrm>
                                                  <a:off x="0" y="0"/>
                                                  <a:ext cx="104775" cy="85725"/>
                                                </a:xfrm>
                                                <a:prstGeom prst="rect">
                                                  <a:avLst/>
                                                </a:prstGeom>
                                              </pic:spPr>
                                            </pic:pic>
                                          </a:graphicData>
                                        </a:graphic>
                                      </wp:inline>
                                    </w:drawing>
                                  </w:r>
                                </w:p>
                              </w:tc>
                              <w:tc>
                                <w:tcPr>
                                  <w:tcW w:w="621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be available for consultation with significant shareholder if so requested and</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4"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Image150" descr=""/>
                                                <pic:cNvPicPr>
                                                  <a:picLocks noChangeAspect="1" noChangeArrowheads="1"/>
                                                </pic:cNvPicPr>
                                              </pic:nvPicPr>
                                              <pic:blipFill>
                                                <a:blip r:embed="rId151"/>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pPr>
                                  <w:r>
                                    <w:rPr>
                                      <w:rFonts w:ascii="Arial;Helvetica;Sans-Serif" w:hAnsi="Arial;Helvetica;Sans-Serif"/>
                                      <w:color w:val="58595B"/>
                                      <w:spacing w:val="-3"/>
                                      <w:sz w:val="18"/>
                                    </w:rPr>
                                    <w:t xml:space="preserve">exercise </w:t>
                                  </w:r>
                                  <w:r>
                                    <w:rPr>
                                      <w:rFonts w:ascii="Arial;Helvetica;Sans-Serif" w:hAnsi="Arial;Helvetica;Sans-Serif"/>
                                      <w:color w:val="58595B"/>
                                      <w:sz w:val="18"/>
                                    </w:rPr>
                                    <w:t xml:space="preserve">and perform such other powers and duties as may be assigned to the </w:t>
                                  </w:r>
                                  <w:r>
                                    <w:rPr>
                                      <w:rFonts w:ascii="Arial;Helvetica;Sans-Serif" w:hAnsi="Arial;Helvetica;Sans-Serif"/>
                                      <w:color w:val="58595B"/>
                                      <w:spacing w:val="-3"/>
                                      <w:sz w:val="18"/>
                                    </w:rPr>
                                    <w:t>Lead</w:t>
                                  </w:r>
                                  <w:r>
                                    <w:rPr>
                                      <w:rFonts w:ascii="Arial;Helvetica;Sans-Serif" w:hAnsi="Arial;Helvetica;Sans-Serif"/>
                                      <w:color w:val="58595B"/>
                                      <w:sz w:val="18"/>
                                    </w:rPr>
                                    <w:t xml:space="preserve"> Independent Director by the Board from time to time</w:t>
                                  </w:r>
                                </w:p>
                              </w:tc>
                            </w:tr>
                          </w:tbl>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corporate governance guidelines provide that our non-management directors will meet in executive session, without management present, as frequently as they deem appropriate, and they typically meet in executive session at the time of each regular Board meeting. The </w:t>
                            </w:r>
                            <w:r>
                              <w:rPr>
                                <w:rFonts w:ascii="Arial;Helvetica;Sans-Serif" w:hAnsi="Arial;Helvetica;Sans-Serif"/>
                                <w:b w:val="false"/>
                                <w:i w:val="false"/>
                                <w:caps w:val="false"/>
                                <w:smallCaps w:val="false"/>
                                <w:color w:val="58595B"/>
                                <w:spacing w:val="-3"/>
                                <w:sz w:val="18"/>
                              </w:rPr>
                              <w:t xml:space="preserve">Lead </w:t>
                            </w:r>
                            <w:r>
                              <w:rPr>
                                <w:rFonts w:ascii="Arial;Helvetica;Sans-Serif" w:hAnsi="Arial;Helvetica;Sans-Serif"/>
                                <w:b w:val="false"/>
                                <w:i w:val="false"/>
                                <w:caps w:val="false"/>
                                <w:smallCaps w:val="false"/>
                                <w:color w:val="58595B"/>
                                <w:sz w:val="18"/>
                              </w:rPr>
                              <w:t>Independent Director presides during the meeting of independent directors, and acts as a liaison between the non-management directors and the chairman and CEO in connection with each regular meeting.</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5"/>
                                <w:sz w:val="18"/>
                              </w:rPr>
                              <w:t xml:space="preserve">We </w:t>
                            </w:r>
                            <w:r>
                              <w:rPr>
                                <w:rFonts w:ascii="Arial;Helvetica;Sans-Serif" w:hAnsi="Arial;Helvetica;Sans-Serif"/>
                                <w:b w:val="false"/>
                                <w:i w:val="false"/>
                                <w:caps w:val="false"/>
                                <w:smallCaps w:val="false"/>
                                <w:color w:val="58595B"/>
                                <w:sz w:val="18"/>
                              </w:rPr>
                              <w:t xml:space="preserve">believe that having a combined chairman and CEO, balanced with a </w:t>
                            </w:r>
                            <w:r>
                              <w:rPr>
                                <w:rFonts w:ascii="Arial;Helvetica;Sans-Serif" w:hAnsi="Arial;Helvetica;Sans-Serif"/>
                                <w:b w:val="false"/>
                                <w:i w:val="false"/>
                                <w:caps w:val="false"/>
                                <w:smallCaps w:val="false"/>
                                <w:color w:val="58595B"/>
                                <w:spacing w:val="-3"/>
                                <w:sz w:val="18"/>
                              </w:rPr>
                              <w:t xml:space="preserve">Lead </w:t>
                            </w:r>
                            <w:r>
                              <w:rPr>
                                <w:rFonts w:ascii="Arial;Helvetica;Sans-Serif" w:hAnsi="Arial;Helvetica;Sans-Serif"/>
                                <w:b w:val="false"/>
                                <w:i w:val="false"/>
                                <w:caps w:val="false"/>
                                <w:smallCaps w:val="false"/>
                                <w:color w:val="58595B"/>
                                <w:sz w:val="18"/>
                              </w:rPr>
                              <w:t xml:space="preserve">Independent </w:t>
                            </w:r>
                            <w:r>
                              <w:rPr>
                                <w:rFonts w:ascii="Arial;Helvetica;Sans-Serif" w:hAnsi="Arial;Helvetica;Sans-Serif"/>
                                <w:b w:val="false"/>
                                <w:i w:val="false"/>
                                <w:caps w:val="false"/>
                                <w:smallCaps w:val="false"/>
                                <w:color w:val="58595B"/>
                                <w:spacing w:val="-3"/>
                                <w:sz w:val="18"/>
                              </w:rPr>
                              <w:t xml:space="preserve">Director, </w:t>
                            </w:r>
                            <w:r>
                              <w:rPr>
                                <w:rFonts w:ascii="Arial;Helvetica;Sans-Serif" w:hAnsi="Arial;Helvetica;Sans-Serif"/>
                                <w:b w:val="false"/>
                                <w:i w:val="false"/>
                                <w:caps w:val="false"/>
                                <w:smallCaps w:val="false"/>
                                <w:color w:val="58595B"/>
                                <w:sz w:val="18"/>
                              </w:rPr>
                              <w:t xml:space="preserve">as well as a Board otherwise comprised solely of independent directors who meet regularly in executive session and independent chairs for the </w:t>
                            </w:r>
                            <w:r>
                              <w:rPr>
                                <w:rFonts w:ascii="Arial;Helvetica;Sans-Serif" w:hAnsi="Arial;Helvetica;Sans-Serif"/>
                                <w:b w:val="false"/>
                                <w:i w:val="false"/>
                                <w:caps w:val="false"/>
                                <w:smallCaps w:val="false"/>
                                <w:color w:val="58595B"/>
                                <w:spacing w:val="-3"/>
                                <w:sz w:val="18"/>
                              </w:rPr>
                              <w:t xml:space="preserve">Board’s </w:t>
                            </w:r>
                            <w:r>
                              <w:rPr>
                                <w:rFonts w:ascii="Arial;Helvetica;Sans-Serif" w:hAnsi="Arial;Helvetica;Sans-Serif"/>
                                <w:b w:val="false"/>
                                <w:i w:val="false"/>
                                <w:caps w:val="false"/>
                                <w:smallCaps w:val="false"/>
                                <w:color w:val="58595B"/>
                                <w:sz w:val="18"/>
                              </w:rPr>
                              <w:t xml:space="preserve">audit committee, compensation committee and </w:t>
                            </w:r>
                            <w:r>
                              <w:rPr>
                                <w:rFonts w:ascii="Arial;Helvetica;Sans-Serif" w:hAnsi="Arial;Helvetica;Sans-Serif"/>
                                <w:b w:val="false"/>
                                <w:i w:val="false"/>
                                <w:caps w:val="false"/>
                                <w:smallCaps w:val="false"/>
                                <w:color w:val="58595B"/>
                                <w:spacing w:val="-3"/>
                                <w:sz w:val="18"/>
                              </w:rPr>
                              <w:t>gov</w:t>
                            </w:r>
                            <w:r>
                              <w:rPr>
                                <w:rFonts w:ascii="Arial;Helvetica;Sans-Serif" w:hAnsi="Arial;Helvetica;Sans-Serif"/>
                                <w:b w:val="false"/>
                                <w:i w:val="false"/>
                                <w:caps w:val="false"/>
                                <w:smallCaps w:val="false"/>
                                <w:color w:val="58595B"/>
                                <w:sz w:val="18"/>
                              </w:rPr>
                              <w:t xml:space="preserve">ernance committee and information technology and security committee provides an effective form of Board leadership and an appropriate balance between strategy development and independent oversight. The Board believes that having our CEO serve as Chairman of the Board facilitates the </w:t>
                            </w:r>
                            <w:r>
                              <w:rPr>
                                <w:rFonts w:ascii="Arial;Helvetica;Sans-Serif" w:hAnsi="Arial;Helvetica;Sans-Serif"/>
                                <w:b w:val="false"/>
                                <w:i w:val="false"/>
                                <w:caps w:val="false"/>
                                <w:smallCaps w:val="false"/>
                                <w:color w:val="58595B"/>
                                <w:spacing w:val="-3"/>
                                <w:sz w:val="18"/>
                              </w:rPr>
                              <w:t xml:space="preserve">Board’s </w:t>
                            </w:r>
                            <w:r>
                              <w:rPr>
                                <w:rFonts w:ascii="Arial;Helvetica;Sans-Serif" w:hAnsi="Arial;Helvetica;Sans-Serif"/>
                                <w:b w:val="false"/>
                                <w:i w:val="false"/>
                                <w:caps w:val="false"/>
                                <w:smallCaps w:val="false"/>
                                <w:color w:val="58595B"/>
                                <w:sz w:val="18"/>
                              </w:rPr>
                              <w:t xml:space="preserve">decision-making processes because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Clarke possesses detailed and in-depth knowledge of the issues, opportunities and challenges facing the Company and its business. </w:t>
                            </w:r>
                            <w:r>
                              <w:rPr>
                                <w:rFonts w:ascii="Arial;Helvetica;Sans-Serif" w:hAnsi="Arial;Helvetica;Sans-Serif"/>
                                <w:b w:val="false"/>
                                <w:i w:val="false"/>
                                <w:caps w:val="false"/>
                                <w:smallCaps w:val="false"/>
                                <w:color w:val="58595B"/>
                                <w:spacing w:val="-3"/>
                                <w:sz w:val="18"/>
                              </w:rPr>
                              <w:t>Accord</w:t>
                            </w:r>
                            <w:r>
                              <w:rPr>
                                <w:rFonts w:ascii="Arial;Helvetica;Sans-Serif" w:hAnsi="Arial;Helvetica;Sans-Serif"/>
                                <w:b w:val="false"/>
                                <w:i w:val="false"/>
                                <w:caps w:val="false"/>
                                <w:smallCaps w:val="false"/>
                                <w:color w:val="58595B"/>
                                <w:spacing w:val="-2"/>
                                <w:sz w:val="18"/>
                              </w:rPr>
                              <w:t xml:space="preserve">ingly, </w:t>
                            </w:r>
                            <w:r>
                              <w:rPr>
                                <w:rFonts w:ascii="Arial;Helvetica;Sans-Serif" w:hAnsi="Arial;Helvetica;Sans-Serif"/>
                                <w:b w:val="false"/>
                                <w:i w:val="false"/>
                                <w:caps w:val="false"/>
                                <w:smallCaps w:val="false"/>
                                <w:color w:val="58595B"/>
                                <w:sz w:val="18"/>
                              </w:rPr>
                              <w:t>he is best positioned to develop agendas that ensure the Board’s time and attention is focused on the most critical matters. The combined role enables decisive leadership, ensures accountability and enhances our ability to communicate our message and strategy clearly and consistently to our shareholders, employees and customers.</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4.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Lead Independent Director has the following powers and responsibilities:</w:t>
                      </w:r>
                    </w:p>
                    <w:tbl>
                      <w:tblPr>
                        <w:tblW w:w="7168" w:type="dxa"/>
                        <w:jc w:val="left"/>
                        <w:tblInd w:w="0" w:type="dxa"/>
                        <w:tblCellMar>
                          <w:top w:w="0" w:type="dxa"/>
                          <w:left w:w="0" w:type="dxa"/>
                          <w:bottom w:w="0" w:type="dxa"/>
                          <w:right w:w="0" w:type="dxa"/>
                        </w:tblCellMar>
                      </w:tblPr>
                      <w:tblGrid>
                        <w:gridCol w:w="38"/>
                        <w:gridCol w:w="165"/>
                        <w:gridCol w:w="6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5"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Image144" descr=""/>
                                          <pic:cNvPicPr>
                                            <a:picLocks noChangeAspect="1" noChangeArrowheads="1"/>
                                          </pic:cNvPicPr>
                                        </pic:nvPicPr>
                                        <pic:blipFill>
                                          <a:blip r:embed="rId145"/>
                                          <a:stretch>
                                            <a:fillRect/>
                                          </a:stretch>
                                        </pic:blipFill>
                                        <pic:spPr bwMode="auto">
                                          <a:xfrm>
                                            <a:off x="0" y="0"/>
                                            <a:ext cx="104775" cy="85725"/>
                                          </a:xfrm>
                                          <a:prstGeom prst="rect">
                                            <a:avLst/>
                                          </a:prstGeom>
                                        </pic:spPr>
                                      </pic:pic>
                                    </a:graphicData>
                                  </a:graphic>
                                </wp:inline>
                              </w:drawing>
                            </w:r>
                          </w:p>
                        </w:tc>
                        <w:tc>
                          <w:tcPr>
                            <w:tcW w:w="696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preside at all meetings of the Board at which the Chairman of the Board is not present</w:t>
                            </w:r>
                          </w:p>
                        </w:tc>
                      </w:tr>
                    </w:tbl>
                    <w:tbl>
                      <w:tblPr>
                        <w:tblW w:w="5323" w:type="dxa"/>
                        <w:jc w:val="left"/>
                        <w:tblInd w:w="0" w:type="dxa"/>
                        <w:tblCellMar>
                          <w:top w:w="0" w:type="dxa"/>
                          <w:left w:w="0" w:type="dxa"/>
                          <w:bottom w:w="0" w:type="dxa"/>
                          <w:right w:w="0" w:type="dxa"/>
                        </w:tblCellMar>
                      </w:tblPr>
                      <w:tblGrid>
                        <w:gridCol w:w="38"/>
                        <w:gridCol w:w="165"/>
                        <w:gridCol w:w="512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6"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Image145" descr=""/>
                                          <pic:cNvPicPr>
                                            <a:picLocks noChangeAspect="1" noChangeArrowheads="1"/>
                                          </pic:cNvPicPr>
                                        </pic:nvPicPr>
                                        <pic:blipFill>
                                          <a:blip r:embed="rId146"/>
                                          <a:stretch>
                                            <a:fillRect/>
                                          </a:stretch>
                                        </pic:blipFill>
                                        <pic:spPr bwMode="auto">
                                          <a:xfrm>
                                            <a:off x="0" y="0"/>
                                            <a:ext cx="104775" cy="85725"/>
                                          </a:xfrm>
                                          <a:prstGeom prst="rect">
                                            <a:avLst/>
                                          </a:prstGeom>
                                        </pic:spPr>
                                      </pic:pic>
                                    </a:graphicData>
                                  </a:graphic>
                                </wp:inline>
                              </w:drawing>
                            </w:r>
                          </w:p>
                        </w:tc>
                        <w:tc>
                          <w:tcPr>
                            <w:tcW w:w="512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preside over executive sessions of the non-employee directors</w:t>
                            </w:r>
                          </w:p>
                        </w:tc>
                      </w:tr>
                    </w:tbl>
                    <w:tbl>
                      <w:tblPr>
                        <w:tblW w:w="7153" w:type="dxa"/>
                        <w:jc w:val="left"/>
                        <w:tblInd w:w="0" w:type="dxa"/>
                        <w:tblCellMar>
                          <w:top w:w="0" w:type="dxa"/>
                          <w:left w:w="0" w:type="dxa"/>
                          <w:bottom w:w="0" w:type="dxa"/>
                          <w:right w:w="0" w:type="dxa"/>
                        </w:tblCellMar>
                      </w:tblPr>
                      <w:tblGrid>
                        <w:gridCol w:w="38"/>
                        <w:gridCol w:w="165"/>
                        <w:gridCol w:w="69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7"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146" descr=""/>
                                          <pic:cNvPicPr>
                                            <a:picLocks noChangeAspect="1" noChangeArrowheads="1"/>
                                          </pic:cNvPicPr>
                                        </pic:nvPicPr>
                                        <pic:blipFill>
                                          <a:blip r:embed="rId147"/>
                                          <a:stretch>
                                            <a:fillRect/>
                                          </a:stretch>
                                        </pic:blipFill>
                                        <pic:spPr bwMode="auto">
                                          <a:xfrm>
                                            <a:off x="0" y="0"/>
                                            <a:ext cx="104775" cy="85725"/>
                                          </a:xfrm>
                                          <a:prstGeom prst="rect">
                                            <a:avLst/>
                                          </a:prstGeom>
                                        </pic:spPr>
                                      </pic:pic>
                                    </a:graphicData>
                                  </a:graphic>
                                </wp:inline>
                              </w:drawing>
                            </w:r>
                          </w:p>
                        </w:tc>
                        <w:tc>
                          <w:tcPr>
                            <w:tcW w:w="69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serve as liaison between the non-employee directors and the Chairman and the CEO</w:t>
                            </w:r>
                          </w:p>
                        </w:tc>
                      </w:tr>
                    </w:tbl>
                    <w:tbl>
                      <w:tblPr>
                        <w:tblW w:w="5443" w:type="dxa"/>
                        <w:jc w:val="left"/>
                        <w:tblInd w:w="0" w:type="dxa"/>
                        <w:tblCellMar>
                          <w:top w:w="0" w:type="dxa"/>
                          <w:left w:w="0" w:type="dxa"/>
                          <w:bottom w:w="0" w:type="dxa"/>
                          <w:right w:w="0" w:type="dxa"/>
                        </w:tblCellMar>
                      </w:tblPr>
                      <w:tblGrid>
                        <w:gridCol w:w="38"/>
                        <w:gridCol w:w="165"/>
                        <w:gridCol w:w="524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8"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Image147" descr=""/>
                                          <pic:cNvPicPr>
                                            <a:picLocks noChangeAspect="1" noChangeArrowheads="1"/>
                                          </pic:cNvPicPr>
                                        </pic:nvPicPr>
                                        <pic:blipFill>
                                          <a:blip r:embed="rId148"/>
                                          <a:stretch>
                                            <a:fillRect/>
                                          </a:stretch>
                                        </pic:blipFill>
                                        <pic:spPr bwMode="auto">
                                          <a:xfrm>
                                            <a:off x="0" y="0"/>
                                            <a:ext cx="104775" cy="85725"/>
                                          </a:xfrm>
                                          <a:prstGeom prst="rect">
                                            <a:avLst/>
                                          </a:prstGeom>
                                        </pic:spPr>
                                      </pic:pic>
                                    </a:graphicData>
                                  </a:graphic>
                                </wp:inline>
                              </w:drawing>
                            </w:r>
                          </w:p>
                        </w:tc>
                        <w:tc>
                          <w:tcPr>
                            <w:tcW w:w="524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call meetings of non-employee directors, with appropriate notice</w:t>
                            </w:r>
                          </w:p>
                        </w:tc>
                      </w:tr>
                    </w:tbl>
                    <w:tbl>
                      <w:tblPr>
                        <w:tblW w:w="9208" w:type="dxa"/>
                        <w:jc w:val="left"/>
                        <w:tblInd w:w="0" w:type="dxa"/>
                        <w:tblCellMar>
                          <w:top w:w="0" w:type="dxa"/>
                          <w:left w:w="0" w:type="dxa"/>
                          <w:bottom w:w="0" w:type="dxa"/>
                          <w:right w:w="0" w:type="dxa"/>
                        </w:tblCellMar>
                      </w:tblPr>
                      <w:tblGrid>
                        <w:gridCol w:w="38"/>
                        <w:gridCol w:w="165"/>
                        <w:gridCol w:w="900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69"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Image148" descr=""/>
                                          <pic:cNvPicPr>
                                            <a:picLocks noChangeAspect="1" noChangeArrowheads="1"/>
                                          </pic:cNvPicPr>
                                        </pic:nvPicPr>
                                        <pic:blipFill>
                                          <a:blip r:embed="rId149"/>
                                          <a:stretch>
                                            <a:fillRect/>
                                          </a:stretch>
                                        </pic:blipFill>
                                        <pic:spPr bwMode="auto">
                                          <a:xfrm>
                                            <a:off x="0" y="0"/>
                                            <a:ext cx="104775" cy="85725"/>
                                          </a:xfrm>
                                          <a:prstGeom prst="rect">
                                            <a:avLst/>
                                          </a:prstGeom>
                                        </pic:spPr>
                                      </pic:pic>
                                    </a:graphicData>
                                  </a:graphic>
                                </wp:inline>
                              </w:drawing>
                            </w:r>
                          </w:p>
                        </w:tc>
                        <w:tc>
                          <w:tcPr>
                            <w:tcW w:w="900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coordinate with the Chairman and CEO on meeting schedules, agendas and information provided to the Board</w:t>
                            </w:r>
                          </w:p>
                        </w:tc>
                      </w:tr>
                    </w:tbl>
                    <w:tbl>
                      <w:tblPr>
                        <w:tblW w:w="6418" w:type="dxa"/>
                        <w:jc w:val="left"/>
                        <w:tblInd w:w="0" w:type="dxa"/>
                        <w:tblCellMar>
                          <w:top w:w="0" w:type="dxa"/>
                          <w:left w:w="0" w:type="dxa"/>
                          <w:bottom w:w="0" w:type="dxa"/>
                          <w:right w:w="0" w:type="dxa"/>
                        </w:tblCellMar>
                      </w:tblPr>
                      <w:tblGrid>
                        <w:gridCol w:w="38"/>
                        <w:gridCol w:w="165"/>
                        <w:gridCol w:w="62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0"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 name="Image149" descr=""/>
                                          <pic:cNvPicPr>
                                            <a:picLocks noChangeAspect="1" noChangeArrowheads="1"/>
                                          </pic:cNvPicPr>
                                        </pic:nvPicPr>
                                        <pic:blipFill>
                                          <a:blip r:embed="rId150"/>
                                          <a:stretch>
                                            <a:fillRect/>
                                          </a:stretch>
                                        </pic:blipFill>
                                        <pic:spPr bwMode="auto">
                                          <a:xfrm>
                                            <a:off x="0" y="0"/>
                                            <a:ext cx="104775" cy="85725"/>
                                          </a:xfrm>
                                          <a:prstGeom prst="rect">
                                            <a:avLst/>
                                          </a:prstGeom>
                                        </pic:spPr>
                                      </pic:pic>
                                    </a:graphicData>
                                  </a:graphic>
                                </wp:inline>
                              </w:drawing>
                            </w:r>
                          </w:p>
                        </w:tc>
                        <w:tc>
                          <w:tcPr>
                            <w:tcW w:w="621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be available for consultation with significant shareholder if so requested and</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1"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Image150" descr=""/>
                                          <pic:cNvPicPr>
                                            <a:picLocks noChangeAspect="1" noChangeArrowheads="1"/>
                                          </pic:cNvPicPr>
                                        </pic:nvPicPr>
                                        <pic:blipFill>
                                          <a:blip r:embed="rId151"/>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pPr>
                            <w:r>
                              <w:rPr>
                                <w:rFonts w:ascii="Arial;Helvetica;Sans-Serif" w:hAnsi="Arial;Helvetica;Sans-Serif"/>
                                <w:color w:val="58595B"/>
                                <w:spacing w:val="-3"/>
                                <w:sz w:val="18"/>
                              </w:rPr>
                              <w:t xml:space="preserve">exercise </w:t>
                            </w:r>
                            <w:r>
                              <w:rPr>
                                <w:rFonts w:ascii="Arial;Helvetica;Sans-Serif" w:hAnsi="Arial;Helvetica;Sans-Serif"/>
                                <w:color w:val="58595B"/>
                                <w:sz w:val="18"/>
                              </w:rPr>
                              <w:t xml:space="preserve">and perform such other powers and duties as may be assigned to the </w:t>
                            </w:r>
                            <w:r>
                              <w:rPr>
                                <w:rFonts w:ascii="Arial;Helvetica;Sans-Serif" w:hAnsi="Arial;Helvetica;Sans-Serif"/>
                                <w:color w:val="58595B"/>
                                <w:spacing w:val="-3"/>
                                <w:sz w:val="18"/>
                              </w:rPr>
                              <w:t>Lead</w:t>
                            </w:r>
                            <w:r>
                              <w:rPr>
                                <w:rFonts w:ascii="Arial;Helvetica;Sans-Serif" w:hAnsi="Arial;Helvetica;Sans-Serif"/>
                                <w:color w:val="58595B"/>
                                <w:sz w:val="18"/>
                              </w:rPr>
                              <w:t xml:space="preserve"> Independent Director by the Board from time to time</w:t>
                            </w:r>
                          </w:p>
                        </w:tc>
                      </w:tr>
                    </w:tbl>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corporate governance guidelines provide that our non-management directors will meet in executive session, without management present, as frequently as they deem appropriate, and they typically meet in executive session at the time of each regular Board meeting. The </w:t>
                      </w:r>
                      <w:r>
                        <w:rPr>
                          <w:rFonts w:ascii="Arial;Helvetica;Sans-Serif" w:hAnsi="Arial;Helvetica;Sans-Serif"/>
                          <w:b w:val="false"/>
                          <w:i w:val="false"/>
                          <w:caps w:val="false"/>
                          <w:smallCaps w:val="false"/>
                          <w:color w:val="58595B"/>
                          <w:spacing w:val="-3"/>
                          <w:sz w:val="18"/>
                        </w:rPr>
                        <w:t xml:space="preserve">Lead </w:t>
                      </w:r>
                      <w:r>
                        <w:rPr>
                          <w:rFonts w:ascii="Arial;Helvetica;Sans-Serif" w:hAnsi="Arial;Helvetica;Sans-Serif"/>
                          <w:b w:val="false"/>
                          <w:i w:val="false"/>
                          <w:caps w:val="false"/>
                          <w:smallCaps w:val="false"/>
                          <w:color w:val="58595B"/>
                          <w:sz w:val="18"/>
                        </w:rPr>
                        <w:t>Independent Director presides during the meeting of independent directors, and acts as a liaison between the non-management directors and the chairman and CEO in connection with each regular meeting.</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5"/>
                          <w:sz w:val="18"/>
                        </w:rPr>
                        <w:t xml:space="preserve">We </w:t>
                      </w:r>
                      <w:r>
                        <w:rPr>
                          <w:rFonts w:ascii="Arial;Helvetica;Sans-Serif" w:hAnsi="Arial;Helvetica;Sans-Serif"/>
                          <w:b w:val="false"/>
                          <w:i w:val="false"/>
                          <w:caps w:val="false"/>
                          <w:smallCaps w:val="false"/>
                          <w:color w:val="58595B"/>
                          <w:sz w:val="18"/>
                        </w:rPr>
                        <w:t xml:space="preserve">believe that having a combined chairman and CEO, balanced with a </w:t>
                      </w:r>
                      <w:r>
                        <w:rPr>
                          <w:rFonts w:ascii="Arial;Helvetica;Sans-Serif" w:hAnsi="Arial;Helvetica;Sans-Serif"/>
                          <w:b w:val="false"/>
                          <w:i w:val="false"/>
                          <w:caps w:val="false"/>
                          <w:smallCaps w:val="false"/>
                          <w:color w:val="58595B"/>
                          <w:spacing w:val="-3"/>
                          <w:sz w:val="18"/>
                        </w:rPr>
                        <w:t xml:space="preserve">Lead </w:t>
                      </w:r>
                      <w:r>
                        <w:rPr>
                          <w:rFonts w:ascii="Arial;Helvetica;Sans-Serif" w:hAnsi="Arial;Helvetica;Sans-Serif"/>
                          <w:b w:val="false"/>
                          <w:i w:val="false"/>
                          <w:caps w:val="false"/>
                          <w:smallCaps w:val="false"/>
                          <w:color w:val="58595B"/>
                          <w:sz w:val="18"/>
                        </w:rPr>
                        <w:t xml:space="preserve">Independent </w:t>
                      </w:r>
                      <w:r>
                        <w:rPr>
                          <w:rFonts w:ascii="Arial;Helvetica;Sans-Serif" w:hAnsi="Arial;Helvetica;Sans-Serif"/>
                          <w:b w:val="false"/>
                          <w:i w:val="false"/>
                          <w:caps w:val="false"/>
                          <w:smallCaps w:val="false"/>
                          <w:color w:val="58595B"/>
                          <w:spacing w:val="-3"/>
                          <w:sz w:val="18"/>
                        </w:rPr>
                        <w:t xml:space="preserve">Director, </w:t>
                      </w:r>
                      <w:r>
                        <w:rPr>
                          <w:rFonts w:ascii="Arial;Helvetica;Sans-Serif" w:hAnsi="Arial;Helvetica;Sans-Serif"/>
                          <w:b w:val="false"/>
                          <w:i w:val="false"/>
                          <w:caps w:val="false"/>
                          <w:smallCaps w:val="false"/>
                          <w:color w:val="58595B"/>
                          <w:sz w:val="18"/>
                        </w:rPr>
                        <w:t xml:space="preserve">as well as a Board otherwise comprised solely of independent directors who meet regularly in executive session and independent chairs for the </w:t>
                      </w:r>
                      <w:r>
                        <w:rPr>
                          <w:rFonts w:ascii="Arial;Helvetica;Sans-Serif" w:hAnsi="Arial;Helvetica;Sans-Serif"/>
                          <w:b w:val="false"/>
                          <w:i w:val="false"/>
                          <w:caps w:val="false"/>
                          <w:smallCaps w:val="false"/>
                          <w:color w:val="58595B"/>
                          <w:spacing w:val="-3"/>
                          <w:sz w:val="18"/>
                        </w:rPr>
                        <w:t xml:space="preserve">Board’s </w:t>
                      </w:r>
                      <w:r>
                        <w:rPr>
                          <w:rFonts w:ascii="Arial;Helvetica;Sans-Serif" w:hAnsi="Arial;Helvetica;Sans-Serif"/>
                          <w:b w:val="false"/>
                          <w:i w:val="false"/>
                          <w:caps w:val="false"/>
                          <w:smallCaps w:val="false"/>
                          <w:color w:val="58595B"/>
                          <w:sz w:val="18"/>
                        </w:rPr>
                        <w:t xml:space="preserve">audit committee, compensation committee and </w:t>
                      </w:r>
                      <w:r>
                        <w:rPr>
                          <w:rFonts w:ascii="Arial;Helvetica;Sans-Serif" w:hAnsi="Arial;Helvetica;Sans-Serif"/>
                          <w:b w:val="false"/>
                          <w:i w:val="false"/>
                          <w:caps w:val="false"/>
                          <w:smallCaps w:val="false"/>
                          <w:color w:val="58595B"/>
                          <w:spacing w:val="-3"/>
                          <w:sz w:val="18"/>
                        </w:rPr>
                        <w:t>gov</w:t>
                      </w:r>
                      <w:r>
                        <w:rPr>
                          <w:rFonts w:ascii="Arial;Helvetica;Sans-Serif" w:hAnsi="Arial;Helvetica;Sans-Serif"/>
                          <w:b w:val="false"/>
                          <w:i w:val="false"/>
                          <w:caps w:val="false"/>
                          <w:smallCaps w:val="false"/>
                          <w:color w:val="58595B"/>
                          <w:sz w:val="18"/>
                        </w:rPr>
                        <w:t xml:space="preserve">ernance committee and information technology and security committee provides an effective form of Board leadership and an appropriate balance between strategy development and independent oversight. The Board believes that having our CEO serve as Chairman of the Board facilitates the </w:t>
                      </w:r>
                      <w:r>
                        <w:rPr>
                          <w:rFonts w:ascii="Arial;Helvetica;Sans-Serif" w:hAnsi="Arial;Helvetica;Sans-Serif"/>
                          <w:b w:val="false"/>
                          <w:i w:val="false"/>
                          <w:caps w:val="false"/>
                          <w:smallCaps w:val="false"/>
                          <w:color w:val="58595B"/>
                          <w:spacing w:val="-3"/>
                          <w:sz w:val="18"/>
                        </w:rPr>
                        <w:t xml:space="preserve">Board’s </w:t>
                      </w:r>
                      <w:r>
                        <w:rPr>
                          <w:rFonts w:ascii="Arial;Helvetica;Sans-Serif" w:hAnsi="Arial;Helvetica;Sans-Serif"/>
                          <w:b w:val="false"/>
                          <w:i w:val="false"/>
                          <w:caps w:val="false"/>
                          <w:smallCaps w:val="false"/>
                          <w:color w:val="58595B"/>
                          <w:sz w:val="18"/>
                        </w:rPr>
                        <w:t xml:space="preserve">decision-making processes because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Clarke possesses detailed and in-depth knowledge of the issues, opportunities and challenges facing the Company and its business. </w:t>
                      </w:r>
                      <w:r>
                        <w:rPr>
                          <w:rFonts w:ascii="Arial;Helvetica;Sans-Serif" w:hAnsi="Arial;Helvetica;Sans-Serif"/>
                          <w:b w:val="false"/>
                          <w:i w:val="false"/>
                          <w:caps w:val="false"/>
                          <w:smallCaps w:val="false"/>
                          <w:color w:val="58595B"/>
                          <w:spacing w:val="-3"/>
                          <w:sz w:val="18"/>
                        </w:rPr>
                        <w:t>Accord</w:t>
                      </w:r>
                      <w:r>
                        <w:rPr>
                          <w:rFonts w:ascii="Arial;Helvetica;Sans-Serif" w:hAnsi="Arial;Helvetica;Sans-Serif"/>
                          <w:b w:val="false"/>
                          <w:i w:val="false"/>
                          <w:caps w:val="false"/>
                          <w:smallCaps w:val="false"/>
                          <w:color w:val="58595B"/>
                          <w:spacing w:val="-2"/>
                          <w:sz w:val="18"/>
                        </w:rPr>
                        <w:t xml:space="preserve">ingly, </w:t>
                      </w:r>
                      <w:r>
                        <w:rPr>
                          <w:rFonts w:ascii="Arial;Helvetica;Sans-Serif" w:hAnsi="Arial;Helvetica;Sans-Serif"/>
                          <w:b w:val="false"/>
                          <w:i w:val="false"/>
                          <w:caps w:val="false"/>
                          <w:smallCaps w:val="false"/>
                          <w:color w:val="58595B"/>
                          <w:sz w:val="18"/>
                        </w:rPr>
                        <w:t>he is best positioned to develop agendas that ensure the Board’s time and attention is focused on the most critical matters. The combined role enables decisive leadership, ensures accountability and enhances our ability to communicate our message and strategy clearly and consistently to our shareholders, employees and customers.</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r>
        <mc:AlternateContent>
          <mc:Choice Requires="wps">
            <w:drawing>
              <wp:anchor behindDoc="0" distT="0" distB="0" distL="0" distR="0" simplePos="0" locked="0" layoutInCell="1" allowOverlap="1" relativeHeight="16">
                <wp:simplePos x="0" y="0"/>
                <wp:positionH relativeFrom="column">
                  <wp:align>right</wp:align>
                </wp:positionH>
                <wp:positionV relativeFrom="line">
                  <wp:posOffset>635</wp:posOffset>
                </wp:positionV>
                <wp:extent cx="3110230" cy="7297420"/>
                <wp:effectExtent l="0" t="0" r="0" b="0"/>
                <wp:wrapSquare wrapText="largest"/>
                <wp:docPr id="272" name="Frame29"/>
                <a:graphic xmlns:a="http://schemas.openxmlformats.org/drawingml/2006/main">
                  <a:graphicData uri="http://schemas.microsoft.com/office/word/2010/wordprocessingShape">
                    <wps:wsp>
                      <wps:cNvSpPr txBox="1"/>
                      <wps:spPr>
                        <a:xfrm>
                          <a:off x="0" y="0"/>
                          <a:ext cx="3110230" cy="7297420"/>
                        </a:xfrm>
                        <a:prstGeom prst="rect"/>
                      </wps:spPr>
                      <wps:txbx>
                        <w:txbxContent>
                          <w:p>
                            <w:pPr>
                              <w:pStyle w:val="TextBody"/>
                              <w:rPr>
                                <w:rFonts w:ascii="Arial;Helvetica;Sans-Serif" w:hAnsi="Arial;Helvetica;Sans-Serif"/>
                                <w:b/>
                                <w:i w:val="false"/>
                                <w:caps w:val="false"/>
                                <w:smallCaps w:val="false"/>
                                <w:color w:val="EE0027"/>
                                <w:sz w:val="20"/>
                              </w:rPr>
                            </w:pPr>
                            <w:bookmarkStart w:id="56" w:name="a032"/>
                            <w:bookmarkEnd w:id="56"/>
                            <w:r>
                              <w:rPr>
                                <w:rFonts w:ascii="Arial;Helvetica;Sans-Serif" w:hAnsi="Arial;Helvetica;Sans-Serif"/>
                                <w:b/>
                                <w:i w:val="false"/>
                                <w:caps w:val="false"/>
                                <w:smallCaps w:val="false"/>
                                <w:color w:val="EE0027"/>
                                <w:sz w:val="20"/>
                              </w:rPr>
                              <w:t>Risk Oversight</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Board, together with its committees, is responsible </w:t>
                            </w:r>
                            <w:r>
                              <w:rPr>
                                <w:rFonts w:ascii="Arial;Helvetica;Sans-Serif" w:hAnsi="Arial;Helvetica;Sans-Serif"/>
                                <w:b w:val="false"/>
                                <w:i w:val="false"/>
                                <w:caps w:val="false"/>
                                <w:smallCaps w:val="false"/>
                                <w:color w:val="58595B"/>
                                <w:spacing w:val="-2"/>
                                <w:sz w:val="18"/>
                              </w:rPr>
                              <w:t xml:space="preserve">for </w:t>
                            </w:r>
                            <w:r>
                              <w:rPr>
                                <w:rFonts w:ascii="Arial;Helvetica;Sans-Serif" w:hAnsi="Arial;Helvetica;Sans-Serif"/>
                                <w:b w:val="false"/>
                                <w:i w:val="false"/>
                                <w:caps w:val="false"/>
                                <w:smallCaps w:val="false"/>
                                <w:color w:val="58595B"/>
                                <w:sz w:val="18"/>
                              </w:rPr>
                              <w:t>overseeing our risk management. The chair of each committee reports to the full Board the significant risks facing the Compa</w:t>
                            </w:r>
                            <w:r>
                              <w:rPr>
                                <w:rFonts w:ascii="Arial;Helvetica;Sans-Serif" w:hAnsi="Arial;Helvetica;Sans-Serif"/>
                                <w:b w:val="false"/>
                                <w:i w:val="false"/>
                                <w:caps w:val="false"/>
                                <w:smallCaps w:val="false"/>
                                <w:color w:val="58595B"/>
                                <w:spacing w:val="-4"/>
                                <w:sz w:val="18"/>
                              </w:rPr>
                              <w:t xml:space="preserve">ny, </w:t>
                            </w:r>
                            <w:r>
                              <w:rPr>
                                <w:rFonts w:ascii="Arial;Helvetica;Sans-Serif" w:hAnsi="Arial;Helvetica;Sans-Serif"/>
                                <w:b w:val="false"/>
                                <w:i w:val="false"/>
                                <w:caps w:val="false"/>
                                <w:smallCaps w:val="false"/>
                                <w:color w:val="58595B"/>
                                <w:sz w:val="18"/>
                              </w:rPr>
                              <w:t>as identified by management, and the measures undertaken by management for controlling and mitigating those risks.</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3"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Image151" descr=""/>
                                                <pic:cNvPicPr>
                                                  <a:picLocks noChangeAspect="1" noChangeArrowheads="1"/>
                                                </pic:cNvPicPr>
                                              </pic:nvPicPr>
                                              <pic:blipFill>
                                                <a:blip r:embed="rId152"/>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b/>
                                      <w:color w:val="58595B"/>
                                      <w:sz w:val="18"/>
                                    </w:rPr>
                                    <w:t xml:space="preserve">The audit committee </w:t>
                                  </w:r>
                                  <w:r>
                                    <w:rPr>
                                      <w:rFonts w:ascii="Arial;Helvetica;Sans-Serif" w:hAnsi="Arial;Helvetica;Sans-Serif"/>
                                      <w:color w:val="58595B"/>
                                      <w:sz w:val="18"/>
                                    </w:rPr>
                                    <w:t>is responsible for reviewing and approving the annual internal audit plan, our major financial and compliance risk exposures, steps taken to monitor and control such exposures, risk management and risk assessment policies, significant findings and recommendations and management’s responses. In addition, our internal audit function routinely performs audits on various aspects of operational risks and reports the results quarterly.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4"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Image152" descr=""/>
                                                <pic:cNvPicPr>
                                                  <a:picLocks noChangeAspect="1" noChangeArrowheads="1"/>
                                                </pic:cNvPicPr>
                                              </pic:nvPicPr>
                                              <pic:blipFill>
                                                <a:blip r:embed="rId153"/>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b/>
                                      <w:color w:val="58595B"/>
                                      <w:sz w:val="18"/>
                                    </w:rPr>
                                    <w:t xml:space="preserve">The compensation committee </w:t>
                                  </w:r>
                                  <w:r>
                                    <w:rPr>
                                      <w:rFonts w:ascii="Arial;Helvetica;Sans-Serif" w:hAnsi="Arial;Helvetica;Sans-Serif"/>
                                      <w:color w:val="58595B"/>
                                      <w:sz w:val="18"/>
                                    </w:rPr>
                                    <w:t>considers risks associated with our compensation policies and practices, with respect to both executive compensation and compensation generally.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5"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Image153" descr=""/>
                                                <pic:cNvPicPr>
                                                  <a:picLocks noChangeAspect="1" noChangeArrowheads="1"/>
                                                </pic:cNvPicPr>
                                              </pic:nvPicPr>
                                              <pic:blipFill>
                                                <a:blip r:embed="rId154"/>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b/>
                                      <w:color w:val="58595B"/>
                                      <w:sz w:val="18"/>
                                    </w:rPr>
                                    <w:t xml:space="preserve">The nomination and governance committee </w:t>
                                  </w:r>
                                  <w:r>
                                    <w:rPr>
                                      <w:rFonts w:ascii="Arial;Helvetica;Sans-Serif" w:hAnsi="Arial;Helvetica;Sans-Serif"/>
                                      <w:color w:val="58595B"/>
                                      <w:sz w:val="18"/>
                                    </w:rPr>
                                    <w:t>is responsible for succession planning, governance structure and processes, ESG initiatives and considerations, legal and policy matters with potential significant reputational impact and shareholder concerns.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6"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Image154" descr=""/>
                                                <pic:cNvPicPr>
                                                  <a:picLocks noChangeAspect="1" noChangeArrowheads="1"/>
                                                </pic:cNvPicPr>
                                              </pic:nvPicPr>
                                              <pic:blipFill>
                                                <a:blip r:embed="rId155"/>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b/>
                                      <w:color w:val="58595B"/>
                                      <w:sz w:val="18"/>
                                    </w:rPr>
                                    <w:t xml:space="preserve">The information technology and security committee </w:t>
                                  </w:r>
                                  <w:r>
                                    <w:rPr>
                                      <w:rFonts w:ascii="Arial;Helvetica;Sans-Serif" w:hAnsi="Arial;Helvetica;Sans-Serif"/>
                                      <w:color w:val="58595B"/>
                                      <w:sz w:val="18"/>
                                    </w:rPr>
                                    <w:t xml:space="preserve">focuses on risks associated with information technology and security, such as cybersecurity, security controls, technology initiatives and intellectual property protection. The information technology and security committee conducts reviews at least quarterly to oversee the efficacy of cybersecurity risk initiatives and related controls, policies, procedures, training, preparedness and governance structure. The Board and the information technology and security committee directed the formation of a cross-functional cybersecurity council at the </w:t>
                                  </w:r>
                                  <w:r>
                                    <w:rPr>
                                      <w:rFonts w:ascii="Arial;Helvetica;Sans-Serif" w:hAnsi="Arial;Helvetica;Sans-Serif"/>
                                      <w:color w:val="58595B"/>
                                      <w:spacing w:val="-3"/>
                                      <w:sz w:val="18"/>
                                    </w:rPr>
                                    <w:t xml:space="preserve">Company, </w:t>
                                  </w:r>
                                  <w:r>
                                    <w:rPr>
                                      <w:rFonts w:ascii="Arial;Helvetica;Sans-Serif" w:hAnsi="Arial;Helvetica;Sans-Serif"/>
                                      <w:color w:val="58595B"/>
                                      <w:sz w:val="18"/>
                                    </w:rPr>
                                    <w:t xml:space="preserve">and </w:t>
                                  </w:r>
                                  <w:r>
                                    <w:rPr>
                                      <w:rFonts w:ascii="Arial;Helvetica;Sans-Serif" w:hAnsi="Arial;Helvetica;Sans-Serif"/>
                                      <w:color w:val="58595B"/>
                                      <w:spacing w:val="-3"/>
                                      <w:sz w:val="18"/>
                                    </w:rPr>
                                    <w:t xml:space="preserve">receive </w:t>
                                  </w:r>
                                  <w:r>
                                    <w:rPr>
                                      <w:rFonts w:ascii="Arial;Helvetica;Sans-Serif" w:hAnsi="Arial;Helvetica;Sans-Serif"/>
                                      <w:color w:val="58595B"/>
                                      <w:sz w:val="18"/>
                                    </w:rPr>
                                    <w:t xml:space="preserve">regular cybersecurity reports from the global CIO, the corporate CIO and the chief information security </w:t>
                                  </w:r>
                                  <w:r>
                                    <w:rPr>
                                      <w:rFonts w:ascii="Arial;Helvetica;Sans-Serif" w:hAnsi="Arial;Helvetica;Sans-Serif"/>
                                      <w:color w:val="58595B"/>
                                      <w:spacing w:val="-3"/>
                                      <w:sz w:val="18"/>
                                    </w:rPr>
                                    <w:t xml:space="preserve">officer, </w:t>
                                  </w:r>
                                  <w:r>
                                    <w:rPr>
                                      <w:rFonts w:ascii="Arial;Helvetica;Sans-Serif" w:hAnsi="Arial;Helvetica;Sans-Serif"/>
                                      <w:color w:val="58595B"/>
                                      <w:sz w:val="18"/>
                                    </w:rPr>
                                    <w:t>among others.</w:t>
                                  </w:r>
                                </w:p>
                              </w:tc>
                            </w:tr>
                          </w:tbl>
                          <w:p>
                            <w:pPr>
                              <w:pStyle w:val="TextBody"/>
                              <w:rPr>
                                <w:caps w:val="false"/>
                                <w:smallCaps w:val="false"/>
                              </w:rPr>
                            </w:pPr>
                            <w:r>
                              <w:rPr>
                                <w:caps w:val="false"/>
                                <w:smallCaps w:val="false"/>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Board, with input from the various committees and senior management, regularly engages in discussing the most significant risks and how the risks are being managed. Our management team is responsible for identifying and working with the Board to manage business risk and design a risk framework, including setting boundaries and monitoring risk appetite.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believe that our leadership structure, as described above, supports the risk oversight function of the Board.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4.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i w:val="false"/>
                          <w:caps w:val="false"/>
                          <w:smallCaps w:val="false"/>
                          <w:color w:val="EE0027"/>
                          <w:sz w:val="20"/>
                        </w:rPr>
                      </w:pPr>
                      <w:bookmarkStart w:id="57" w:name="a032"/>
                      <w:bookmarkEnd w:id="57"/>
                      <w:r>
                        <w:rPr>
                          <w:rFonts w:ascii="Arial;Helvetica;Sans-Serif" w:hAnsi="Arial;Helvetica;Sans-Serif"/>
                          <w:b/>
                          <w:i w:val="false"/>
                          <w:caps w:val="false"/>
                          <w:smallCaps w:val="false"/>
                          <w:color w:val="EE0027"/>
                          <w:sz w:val="20"/>
                        </w:rPr>
                        <w:t>Risk Oversight</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Board, together with its committees, is responsible </w:t>
                      </w:r>
                      <w:r>
                        <w:rPr>
                          <w:rFonts w:ascii="Arial;Helvetica;Sans-Serif" w:hAnsi="Arial;Helvetica;Sans-Serif"/>
                          <w:b w:val="false"/>
                          <w:i w:val="false"/>
                          <w:caps w:val="false"/>
                          <w:smallCaps w:val="false"/>
                          <w:color w:val="58595B"/>
                          <w:spacing w:val="-2"/>
                          <w:sz w:val="18"/>
                        </w:rPr>
                        <w:t xml:space="preserve">for </w:t>
                      </w:r>
                      <w:r>
                        <w:rPr>
                          <w:rFonts w:ascii="Arial;Helvetica;Sans-Serif" w:hAnsi="Arial;Helvetica;Sans-Serif"/>
                          <w:b w:val="false"/>
                          <w:i w:val="false"/>
                          <w:caps w:val="false"/>
                          <w:smallCaps w:val="false"/>
                          <w:color w:val="58595B"/>
                          <w:sz w:val="18"/>
                        </w:rPr>
                        <w:t>overseeing our risk management. The chair of each committee reports to the full Board the significant risks facing the Compa</w:t>
                      </w:r>
                      <w:r>
                        <w:rPr>
                          <w:rFonts w:ascii="Arial;Helvetica;Sans-Serif" w:hAnsi="Arial;Helvetica;Sans-Serif"/>
                          <w:b w:val="false"/>
                          <w:i w:val="false"/>
                          <w:caps w:val="false"/>
                          <w:smallCaps w:val="false"/>
                          <w:color w:val="58595B"/>
                          <w:spacing w:val="-4"/>
                          <w:sz w:val="18"/>
                        </w:rPr>
                        <w:t xml:space="preserve">ny, </w:t>
                      </w:r>
                      <w:r>
                        <w:rPr>
                          <w:rFonts w:ascii="Arial;Helvetica;Sans-Serif" w:hAnsi="Arial;Helvetica;Sans-Serif"/>
                          <w:b w:val="false"/>
                          <w:i w:val="false"/>
                          <w:caps w:val="false"/>
                          <w:smallCaps w:val="false"/>
                          <w:color w:val="58595B"/>
                          <w:sz w:val="18"/>
                        </w:rPr>
                        <w:t>as identified by management, and the measures undertaken by management for controlling and mitigating those risks.</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7"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Image151" descr=""/>
                                          <pic:cNvPicPr>
                                            <a:picLocks noChangeAspect="1" noChangeArrowheads="1"/>
                                          </pic:cNvPicPr>
                                        </pic:nvPicPr>
                                        <pic:blipFill>
                                          <a:blip r:embed="rId152"/>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b/>
                                <w:color w:val="58595B"/>
                                <w:sz w:val="18"/>
                              </w:rPr>
                              <w:t xml:space="preserve">The audit committee </w:t>
                            </w:r>
                            <w:r>
                              <w:rPr>
                                <w:rFonts w:ascii="Arial;Helvetica;Sans-Serif" w:hAnsi="Arial;Helvetica;Sans-Serif"/>
                                <w:color w:val="58595B"/>
                                <w:sz w:val="18"/>
                              </w:rPr>
                              <w:t>is responsible for reviewing and approving the annual internal audit plan, our major financial and compliance risk exposures, steps taken to monitor and control such exposures, risk management and risk assessment policies, significant findings and recommendations and management’s responses. In addition, our internal audit function routinely performs audits on various aspects of operational risks and reports the results quarterly.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8"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Image152" descr=""/>
                                          <pic:cNvPicPr>
                                            <a:picLocks noChangeAspect="1" noChangeArrowheads="1"/>
                                          </pic:cNvPicPr>
                                        </pic:nvPicPr>
                                        <pic:blipFill>
                                          <a:blip r:embed="rId153"/>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b/>
                                <w:color w:val="58595B"/>
                                <w:sz w:val="18"/>
                              </w:rPr>
                              <w:t xml:space="preserve">The compensation committee </w:t>
                            </w:r>
                            <w:r>
                              <w:rPr>
                                <w:rFonts w:ascii="Arial;Helvetica;Sans-Serif" w:hAnsi="Arial;Helvetica;Sans-Serif"/>
                                <w:color w:val="58595B"/>
                                <w:sz w:val="18"/>
                              </w:rPr>
                              <w:t>considers risks associated with our compensation policies and practices, with respect to both executive compensation and compensation generally.</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79"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Image153" descr=""/>
                                          <pic:cNvPicPr>
                                            <a:picLocks noChangeAspect="1" noChangeArrowheads="1"/>
                                          </pic:cNvPicPr>
                                        </pic:nvPicPr>
                                        <pic:blipFill>
                                          <a:blip r:embed="rId154"/>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b/>
                                <w:color w:val="58595B"/>
                                <w:sz w:val="18"/>
                              </w:rPr>
                              <w:t xml:space="preserve">The nomination and governance committee </w:t>
                            </w:r>
                            <w:r>
                              <w:rPr>
                                <w:rFonts w:ascii="Arial;Helvetica;Sans-Serif" w:hAnsi="Arial;Helvetica;Sans-Serif"/>
                                <w:color w:val="58595B"/>
                                <w:sz w:val="18"/>
                              </w:rPr>
                              <w:t>is responsible for succession planning, governance structure and processes, ESG initiatives and considerations, legal and policy matters with potential significant reputational impact and shareholder concerns.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80"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Image154" descr=""/>
                                          <pic:cNvPicPr>
                                            <a:picLocks noChangeAspect="1" noChangeArrowheads="1"/>
                                          </pic:cNvPicPr>
                                        </pic:nvPicPr>
                                        <pic:blipFill>
                                          <a:blip r:embed="rId155"/>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b/>
                                <w:color w:val="58595B"/>
                                <w:sz w:val="18"/>
                              </w:rPr>
                              <w:t xml:space="preserve">The information technology and security committee </w:t>
                            </w:r>
                            <w:r>
                              <w:rPr>
                                <w:rFonts w:ascii="Arial;Helvetica;Sans-Serif" w:hAnsi="Arial;Helvetica;Sans-Serif"/>
                                <w:color w:val="58595B"/>
                                <w:sz w:val="18"/>
                              </w:rPr>
                              <w:t xml:space="preserve">focuses on risks associated with information technology and security, such as cybersecurity, security controls, technology initiatives and intellectual property protection. The information technology and security committee conducts reviews at least quarterly to oversee the efficacy of cybersecurity risk initiatives and related controls, policies, procedures, training, preparedness and governance structure. The Board and the information technology and security committee directed the formation of a cross-functional cybersecurity council at the </w:t>
                            </w:r>
                            <w:r>
                              <w:rPr>
                                <w:rFonts w:ascii="Arial;Helvetica;Sans-Serif" w:hAnsi="Arial;Helvetica;Sans-Serif"/>
                                <w:color w:val="58595B"/>
                                <w:spacing w:val="-3"/>
                                <w:sz w:val="18"/>
                              </w:rPr>
                              <w:t xml:space="preserve">Company, </w:t>
                            </w:r>
                            <w:r>
                              <w:rPr>
                                <w:rFonts w:ascii="Arial;Helvetica;Sans-Serif" w:hAnsi="Arial;Helvetica;Sans-Serif"/>
                                <w:color w:val="58595B"/>
                                <w:sz w:val="18"/>
                              </w:rPr>
                              <w:t xml:space="preserve">and </w:t>
                            </w:r>
                            <w:r>
                              <w:rPr>
                                <w:rFonts w:ascii="Arial;Helvetica;Sans-Serif" w:hAnsi="Arial;Helvetica;Sans-Serif"/>
                                <w:color w:val="58595B"/>
                                <w:spacing w:val="-3"/>
                                <w:sz w:val="18"/>
                              </w:rPr>
                              <w:t xml:space="preserve">receive </w:t>
                            </w:r>
                            <w:r>
                              <w:rPr>
                                <w:rFonts w:ascii="Arial;Helvetica;Sans-Serif" w:hAnsi="Arial;Helvetica;Sans-Serif"/>
                                <w:color w:val="58595B"/>
                                <w:sz w:val="18"/>
                              </w:rPr>
                              <w:t xml:space="preserve">regular cybersecurity reports from the global CIO, the corporate CIO and the chief information security </w:t>
                            </w:r>
                            <w:r>
                              <w:rPr>
                                <w:rFonts w:ascii="Arial;Helvetica;Sans-Serif" w:hAnsi="Arial;Helvetica;Sans-Serif"/>
                                <w:color w:val="58595B"/>
                                <w:spacing w:val="-3"/>
                                <w:sz w:val="18"/>
                              </w:rPr>
                              <w:t xml:space="preserve">officer, </w:t>
                            </w:r>
                            <w:r>
                              <w:rPr>
                                <w:rFonts w:ascii="Arial;Helvetica;Sans-Serif" w:hAnsi="Arial;Helvetica;Sans-Serif"/>
                                <w:color w:val="58595B"/>
                                <w:sz w:val="18"/>
                              </w:rPr>
                              <w:t>among others.</w:t>
                            </w:r>
                          </w:p>
                        </w:tc>
                      </w:tr>
                    </w:tbl>
                    <w:p>
                      <w:pPr>
                        <w:pStyle w:val="TextBody"/>
                        <w:rPr>
                          <w:caps w:val="false"/>
                          <w:smallCaps w:val="false"/>
                        </w:rPr>
                      </w:pPr>
                      <w:r>
                        <w:rPr>
                          <w:caps w:val="false"/>
                          <w:smallCaps w:val="false"/>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Board, with input from the various committees and senior management, regularly engages in discussing the most significant risks and how the risks are being managed. Our management team is responsible for identifying and working with the Board to manage business risk and design a risk framework, including setting boundaries and monitoring risk appetite.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believe that our leadership structure, as described above, supports the risk oversight function of the Board.</w:t>
                      </w:r>
                    </w:p>
                  </w:txbxContent>
                </v:textbox>
                <w10:wrap type="square" side="left"/>
              </v:rect>
            </w:pict>
          </mc:Fallback>
        </mc:AlternateContent>
      </w:r>
    </w:p>
    <w:p>
      <w:pPr>
        <w:pStyle w:val="TextBody"/>
        <w:rPr/>
      </w:pPr>
      <w:r>
        <w:rPr/>
      </w:r>
    </w:p>
    <w:p>
      <w:pPr>
        <w:pStyle w:val="TextBody"/>
        <w:rPr>
          <w:caps w:val="false"/>
          <w:smallCaps w:val="false"/>
          <w:color w:val="58595B"/>
        </w:rPr>
      </w:pPr>
      <w:r>
        <w:rPr>
          <w:caps w:val="false"/>
          <w:smallCaps w:val="false"/>
          <w:color w:val="58595B"/>
        </w:rPr>
        <w:t> </w:t>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20</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03. </w:t>
      </w:r>
      <w:r>
        <w:rPr>
          <w:rFonts w:ascii="Arial;Helvetica;Sans-Serif" w:hAnsi="Arial;Helvetica;Sans-Serif"/>
          <w:b w:val="false"/>
          <w:i w:val="false"/>
          <w:caps w:val="false"/>
          <w:smallCaps w:val="false"/>
          <w:color w:val="DC0021"/>
          <w:sz w:val="20"/>
        </w:rPr>
        <w:t>CORPORATE GOVERNANCE AND BOARD MATTERS</w:t>
      </w:r>
    </w:p>
    <w:p>
      <w:pPr>
        <w:pStyle w:val="TextBody"/>
        <w:rPr>
          <w:caps w:val="false"/>
          <w:smallCaps w:val="false"/>
          <w:color w:val="58595B"/>
        </w:rPr>
      </w:pPr>
      <w:r>
        <w:rPr>
          <w:caps w:val="false"/>
          <w:smallCaps w:val="false"/>
          <w:color w:val="58595B"/>
        </w:rPr>
        <w:t> </w:t>
      </w:r>
    </w:p>
    <w:p>
      <w:pPr>
        <w:pStyle w:val="TextBody"/>
        <w:rPr>
          <w:caps w:val="false"/>
          <w:smallCaps w:val="false"/>
          <w:color w:val="58595B"/>
        </w:rPr>
      </w:pPr>
      <w:r>
        <w:rPr>
          <w:caps w:val="false"/>
          <w:smallCaps w:val="false"/>
          <w:color w:val="58595B"/>
        </w:rPr>
        <w:t> </w:t>
      </w:r>
      <w:r>
        <mc:AlternateContent>
          <mc:Choice Requires="wps">
            <w:drawing>
              <wp:anchor behindDoc="0" distT="0" distB="0" distL="0" distR="0" simplePos="0" locked="0" layoutInCell="1" allowOverlap="1" relativeHeight="113">
                <wp:simplePos x="0" y="0"/>
                <wp:positionH relativeFrom="column">
                  <wp:align>left</wp:align>
                </wp:positionH>
                <wp:positionV relativeFrom="line">
                  <wp:posOffset>635</wp:posOffset>
                </wp:positionV>
                <wp:extent cx="3110230" cy="5716905"/>
                <wp:effectExtent l="0" t="0" r="0" b="0"/>
                <wp:wrapSquare wrapText="largest"/>
                <wp:docPr id="281" name="Frame30"/>
                <a:graphic xmlns:a="http://schemas.openxmlformats.org/drawingml/2006/main">
                  <a:graphicData uri="http://schemas.microsoft.com/office/word/2010/wordprocessingShape">
                    <wps:wsp>
                      <wps:cNvSpPr txBox="1"/>
                      <wps:spPr>
                        <a:xfrm>
                          <a:off x="0" y="0"/>
                          <a:ext cx="3110230" cy="5716905"/>
                        </a:xfrm>
                        <a:prstGeom prst="rect"/>
                      </wps:spPr>
                      <wps:txbx>
                        <w:txbxContent>
                          <w:p>
                            <w:pPr>
                              <w:pStyle w:val="TextBody"/>
                              <w:rPr>
                                <w:rFonts w:ascii="Arial;Helvetica;Sans-Serif" w:hAnsi="Arial;Helvetica;Sans-Serif"/>
                                <w:b/>
                                <w:i w:val="false"/>
                                <w:caps w:val="false"/>
                                <w:smallCaps w:val="false"/>
                                <w:color w:val="EE0027"/>
                                <w:sz w:val="20"/>
                              </w:rPr>
                            </w:pPr>
                            <w:bookmarkStart w:id="58" w:name="a033"/>
                            <w:bookmarkEnd w:id="58"/>
                            <w:r>
                              <w:rPr>
                                <w:rFonts w:ascii="Arial;Helvetica;Sans-Serif" w:hAnsi="Arial;Helvetica;Sans-Serif"/>
                                <w:b/>
                                <w:i w:val="false"/>
                                <w:caps w:val="false"/>
                                <w:smallCaps w:val="false"/>
                                <w:color w:val="EE0027"/>
                                <w:sz w:val="20"/>
                              </w:rPr>
                              <w:t>Director Independence</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corporate governance guidelines provide that a majority of our directors will be independent. Our Board has adopted director independence guidelines to assist in determining each director’s independence. These guidelines are included in our corporate governance guidelines available on our website at https://investor.FLEETCOR.com. The guidelines exceed the independence requirements of the NYSE. Under the director independence guidelines and NYSE rules, the Board must annually review each director’s independence and affirmatively determine a director has no relationship that would interfere with the exercise of independent judgment in carrying out the responsibilities of a director.</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has analyzed the independence of each director and determined that, except for our CEO, they each meet the standards of independence under our director independence standards, and applicable NYSE listing rules, including that each member is free of any relationship that would interfere with their individual exercise of independent judgment. </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EE0027"/>
                                <w:sz w:val="20"/>
                              </w:rPr>
                            </w:pPr>
                            <w:bookmarkStart w:id="59" w:name="a034"/>
                            <w:bookmarkEnd w:id="59"/>
                            <w:r>
                              <w:rPr>
                                <w:rFonts w:ascii="Arial;Helvetica;Sans-Serif" w:hAnsi="Arial;Helvetica;Sans-Serif"/>
                                <w:b/>
                                <w:i w:val="false"/>
                                <w:caps w:val="false"/>
                                <w:smallCaps w:val="false"/>
                                <w:color w:val="EE0027"/>
                                <w:sz w:val="20"/>
                              </w:rPr>
                              <w:t>2022 Director Compensation</w:t>
                            </w:r>
                          </w:p>
                          <w:p>
                            <w:pPr>
                              <w:pStyle w:val="TextBody"/>
                              <w:rPr>
                                <w:caps w:val="false"/>
                                <w:smallCaps w:val="false"/>
                                <w:color w:val="EE0027"/>
                              </w:rPr>
                            </w:pPr>
                            <w:r>
                              <w:rPr>
                                <w:caps w:val="false"/>
                                <w:smallCaps w:val="false"/>
                                <w:color w:val="EE0027"/>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non-employee members of our Board receive compensation for serving as directors. Our Board believes restricted stock awards are an appropriate form of compensation for our directors because the value of the grants increases as the value of our stock price increases, aligning the interests of these directors with those of our shareholders.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0.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i w:val="false"/>
                          <w:caps w:val="false"/>
                          <w:smallCaps w:val="false"/>
                          <w:color w:val="EE0027"/>
                          <w:sz w:val="20"/>
                        </w:rPr>
                      </w:pPr>
                      <w:bookmarkStart w:id="60" w:name="a033"/>
                      <w:bookmarkEnd w:id="60"/>
                      <w:r>
                        <w:rPr>
                          <w:rFonts w:ascii="Arial;Helvetica;Sans-Serif" w:hAnsi="Arial;Helvetica;Sans-Serif"/>
                          <w:b/>
                          <w:i w:val="false"/>
                          <w:caps w:val="false"/>
                          <w:smallCaps w:val="false"/>
                          <w:color w:val="EE0027"/>
                          <w:sz w:val="20"/>
                        </w:rPr>
                        <w:t>Director Independence</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corporate governance guidelines provide that a majority of our directors will be independent. Our Board has adopted director independence guidelines to assist in determining each director’s independence. These guidelines are included in our corporate governance guidelines available on our website at https://investor.FLEETCOR.com. The guidelines exceed the independence requirements of the NYSE. Under the director independence guidelines and NYSE rules, the Board must annually review each director’s independence and affirmatively determine a director has no relationship that would interfere with the exercise of independent judgment in carrying out the responsibilities of a director.</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has analyzed the independence of each director and determined that, except for our CEO, they each meet the standards of independence under our director independence standards, and applicable NYSE listing rules, including that each member is free of any relationship that would interfere with their individual exercise of independent judgment. </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EE0027"/>
                          <w:sz w:val="20"/>
                        </w:rPr>
                      </w:pPr>
                      <w:bookmarkStart w:id="61" w:name="a034"/>
                      <w:bookmarkEnd w:id="61"/>
                      <w:r>
                        <w:rPr>
                          <w:rFonts w:ascii="Arial;Helvetica;Sans-Serif" w:hAnsi="Arial;Helvetica;Sans-Serif"/>
                          <w:b/>
                          <w:i w:val="false"/>
                          <w:caps w:val="false"/>
                          <w:smallCaps w:val="false"/>
                          <w:color w:val="EE0027"/>
                          <w:sz w:val="20"/>
                        </w:rPr>
                        <w:t>2022 Director Compensation</w:t>
                      </w:r>
                    </w:p>
                    <w:p>
                      <w:pPr>
                        <w:pStyle w:val="TextBody"/>
                        <w:rPr>
                          <w:caps w:val="false"/>
                          <w:smallCaps w:val="false"/>
                          <w:color w:val="EE0027"/>
                        </w:rPr>
                      </w:pPr>
                      <w:r>
                        <w:rPr>
                          <w:caps w:val="false"/>
                          <w:smallCaps w:val="false"/>
                          <w:color w:val="EE0027"/>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non-employee members of our Board receive compensation for serving as directors. Our Board believes restricted stock awards are an appropriate form of compensation for our directors because the value of the grants increases as the value of our stock price increases, aligning the interests of these directors with those of our shareholders.</w:t>
                      </w:r>
                    </w:p>
                  </w:txbxContent>
                </v:textbox>
                <w10:wrap type="square" side="right"/>
              </v:rect>
            </w:pict>
          </mc:Fallback>
        </mc:AlternateContent>
      </w:r>
      <w:r>
        <mc:AlternateContent>
          <mc:Choice Requires="wps">
            <w:drawing>
              <wp:anchor behindDoc="0" distT="0" distB="0" distL="0" distR="0" simplePos="0" locked="0" layoutInCell="1" allowOverlap="1" relativeHeight="114">
                <wp:simplePos x="0" y="0"/>
                <wp:positionH relativeFrom="column">
                  <wp:align>right</wp:align>
                </wp:positionH>
                <wp:positionV relativeFrom="line">
                  <wp:posOffset>635</wp:posOffset>
                </wp:positionV>
                <wp:extent cx="3110230" cy="3557905"/>
                <wp:effectExtent l="0" t="0" r="0" b="0"/>
                <wp:wrapSquare wrapText="largest"/>
                <wp:docPr id="282" name="Frame31"/>
                <a:graphic xmlns:a="http://schemas.openxmlformats.org/drawingml/2006/main">
                  <a:graphicData uri="http://schemas.microsoft.com/office/word/2010/wordprocessingShape">
                    <wps:wsp>
                      <wps:cNvSpPr txBox="1"/>
                      <wps:spPr>
                        <a:xfrm>
                          <a:off x="0" y="0"/>
                          <a:ext cx="3110230" cy="3557905"/>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Annual grants for director service for 2022 had a target value at grant of approximately $300,000. The amount of these grants was determined based on our Board’s general experience with market levels of director compensation. In addition, the Board approved a cash payment in the amount of $75,000 for each independent committee Chair serving in such capacity in January 2022 (Messrs. Farrelly, Hagerty, Macchia and Stull and Ms. Moddelmog). The decision to provide cash compensation is reviewed on an annual basis. All members of our Board are reimbursed for actual expenses incurred in connection with attendance at Board meetings. Mr. Clarke does not receive any compensation for service on our Board.</w:t>
                            </w:r>
                          </w:p>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corporate governance guidelines set forth an expectation that all non-employee directors will hold at least a specified dollar amount of common shares or equity interests within five years of becoming a director. In 2019, our Board increased the stock ownership guideline from $150,000 to $1,250,000. Based on the closing stock price on December 31, 2022, eight of our non-employee directors are currently in compliance with this guideline and we expect that our three newest directors will meet the guideline within five years, as required by our Corporate Governance Guidelines.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80.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Annual grants for director service for 2022 had a target value at grant of approximately $300,000. The amount of these grants was determined based on our Board’s general experience with market levels of director compensation. In addition, the Board approved a cash payment in the amount of $75,000 for each independent committee Chair serving in such capacity in January 2022 (Messrs. Farrelly, Hagerty, Macchia and Stull and Ms. Moddelmog). The decision to provide cash compensation is reviewed on an annual basis. All members of our Board are reimbursed for actual expenses incurred in connection with attendance at Board meetings. Mr. Clarke does not receive any compensation for service on our Board.</w:t>
                      </w:r>
                    </w:p>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corporate governance guidelines set forth an expectation that all non-employee directors will hold at least a specified dollar amount of common shares or equity interests within five years of becoming a director. In 2019, our Board increased the stock ownership guideline from $150,000 to $1,250,000. Based on the closing stock price on December 31, 2022, eight of our non-employee directors are currently in compliance with this guideline and we expect that our three newest directors will meet the guideline within five years, as required by our Corporate Governance Guidelines.</w:t>
                      </w:r>
                    </w:p>
                  </w:txbxContent>
                </v:textbox>
                <w10:wrap type="square" side="left"/>
              </v:rect>
            </w:pict>
          </mc:Fallback>
        </mc:AlternateContent>
      </w:r>
    </w:p>
    <w:tbl>
      <w:tblPr>
        <w:tblW w:w="5405" w:type="dxa"/>
        <w:jc w:val="left"/>
        <w:tblInd w:w="0" w:type="dxa"/>
        <w:tblCellMar>
          <w:top w:w="0" w:type="dxa"/>
          <w:left w:w="0" w:type="dxa"/>
          <w:bottom w:w="0" w:type="dxa"/>
          <w:right w:w="0" w:type="dxa"/>
        </w:tblCellMar>
      </w:tblPr>
      <w:tblGrid>
        <w:gridCol w:w="1745"/>
        <w:gridCol w:w="1265"/>
        <w:gridCol w:w="1580"/>
        <w:gridCol w:w="815"/>
      </w:tblGrid>
      <w:tr>
        <w:trPr/>
        <w:tc>
          <w:tcPr>
            <w:tcW w:w="1745" w:type="dxa"/>
            <w:tcBorders/>
            <w:shd w:fill="EE0027" w:val="clear"/>
            <w:vAlign w:val="center"/>
          </w:tcPr>
          <w:p>
            <w:pPr>
              <w:pStyle w:val="TableContents"/>
              <w:spacing w:before="0" w:after="283"/>
              <w:jc w:val="left"/>
              <w:rPr>
                <w:rFonts w:ascii="Arial;Helvetica;Sans-Serif" w:hAnsi="Arial;Helvetica;Sans-Serif"/>
                <w:b/>
                <w:color w:val="FFFFFF"/>
                <w:sz w:val="16"/>
              </w:rPr>
            </w:pPr>
            <w:r>
              <w:rPr>
                <w:rFonts w:ascii="Arial;Helvetica;Sans-Serif" w:hAnsi="Arial;Helvetica;Sans-Serif"/>
                <w:b/>
                <w:color w:val="FFFFFF"/>
                <w:sz w:val="16"/>
              </w:rPr>
              <w:t>Name</w:t>
            </w:r>
          </w:p>
        </w:tc>
        <w:tc>
          <w:tcPr>
            <w:tcW w:w="1265" w:type="dxa"/>
            <w:tcBorders/>
            <w:shd w:fill="EE0027" w:val="clear"/>
            <w:vAlign w:val="center"/>
          </w:tcPr>
          <w:p>
            <w:pPr>
              <w:pStyle w:val="TableContents"/>
              <w:spacing w:before="0" w:after="283"/>
              <w:jc w:val="left"/>
              <w:rPr>
                <w:rFonts w:ascii="Arial;Helvetica;Sans-Serif" w:hAnsi="Arial;Helvetica;Sans-Serif"/>
                <w:b/>
                <w:color w:val="FFFFFF"/>
                <w:sz w:val="16"/>
              </w:rPr>
            </w:pPr>
            <w:r>
              <w:rPr>
                <w:rFonts w:ascii="Arial;Helvetica;Sans-Serif" w:hAnsi="Arial;Helvetica;Sans-Serif"/>
                <w:b/>
                <w:color w:val="FFFFFF"/>
                <w:sz w:val="16"/>
              </w:rPr>
              <w:t>Fees Earned or</w:t>
              <w:br/>
              <w:t>Paid in Cash ($)</w:t>
            </w:r>
          </w:p>
        </w:tc>
        <w:tc>
          <w:tcPr>
            <w:tcW w:w="1580" w:type="dxa"/>
            <w:tcBorders/>
            <w:shd w:fill="EE0027" w:val="clear"/>
            <w:vAlign w:val="center"/>
          </w:tcPr>
          <w:p>
            <w:pPr>
              <w:pStyle w:val="TableContents"/>
              <w:spacing w:lineRule="auto" w:line="240" w:before="0" w:after="283"/>
              <w:jc w:val="left"/>
              <w:rPr>
                <w:rFonts w:ascii="Arial;Helvetica;Sans-Serif" w:hAnsi="Arial;Helvetica;Sans-Serif"/>
                <w:b/>
                <w:color w:val="FFFFFF"/>
                <w:sz w:val="16"/>
              </w:rPr>
            </w:pPr>
            <w:r>
              <w:rPr>
                <w:rFonts w:ascii="Arial;Helvetica;Sans-Serif" w:hAnsi="Arial;Helvetica;Sans-Serif"/>
                <w:b/>
                <w:color w:val="FFFFFF"/>
                <w:sz w:val="16"/>
              </w:rPr>
              <w:t>Stock Awards ($)(2)</w:t>
            </w:r>
          </w:p>
        </w:tc>
        <w:tc>
          <w:tcPr>
            <w:tcW w:w="815" w:type="dxa"/>
            <w:tcBorders/>
            <w:shd w:fill="EE0027" w:val="clear"/>
            <w:vAlign w:val="center"/>
          </w:tcPr>
          <w:p>
            <w:pPr>
              <w:pStyle w:val="TableContents"/>
              <w:spacing w:before="0" w:after="283"/>
              <w:jc w:val="left"/>
              <w:rPr>
                <w:rFonts w:ascii="Arial;Helvetica;Sans-Serif" w:hAnsi="Arial;Helvetica;Sans-Serif"/>
                <w:b/>
                <w:color w:val="FFFFFF"/>
                <w:sz w:val="16"/>
              </w:rPr>
            </w:pPr>
            <w:r>
              <w:rPr>
                <w:rFonts w:ascii="Arial;Helvetica;Sans-Serif" w:hAnsi="Arial;Helvetica;Sans-Serif"/>
                <w:b/>
                <w:color w:val="FFFFFF"/>
                <w:sz w:val="16"/>
              </w:rPr>
              <w:t>Total ($)</w:t>
            </w:r>
          </w:p>
        </w:tc>
      </w:tr>
      <w:tr>
        <w:trPr/>
        <w:tc>
          <w:tcPr>
            <w:tcW w:w="174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Michael Buckman</w:t>
            </w:r>
          </w:p>
        </w:tc>
        <w:tc>
          <w:tcPr>
            <w:tcW w:w="1265" w:type="dxa"/>
            <w:tcBorders/>
            <w:shd w:fill="auto" w:val="clear"/>
            <w:vAlign w:val="center"/>
          </w:tcPr>
          <w:p>
            <w:pPr>
              <w:pStyle w:val="TableContents"/>
              <w:spacing w:before="0" w:after="283"/>
              <w:rPr>
                <w:color w:val="58595B"/>
              </w:rPr>
            </w:pPr>
            <w:r>
              <w:rPr>
                <w:color w:val="58595B"/>
              </w:rPr>
              <w:t>—</w:t>
            </w:r>
          </w:p>
        </w:tc>
        <w:tc>
          <w:tcPr>
            <w:tcW w:w="15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r>
      <w:tr>
        <w:trPr/>
        <w:tc>
          <w:tcPr>
            <w:tcW w:w="1745"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Joseph W. Farrelly</w:t>
            </w:r>
          </w:p>
        </w:tc>
        <w:tc>
          <w:tcPr>
            <w:tcW w:w="126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$75,000</w:t>
            </w:r>
          </w:p>
        </w:tc>
        <w:tc>
          <w:tcPr>
            <w:tcW w:w="158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$375,074</w:t>
            </w:r>
          </w:p>
        </w:tc>
      </w:tr>
      <w:tr>
        <w:trPr/>
        <w:tc>
          <w:tcPr>
            <w:tcW w:w="174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Thomas M. Hagerty</w:t>
            </w:r>
          </w:p>
        </w:tc>
        <w:tc>
          <w:tcPr>
            <w:tcW w:w="126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$75,000</w:t>
            </w:r>
          </w:p>
        </w:tc>
        <w:tc>
          <w:tcPr>
            <w:tcW w:w="15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$375,074</w:t>
            </w:r>
          </w:p>
        </w:tc>
      </w:tr>
      <w:tr>
        <w:trPr/>
        <w:tc>
          <w:tcPr>
            <w:tcW w:w="1745" w:type="dxa"/>
            <w:tcBorders/>
            <w:shd w:fill="DCDDDE" w:val="clear"/>
            <w:vAlign w:val="center"/>
          </w:tcPr>
          <w:p>
            <w:pPr>
              <w:pStyle w:val="TableContents"/>
              <w:spacing w:lineRule="auto" w:line="240" w:before="0" w:after="283"/>
              <w:rPr>
                <w:rFonts w:ascii="Arial;Helvetica;Sans-Serif" w:hAnsi="Arial;Helvetica;Sans-Serif"/>
                <w:b/>
                <w:color w:val="58595B"/>
                <w:sz w:val="18"/>
              </w:rPr>
            </w:pPr>
            <w:r>
              <w:rPr>
                <w:rFonts w:ascii="Arial;Helvetica;Sans-Serif" w:hAnsi="Arial;Helvetica;Sans-Serif"/>
                <w:b/>
                <w:color w:val="58595B"/>
                <w:sz w:val="18"/>
              </w:rPr>
              <w:t>Mark A. Johnson (1)</w:t>
            </w:r>
          </w:p>
        </w:tc>
        <w:tc>
          <w:tcPr>
            <w:tcW w:w="1265" w:type="dxa"/>
            <w:tcBorders/>
            <w:shd w:fill="DCDDDE" w:val="clear"/>
            <w:vAlign w:val="center"/>
          </w:tcPr>
          <w:p>
            <w:pPr>
              <w:pStyle w:val="TableContents"/>
              <w:spacing w:before="0" w:after="283"/>
              <w:rPr>
                <w:color w:val="58595B"/>
              </w:rPr>
            </w:pPr>
            <w:r>
              <w:rPr>
                <w:color w:val="58595B"/>
              </w:rPr>
              <w:t>—</w:t>
            </w:r>
          </w:p>
        </w:tc>
        <w:tc>
          <w:tcPr>
            <w:tcW w:w="158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r>
      <w:tr>
        <w:trPr/>
        <w:tc>
          <w:tcPr>
            <w:tcW w:w="174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Archie L. Jones, Jr.</w:t>
            </w:r>
          </w:p>
        </w:tc>
        <w:tc>
          <w:tcPr>
            <w:tcW w:w="1265" w:type="dxa"/>
            <w:tcBorders/>
            <w:shd w:fill="auto" w:val="clear"/>
            <w:vAlign w:val="center"/>
          </w:tcPr>
          <w:p>
            <w:pPr>
              <w:pStyle w:val="TableContents"/>
              <w:spacing w:before="0" w:after="283"/>
              <w:rPr>
                <w:color w:val="58595B"/>
              </w:rPr>
            </w:pPr>
            <w:r>
              <w:rPr>
                <w:color w:val="58595B"/>
              </w:rPr>
              <w:t>—</w:t>
            </w:r>
          </w:p>
        </w:tc>
        <w:tc>
          <w:tcPr>
            <w:tcW w:w="15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r>
      <w:tr>
        <w:trPr/>
        <w:tc>
          <w:tcPr>
            <w:tcW w:w="1745"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Richard Macchia</w:t>
            </w:r>
          </w:p>
        </w:tc>
        <w:tc>
          <w:tcPr>
            <w:tcW w:w="126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$75,000</w:t>
            </w:r>
          </w:p>
        </w:tc>
        <w:tc>
          <w:tcPr>
            <w:tcW w:w="158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$375,074</w:t>
            </w:r>
          </w:p>
        </w:tc>
      </w:tr>
      <w:tr>
        <w:trPr/>
        <w:tc>
          <w:tcPr>
            <w:tcW w:w="174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Hala G. Moddelmog</w:t>
            </w:r>
          </w:p>
        </w:tc>
        <w:tc>
          <w:tcPr>
            <w:tcW w:w="126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$75,000</w:t>
            </w:r>
          </w:p>
        </w:tc>
        <w:tc>
          <w:tcPr>
            <w:tcW w:w="15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$375,074</w:t>
            </w:r>
          </w:p>
        </w:tc>
      </w:tr>
      <w:tr>
        <w:trPr/>
        <w:tc>
          <w:tcPr>
            <w:tcW w:w="1745"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Jeffrey S. Sloan</w:t>
            </w:r>
          </w:p>
        </w:tc>
        <w:tc>
          <w:tcPr>
            <w:tcW w:w="1265" w:type="dxa"/>
            <w:tcBorders/>
            <w:shd w:fill="DCDDDE" w:val="clear"/>
            <w:vAlign w:val="center"/>
          </w:tcPr>
          <w:p>
            <w:pPr>
              <w:pStyle w:val="TableContents"/>
              <w:spacing w:before="0" w:after="283"/>
              <w:rPr>
                <w:color w:val="58595B"/>
              </w:rPr>
            </w:pPr>
            <w:r>
              <w:rPr>
                <w:color w:val="58595B"/>
              </w:rPr>
              <w:t>—</w:t>
            </w:r>
          </w:p>
        </w:tc>
        <w:tc>
          <w:tcPr>
            <w:tcW w:w="158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r>
      <w:tr>
        <w:trPr/>
        <w:tc>
          <w:tcPr>
            <w:tcW w:w="174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Steven T. Stull</w:t>
            </w:r>
          </w:p>
        </w:tc>
        <w:tc>
          <w:tcPr>
            <w:tcW w:w="126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$75,000</w:t>
            </w:r>
          </w:p>
        </w:tc>
        <w:tc>
          <w:tcPr>
            <w:tcW w:w="15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$300,074</w:t>
            </w:r>
          </w:p>
        </w:tc>
        <w:tc>
          <w:tcPr>
            <w:tcW w:w="8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$375,074</w:t>
            </w:r>
          </w:p>
        </w:tc>
      </w:tr>
    </w:tbl>
    <w:p>
      <w:pPr>
        <w:pStyle w:val="TextBody"/>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(1) </w:t>
      </w:r>
      <w:r>
        <w:rPr>
          <w:rFonts w:ascii="Arial;Helvetica;Sans-Serif" w:hAnsi="Arial;Helvetica;Sans-Serif"/>
          <w:b w:val="false"/>
          <w:i/>
          <w:caps w:val="false"/>
          <w:smallCaps w:val="false"/>
          <w:color w:val="58595B"/>
          <w:sz w:val="16"/>
        </w:rPr>
        <w:t xml:space="preserve">Ms. Bexiga was appointed to the Board effective January 27, 2023, replacing </w:t>
      </w:r>
      <w:r>
        <w:rPr>
          <w:rFonts w:ascii="Arial;Helvetica;Sans-Serif" w:hAnsi="Arial;Helvetica;Sans-Serif"/>
          <w:b w:val="false"/>
          <w:i/>
          <w:caps w:val="false"/>
          <w:smallCaps w:val="false"/>
          <w:color w:val="58595B"/>
          <w:spacing w:val="-3"/>
          <w:sz w:val="16"/>
        </w:rPr>
        <w:t xml:space="preserve">Mr. </w:t>
      </w:r>
      <w:r>
        <w:rPr>
          <w:rFonts w:ascii="Arial;Helvetica;Sans-Serif" w:hAnsi="Arial;Helvetica;Sans-Serif"/>
          <w:b w:val="false"/>
          <w:i/>
          <w:caps w:val="false"/>
          <w:smallCaps w:val="false"/>
          <w:color w:val="58595B"/>
          <w:sz w:val="16"/>
        </w:rPr>
        <w:t xml:space="preserve">Johnson; and </w:t>
      </w:r>
      <w:r>
        <w:rPr>
          <w:rFonts w:ascii="Arial;Helvetica;Sans-Serif" w:hAnsi="Arial;Helvetica;Sans-Serif"/>
          <w:b w:val="false"/>
          <w:i/>
          <w:caps w:val="false"/>
          <w:smallCaps w:val="false"/>
          <w:color w:val="58595B"/>
          <w:spacing w:val="-3"/>
          <w:sz w:val="16"/>
        </w:rPr>
        <w:t xml:space="preserve">Mr. </w:t>
      </w:r>
      <w:r>
        <w:rPr>
          <w:rFonts w:ascii="Arial;Helvetica;Sans-Serif" w:hAnsi="Arial;Helvetica;Sans-Serif"/>
          <w:b w:val="false"/>
          <w:i/>
          <w:caps w:val="false"/>
          <w:smallCaps w:val="false"/>
          <w:color w:val="58595B"/>
          <w:sz w:val="16"/>
        </w:rPr>
        <w:t>Gupta was appointed to the Board effective March 15, 2023.</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(2) </w:t>
      </w:r>
      <w:r>
        <w:rPr>
          <w:rFonts w:ascii="Arial;Helvetica;Sans-Serif" w:hAnsi="Arial;Helvetica;Sans-Serif"/>
          <w:b w:val="false"/>
          <w:i/>
          <w:caps w:val="false"/>
          <w:smallCaps w:val="false"/>
          <w:color w:val="58595B"/>
          <w:sz w:val="16"/>
        </w:rPr>
        <w:t xml:space="preserve">Consisted of shares of restricted stock, which vested on January 24, 2023. The value for stock awards in this column represents the grant date fair value, computed in accordance with Financial Accounting Standards Board (“FASB”) Accounting Standards Codification </w:t>
      </w:r>
      <w:r>
        <w:rPr>
          <w:rFonts w:ascii="Arial;Helvetica;Sans-Serif" w:hAnsi="Arial;Helvetica;Sans-Serif"/>
          <w:b w:val="false"/>
          <w:i/>
          <w:caps w:val="false"/>
          <w:smallCaps w:val="false"/>
          <w:color w:val="58595B"/>
          <w:spacing w:val="-3"/>
          <w:sz w:val="16"/>
        </w:rPr>
        <w:t xml:space="preserve">(“ASC”) </w:t>
      </w:r>
      <w:r>
        <w:rPr>
          <w:rFonts w:ascii="Arial;Helvetica;Sans-Serif" w:hAnsi="Arial;Helvetica;Sans-Serif"/>
          <w:b w:val="false"/>
          <w:i/>
          <w:caps w:val="false"/>
          <w:smallCaps w:val="false"/>
          <w:color w:val="58595B"/>
          <w:spacing w:val="-4"/>
          <w:sz w:val="16"/>
        </w:rPr>
        <w:t>Topic</w:t>
      </w:r>
      <w:r>
        <w:rPr>
          <w:rFonts w:ascii="Arial;Helvetica;Sans-Serif" w:hAnsi="Arial;Helvetica;Sans-Serif"/>
          <w:b w:val="false"/>
          <w:i/>
          <w:caps w:val="false"/>
          <w:smallCaps w:val="false"/>
          <w:color w:val="58595B"/>
          <w:sz w:val="16"/>
        </w:rPr>
        <w:t xml:space="preserve"> 718. On December 31, 2022, each non-employee director had 1,331 shares of restricted stock outstanding.</w:t>
      </w:r>
    </w:p>
    <w:p>
      <w:pPr>
        <w:pStyle w:val="TextBody"/>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21</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03. </w:t>
      </w:r>
      <w:r>
        <w:rPr>
          <w:rFonts w:ascii="Arial;Helvetica;Sans-Serif" w:hAnsi="Arial;Helvetica;Sans-Serif"/>
          <w:b w:val="false"/>
          <w:i w:val="false"/>
          <w:caps w:val="false"/>
          <w:smallCaps w:val="false"/>
          <w:color w:val="DC0021"/>
          <w:sz w:val="20"/>
        </w:rPr>
        <w:t>CORPORATE GOVERNANCE AND BOARD MATTERS</w:t>
      </w:r>
    </w:p>
    <w:p>
      <w:pPr>
        <w:pStyle w:val="TextBody"/>
        <w:rPr>
          <w:caps w:val="false"/>
          <w:smallCaps w:val="false"/>
          <w:color w:val="EE0027"/>
        </w:rPr>
      </w:pPr>
      <w:r>
        <w:rPr>
          <w:caps w:val="false"/>
          <w:smallCaps w:val="false"/>
          <w:color w:val="EE0027"/>
        </w:rPr>
        <w:t> </w:t>
      </w:r>
    </w:p>
    <w:p>
      <w:pPr>
        <w:pStyle w:val="TextBody"/>
        <w:spacing w:before="0" w:after="0"/>
        <w:rPr/>
      </w:pPr>
      <w:r>
        <w:rPr/>
      </w:r>
      <w:r>
        <mc:AlternateContent>
          <mc:Choice Requires="wps">
            <w:drawing>
              <wp:anchor behindDoc="0" distT="0" distB="0" distL="0" distR="0" simplePos="0" locked="0" layoutInCell="1" allowOverlap="1" relativeHeight="116">
                <wp:simplePos x="0" y="0"/>
                <wp:positionH relativeFrom="column">
                  <wp:align>left</wp:align>
                </wp:positionH>
                <wp:positionV relativeFrom="line">
                  <wp:posOffset>635</wp:posOffset>
                </wp:positionV>
                <wp:extent cx="3110230" cy="7536180"/>
                <wp:effectExtent l="0" t="0" r="0" b="0"/>
                <wp:wrapSquare wrapText="largest"/>
                <wp:docPr id="283" name="Frame32"/>
                <a:graphic xmlns:a="http://schemas.openxmlformats.org/drawingml/2006/main">
                  <a:graphicData uri="http://schemas.microsoft.com/office/word/2010/wordprocessingShape">
                    <wps:wsp>
                      <wps:cNvSpPr txBox="1"/>
                      <wps:spPr>
                        <a:xfrm>
                          <a:off x="0" y="0"/>
                          <a:ext cx="3110230" cy="7536180"/>
                        </a:xfrm>
                        <a:prstGeom prst="rect"/>
                      </wps:spPr>
                      <wps:txbx>
                        <w:txbxContent>
                          <w:p>
                            <w:pPr>
                              <w:pStyle w:val="TextBody"/>
                              <w:rPr>
                                <w:rFonts w:ascii="Arial;Helvetica;Sans-Serif" w:hAnsi="Arial;Helvetica;Sans-Serif"/>
                                <w:b/>
                                <w:i w:val="false"/>
                                <w:caps w:val="false"/>
                                <w:smallCaps w:val="false"/>
                                <w:color w:val="EE0027"/>
                                <w:sz w:val="20"/>
                              </w:rPr>
                            </w:pPr>
                            <w:bookmarkStart w:id="62" w:name="a035"/>
                            <w:bookmarkEnd w:id="62"/>
                            <w:r>
                              <w:rPr>
                                <w:rFonts w:ascii="Arial;Helvetica;Sans-Serif" w:hAnsi="Arial;Helvetica;Sans-Serif"/>
                                <w:b/>
                                <w:i w:val="false"/>
                                <w:caps w:val="false"/>
                                <w:smallCaps w:val="false"/>
                                <w:color w:val="EE0027"/>
                                <w:sz w:val="20"/>
                              </w:rPr>
                              <w:t>Director Qualifications</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qualifications for directors are described in our corporate governance guidelines, which is available on our website.</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Board</w:t>
                            </w:r>
                            <w:r>
                              <w:rPr>
                                <w:rFonts w:ascii="Times New Roman;Times;Serif" w:hAnsi="Times New Roman;Times;Serif"/>
                                <w:b w:val="false"/>
                                <w:i w:val="false"/>
                                <w:caps w:val="false"/>
                                <w:smallCaps w:val="false"/>
                                <w:color w:val="58595B"/>
                                <w:sz w:val="20"/>
                              </w:rPr>
                              <w:t xml:space="preserve"> </w:t>
                            </w:r>
                            <w:r>
                              <w:rPr>
                                <w:rFonts w:ascii="Arial;Helvetica;Sans-Serif" w:hAnsi="Arial;Helvetica;Sans-Serif"/>
                                <w:b w:val="false"/>
                                <w:i w:val="false"/>
                                <w:caps w:val="false"/>
                                <w:smallCaps w:val="false"/>
                                <w:color w:val="58595B"/>
                                <w:sz w:val="18"/>
                              </w:rPr>
                              <w:t xml:space="preserve">does </w:t>
                            </w:r>
                            <w:r>
                              <w:rPr>
                                <w:rFonts w:ascii="Arial;Helvetica;Sans-Serif" w:hAnsi="Arial;Helvetica;Sans-Serif"/>
                                <w:b w:val="false"/>
                                <w:i w:val="false"/>
                                <w:caps w:val="false"/>
                                <w:smallCaps w:val="false"/>
                                <w:color w:val="58595B"/>
                                <w:spacing w:val="-2"/>
                                <w:sz w:val="18"/>
                              </w:rPr>
                              <w:t>not</w:t>
                            </w:r>
                            <w:r>
                              <w:rPr>
                                <w:rFonts w:ascii="Arial;Helvetica;Sans-Serif" w:hAnsi="Arial;Helvetica;Sans-Serif"/>
                                <w:b w:val="false"/>
                                <w:i w:val="false"/>
                                <w:caps w:val="false"/>
                                <w:smallCaps w:val="false"/>
                                <w:color w:val="58595B"/>
                                <w:sz w:val="18"/>
                              </w:rPr>
                              <w:t xml:space="preserve"> </w:t>
                            </w:r>
                            <w:r>
                              <w:rPr>
                                <w:rFonts w:ascii="Arial;Helvetica;Sans-Serif" w:hAnsi="Arial;Helvetica;Sans-Serif"/>
                                <w:b w:val="false"/>
                                <w:i w:val="false"/>
                                <w:caps w:val="false"/>
                                <w:smallCaps w:val="false"/>
                                <w:color w:val="58595B"/>
                                <w:spacing w:val="-3"/>
                                <w:sz w:val="18"/>
                              </w:rPr>
                              <w:t>currently</w:t>
                            </w:r>
                            <w:r>
                              <w:rPr>
                                <w:rFonts w:ascii="Arial;Helvetica;Sans-Serif" w:hAnsi="Arial;Helvetica;Sans-Serif"/>
                                <w:b w:val="false"/>
                                <w:i w:val="false"/>
                                <w:caps w:val="false"/>
                                <w:smallCaps w:val="false"/>
                                <w:color w:val="58595B"/>
                                <w:sz w:val="18"/>
                              </w:rPr>
                              <w:t xml:space="preserve"> apply </w:t>
                            </w:r>
                            <w:r>
                              <w:rPr>
                                <w:rFonts w:ascii="Arial;Helvetica;Sans-Serif" w:hAnsi="Arial;Helvetica;Sans-Serif"/>
                                <w:b w:val="false"/>
                                <w:i w:val="false"/>
                                <w:caps w:val="false"/>
                                <w:smallCaps w:val="false"/>
                                <w:color w:val="58595B"/>
                                <w:spacing w:val="-3"/>
                                <w:sz w:val="18"/>
                              </w:rPr>
                              <w:t xml:space="preserve">any </w:t>
                            </w:r>
                            <w:r>
                              <w:rPr>
                                <w:rFonts w:ascii="Arial;Helvetica;Sans-Serif" w:hAnsi="Arial;Helvetica;Sans-Serif"/>
                                <w:b w:val="false"/>
                                <w:i w:val="false"/>
                                <w:caps w:val="false"/>
                                <w:smallCaps w:val="false"/>
                                <w:color w:val="58595B"/>
                                <w:sz w:val="18"/>
                              </w:rPr>
                              <w:t xml:space="preserve">minimum </w:t>
                            </w:r>
                            <w:r>
                              <w:rPr>
                                <w:rFonts w:ascii="Arial;Helvetica;Sans-Serif" w:hAnsi="Arial;Helvetica;Sans-Serif"/>
                                <w:b w:val="false"/>
                                <w:i w:val="false"/>
                                <w:caps w:val="false"/>
                                <w:smallCaps w:val="false"/>
                                <w:color w:val="58595B"/>
                                <w:spacing w:val="-3"/>
                                <w:sz w:val="18"/>
                              </w:rPr>
                              <w:t xml:space="preserve">qualifications </w:t>
                            </w:r>
                            <w:r>
                              <w:rPr>
                                <w:rFonts w:ascii="Arial;Helvetica;Sans-Serif" w:hAnsi="Arial;Helvetica;Sans-Serif"/>
                                <w:b w:val="false"/>
                                <w:i w:val="false"/>
                                <w:caps w:val="false"/>
                                <w:smallCaps w:val="false"/>
                                <w:color w:val="58595B"/>
                                <w:sz w:val="18"/>
                              </w:rPr>
                              <w:t xml:space="preserve">or require that a director have specified qualities or skills in order to be considered for a position as a </w:t>
                            </w:r>
                            <w:r>
                              <w:rPr>
                                <w:rFonts w:ascii="Arial;Helvetica;Sans-Serif" w:hAnsi="Arial;Helvetica;Sans-Serif"/>
                                <w:b w:val="false"/>
                                <w:i w:val="false"/>
                                <w:caps w:val="false"/>
                                <w:smallCaps w:val="false"/>
                                <w:color w:val="58595B"/>
                                <w:spacing w:val="-3"/>
                                <w:sz w:val="18"/>
                              </w:rPr>
                              <w:t xml:space="preserve">director. </w:t>
                            </w:r>
                            <w:r>
                              <w:rPr>
                                <w:rFonts w:ascii="Arial;Helvetica;Sans-Serif" w:hAnsi="Arial;Helvetica;Sans-Serif"/>
                                <w:b w:val="false"/>
                                <w:i w:val="false"/>
                                <w:caps w:val="false"/>
                                <w:smallCaps w:val="false"/>
                                <w:color w:val="58595B"/>
                                <w:sz w:val="18"/>
                              </w:rPr>
                              <w:t>The Board recognizes the value of diversity among its members and the impact it can have on the performance of the Board. In addition to a director’s professional experience that will benefit our business, we seek to have a Board which represents diversity in professional experiences, viewpoints, gender, age, race, ethnicity, sexual orientation, nationality and cultural background.</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corporate governance guidelines provide that no director should serve on more than four other public company boards, unless the governance committee determines otherwise.</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Directors are expected to advise the Chairman of the Board and the governance committee Chair in advance of accepting an invitation to serve on another public company board.</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has not limited the number of years for which a person may serve as a director or require a mandatory retirement age, because such limits could deprive us of the valuable contributions made by a director who develops, over time, significant insights into us and our operations.</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 xml:space="preserve">re-nomination </w:t>
                            </w:r>
                            <w:r>
                              <w:rPr>
                                <w:rFonts w:ascii="Arial;Helvetica;Sans-Serif" w:hAnsi="Arial;Helvetica;Sans-Serif"/>
                                <w:b w:val="false"/>
                                <w:i w:val="false"/>
                                <w:caps w:val="false"/>
                                <w:smallCaps w:val="false"/>
                                <w:color w:val="58595B"/>
                                <w:sz w:val="18"/>
                              </w:rPr>
                              <w:t xml:space="preserve">of existing </w:t>
                            </w:r>
                            <w:r>
                              <w:rPr>
                                <w:rFonts w:ascii="Arial;Helvetica;Sans-Serif" w:hAnsi="Arial;Helvetica;Sans-Serif"/>
                                <w:b w:val="false"/>
                                <w:i w:val="false"/>
                                <w:caps w:val="false"/>
                                <w:smallCaps w:val="false"/>
                                <w:color w:val="58595B"/>
                                <w:spacing w:val="-3"/>
                                <w:sz w:val="18"/>
                              </w:rPr>
                              <w:t xml:space="preserve">directors </w:t>
                            </w:r>
                            <w:r>
                              <w:rPr>
                                <w:rFonts w:ascii="Arial;Helvetica;Sans-Serif" w:hAnsi="Arial;Helvetica;Sans-Serif"/>
                                <w:b w:val="false"/>
                                <w:i w:val="false"/>
                                <w:caps w:val="false"/>
                                <w:smallCaps w:val="false"/>
                                <w:color w:val="58595B"/>
                                <w:sz w:val="18"/>
                              </w:rPr>
                              <w:t xml:space="preserve">is </w:t>
                            </w:r>
                            <w:r>
                              <w:rPr>
                                <w:rFonts w:ascii="Arial;Helvetica;Sans-Serif" w:hAnsi="Arial;Helvetica;Sans-Serif"/>
                                <w:b w:val="false"/>
                                <w:i w:val="false"/>
                                <w:caps w:val="false"/>
                                <w:smallCaps w:val="false"/>
                                <w:color w:val="58595B"/>
                                <w:spacing w:val="-2"/>
                                <w:sz w:val="18"/>
                              </w:rPr>
                              <w:t xml:space="preserve">not </w:t>
                            </w:r>
                            <w:r>
                              <w:rPr>
                                <w:rFonts w:ascii="Arial;Helvetica;Sans-Serif" w:hAnsi="Arial;Helvetica;Sans-Serif"/>
                                <w:b w:val="false"/>
                                <w:i w:val="false"/>
                                <w:caps w:val="false"/>
                                <w:smallCaps w:val="false"/>
                                <w:color w:val="58595B"/>
                                <w:spacing w:val="-3"/>
                                <w:sz w:val="18"/>
                              </w:rPr>
                              <w:t xml:space="preserve">viewed </w:t>
                            </w:r>
                            <w:r>
                              <w:rPr>
                                <w:rFonts w:ascii="Arial;Helvetica;Sans-Serif" w:hAnsi="Arial;Helvetica;Sans-Serif"/>
                                <w:b w:val="false"/>
                                <w:i w:val="false"/>
                                <w:caps w:val="false"/>
                                <w:smallCaps w:val="false"/>
                                <w:color w:val="58595B"/>
                                <w:sz w:val="18"/>
                              </w:rPr>
                              <w:t>as auto</w:t>
                            </w:r>
                            <w:r>
                              <w:rPr>
                                <w:rFonts w:ascii="Arial;Helvetica;Sans-Serif" w:hAnsi="Arial;Helvetica;Sans-Serif"/>
                                <w:b w:val="false"/>
                                <w:i w:val="false"/>
                                <w:caps w:val="false"/>
                                <w:smallCaps w:val="false"/>
                                <w:color w:val="58595B"/>
                                <w:spacing w:val="-2"/>
                                <w:sz w:val="18"/>
                              </w:rPr>
                              <w:t>matic,</w:t>
                            </w:r>
                            <w:r>
                              <w:rPr>
                                <w:rFonts w:ascii="Arial;Helvetica;Sans-Serif" w:hAnsi="Arial;Helvetica;Sans-Serif"/>
                                <w:b w:val="false"/>
                                <w:i w:val="false"/>
                                <w:caps w:val="false"/>
                                <w:smallCaps w:val="false"/>
                                <w:color w:val="58595B"/>
                                <w:sz w:val="18"/>
                              </w:rPr>
                              <w:t xml:space="preserve"> but is based on </w:t>
                            </w:r>
                            <w:r>
                              <w:rPr>
                                <w:rFonts w:ascii="Arial;Helvetica;Sans-Serif" w:hAnsi="Arial;Helvetica;Sans-Serif"/>
                                <w:b w:val="false"/>
                                <w:i w:val="false"/>
                                <w:caps w:val="false"/>
                                <w:smallCaps w:val="false"/>
                                <w:color w:val="58595B"/>
                                <w:spacing w:val="-3"/>
                                <w:sz w:val="18"/>
                              </w:rPr>
                              <w:t xml:space="preserve">continuing </w:t>
                            </w:r>
                            <w:r>
                              <w:rPr>
                                <w:rFonts w:ascii="Arial;Helvetica;Sans-Serif" w:hAnsi="Arial;Helvetica;Sans-Serif"/>
                                <w:b w:val="false"/>
                                <w:i w:val="false"/>
                                <w:caps w:val="false"/>
                                <w:smallCaps w:val="false"/>
                                <w:color w:val="58595B"/>
                                <w:sz w:val="18"/>
                              </w:rPr>
                              <w:t xml:space="preserve">qualification under the </w:t>
                            </w:r>
                            <w:r>
                              <w:rPr>
                                <w:rFonts w:ascii="Arial;Helvetica;Sans-Serif" w:hAnsi="Arial;Helvetica;Sans-Serif"/>
                                <w:b w:val="false"/>
                                <w:i w:val="false"/>
                                <w:caps w:val="false"/>
                                <w:smallCaps w:val="false"/>
                                <w:color w:val="58595B"/>
                                <w:spacing w:val="-3"/>
                                <w:sz w:val="18"/>
                              </w:rPr>
                              <w:t xml:space="preserve">criteria </w:t>
                            </w:r>
                            <w:r>
                              <w:rPr>
                                <w:rFonts w:ascii="Arial;Helvetica;Sans-Serif" w:hAnsi="Arial;Helvetica;Sans-Serif"/>
                                <w:b w:val="false"/>
                                <w:i w:val="false"/>
                                <w:caps w:val="false"/>
                                <w:smallCaps w:val="false"/>
                                <w:color w:val="58595B"/>
                                <w:sz w:val="18"/>
                              </w:rPr>
                              <w:t xml:space="preserve">stated </w:t>
                            </w:r>
                            <w:r>
                              <w:rPr>
                                <w:rFonts w:ascii="Arial;Helvetica;Sans-Serif" w:hAnsi="Arial;Helvetica;Sans-Serif"/>
                                <w:b w:val="false"/>
                                <w:i w:val="false"/>
                                <w:caps w:val="false"/>
                                <w:smallCaps w:val="false"/>
                                <w:color w:val="58595B"/>
                                <w:spacing w:val="-3"/>
                                <w:sz w:val="18"/>
                              </w:rPr>
                              <w:t xml:space="preserve">above. </w:t>
                            </w:r>
                            <w:r>
                              <w:rPr>
                                <w:rFonts w:ascii="Arial;Helvetica;Sans-Serif" w:hAnsi="Arial;Helvetica;Sans-Serif"/>
                                <w:b w:val="false"/>
                                <w:i w:val="false"/>
                                <w:caps w:val="false"/>
                                <w:smallCaps w:val="false"/>
                                <w:color w:val="58595B"/>
                                <w:sz w:val="18"/>
                              </w:rPr>
                              <w:t xml:space="preserve">In addition, the </w:t>
                            </w:r>
                            <w:r>
                              <w:rPr>
                                <w:rFonts w:ascii="Arial;Helvetica;Sans-Serif" w:hAnsi="Arial;Helvetica;Sans-Serif"/>
                                <w:b w:val="false"/>
                                <w:i w:val="false"/>
                                <w:caps w:val="false"/>
                                <w:smallCaps w:val="false"/>
                                <w:color w:val="58595B"/>
                                <w:spacing w:val="-3"/>
                                <w:sz w:val="18"/>
                              </w:rPr>
                              <w:t xml:space="preserve">committee considers </w:t>
                            </w:r>
                            <w:r>
                              <w:rPr>
                                <w:rFonts w:ascii="Arial;Helvetica;Sans-Serif" w:hAnsi="Arial;Helvetica;Sans-Serif"/>
                                <w:b w:val="false"/>
                                <w:i w:val="false"/>
                                <w:caps w:val="false"/>
                                <w:smallCaps w:val="false"/>
                                <w:color w:val="58595B"/>
                                <w:sz w:val="18"/>
                              </w:rPr>
                              <w:t xml:space="preserve">the </w:t>
                            </w:r>
                            <w:r>
                              <w:rPr>
                                <w:rFonts w:ascii="Arial;Helvetica;Sans-Serif" w:hAnsi="Arial;Helvetica;Sans-Serif"/>
                                <w:b w:val="false"/>
                                <w:i w:val="false"/>
                                <w:caps w:val="false"/>
                                <w:smallCaps w:val="false"/>
                                <w:color w:val="58595B"/>
                                <w:spacing w:val="-3"/>
                                <w:sz w:val="18"/>
                              </w:rPr>
                              <w:t xml:space="preserve">existing directors’ performance </w:t>
                            </w:r>
                            <w:r>
                              <w:rPr>
                                <w:rFonts w:ascii="Arial;Helvetica;Sans-Serif" w:hAnsi="Arial;Helvetica;Sans-Serif"/>
                                <w:b w:val="false"/>
                                <w:i w:val="false"/>
                                <w:caps w:val="false"/>
                                <w:smallCaps w:val="false"/>
                                <w:color w:val="58595B"/>
                                <w:sz w:val="18"/>
                              </w:rPr>
                              <w:t xml:space="preserve">on the </w:t>
                            </w:r>
                            <w:r>
                              <w:rPr>
                                <w:rFonts w:ascii="Arial;Helvetica;Sans-Serif" w:hAnsi="Arial;Helvetica;Sans-Serif"/>
                                <w:b w:val="false"/>
                                <w:i w:val="false"/>
                                <w:caps w:val="false"/>
                                <w:smallCaps w:val="false"/>
                                <w:color w:val="58595B"/>
                                <w:spacing w:val="-3"/>
                                <w:sz w:val="18"/>
                              </w:rPr>
                              <w:t xml:space="preserve">Board </w:t>
                            </w:r>
                            <w:r>
                              <w:rPr>
                                <w:rFonts w:ascii="Arial;Helvetica;Sans-Serif" w:hAnsi="Arial;Helvetica;Sans-Serif"/>
                                <w:b w:val="false"/>
                                <w:i w:val="false"/>
                                <w:caps w:val="false"/>
                                <w:smallCaps w:val="false"/>
                                <w:color w:val="58595B"/>
                                <w:sz w:val="18"/>
                              </w:rPr>
                              <w:t xml:space="preserve">and </w:t>
                            </w:r>
                            <w:r>
                              <w:rPr>
                                <w:rFonts w:ascii="Arial;Helvetica;Sans-Serif" w:hAnsi="Arial;Helvetica;Sans-Serif"/>
                                <w:b w:val="false"/>
                                <w:i w:val="false"/>
                                <w:caps w:val="false"/>
                                <w:smallCaps w:val="false"/>
                                <w:color w:val="58595B"/>
                                <w:spacing w:val="-3"/>
                                <w:sz w:val="18"/>
                              </w:rPr>
                              <w:t>any committee.</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i w:val="false"/>
                          <w:caps w:val="false"/>
                          <w:smallCaps w:val="false"/>
                          <w:color w:val="EE0027"/>
                          <w:sz w:val="20"/>
                        </w:rPr>
                      </w:pPr>
                      <w:bookmarkStart w:id="63" w:name="a035"/>
                      <w:bookmarkEnd w:id="63"/>
                      <w:r>
                        <w:rPr>
                          <w:rFonts w:ascii="Arial;Helvetica;Sans-Serif" w:hAnsi="Arial;Helvetica;Sans-Serif"/>
                          <w:b/>
                          <w:i w:val="false"/>
                          <w:caps w:val="false"/>
                          <w:smallCaps w:val="false"/>
                          <w:color w:val="EE0027"/>
                          <w:sz w:val="20"/>
                        </w:rPr>
                        <w:t>Director Qualifications</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qualifications for directors are described in our corporate governance guidelines, which is available on our website.</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Board</w:t>
                      </w:r>
                      <w:r>
                        <w:rPr>
                          <w:rFonts w:ascii="Times New Roman;Times;Serif" w:hAnsi="Times New Roman;Times;Serif"/>
                          <w:b w:val="false"/>
                          <w:i w:val="false"/>
                          <w:caps w:val="false"/>
                          <w:smallCaps w:val="false"/>
                          <w:color w:val="58595B"/>
                          <w:sz w:val="20"/>
                        </w:rPr>
                        <w:t xml:space="preserve"> </w:t>
                      </w:r>
                      <w:r>
                        <w:rPr>
                          <w:rFonts w:ascii="Arial;Helvetica;Sans-Serif" w:hAnsi="Arial;Helvetica;Sans-Serif"/>
                          <w:b w:val="false"/>
                          <w:i w:val="false"/>
                          <w:caps w:val="false"/>
                          <w:smallCaps w:val="false"/>
                          <w:color w:val="58595B"/>
                          <w:sz w:val="18"/>
                        </w:rPr>
                        <w:t xml:space="preserve">does </w:t>
                      </w:r>
                      <w:r>
                        <w:rPr>
                          <w:rFonts w:ascii="Arial;Helvetica;Sans-Serif" w:hAnsi="Arial;Helvetica;Sans-Serif"/>
                          <w:b w:val="false"/>
                          <w:i w:val="false"/>
                          <w:caps w:val="false"/>
                          <w:smallCaps w:val="false"/>
                          <w:color w:val="58595B"/>
                          <w:spacing w:val="-2"/>
                          <w:sz w:val="18"/>
                        </w:rPr>
                        <w:t>not</w:t>
                      </w:r>
                      <w:r>
                        <w:rPr>
                          <w:rFonts w:ascii="Arial;Helvetica;Sans-Serif" w:hAnsi="Arial;Helvetica;Sans-Serif"/>
                          <w:b w:val="false"/>
                          <w:i w:val="false"/>
                          <w:caps w:val="false"/>
                          <w:smallCaps w:val="false"/>
                          <w:color w:val="58595B"/>
                          <w:sz w:val="18"/>
                        </w:rPr>
                        <w:t xml:space="preserve"> </w:t>
                      </w:r>
                      <w:r>
                        <w:rPr>
                          <w:rFonts w:ascii="Arial;Helvetica;Sans-Serif" w:hAnsi="Arial;Helvetica;Sans-Serif"/>
                          <w:b w:val="false"/>
                          <w:i w:val="false"/>
                          <w:caps w:val="false"/>
                          <w:smallCaps w:val="false"/>
                          <w:color w:val="58595B"/>
                          <w:spacing w:val="-3"/>
                          <w:sz w:val="18"/>
                        </w:rPr>
                        <w:t>currently</w:t>
                      </w:r>
                      <w:r>
                        <w:rPr>
                          <w:rFonts w:ascii="Arial;Helvetica;Sans-Serif" w:hAnsi="Arial;Helvetica;Sans-Serif"/>
                          <w:b w:val="false"/>
                          <w:i w:val="false"/>
                          <w:caps w:val="false"/>
                          <w:smallCaps w:val="false"/>
                          <w:color w:val="58595B"/>
                          <w:sz w:val="18"/>
                        </w:rPr>
                        <w:t xml:space="preserve"> apply </w:t>
                      </w:r>
                      <w:r>
                        <w:rPr>
                          <w:rFonts w:ascii="Arial;Helvetica;Sans-Serif" w:hAnsi="Arial;Helvetica;Sans-Serif"/>
                          <w:b w:val="false"/>
                          <w:i w:val="false"/>
                          <w:caps w:val="false"/>
                          <w:smallCaps w:val="false"/>
                          <w:color w:val="58595B"/>
                          <w:spacing w:val="-3"/>
                          <w:sz w:val="18"/>
                        </w:rPr>
                        <w:t xml:space="preserve">any </w:t>
                      </w:r>
                      <w:r>
                        <w:rPr>
                          <w:rFonts w:ascii="Arial;Helvetica;Sans-Serif" w:hAnsi="Arial;Helvetica;Sans-Serif"/>
                          <w:b w:val="false"/>
                          <w:i w:val="false"/>
                          <w:caps w:val="false"/>
                          <w:smallCaps w:val="false"/>
                          <w:color w:val="58595B"/>
                          <w:sz w:val="18"/>
                        </w:rPr>
                        <w:t xml:space="preserve">minimum </w:t>
                      </w:r>
                      <w:r>
                        <w:rPr>
                          <w:rFonts w:ascii="Arial;Helvetica;Sans-Serif" w:hAnsi="Arial;Helvetica;Sans-Serif"/>
                          <w:b w:val="false"/>
                          <w:i w:val="false"/>
                          <w:caps w:val="false"/>
                          <w:smallCaps w:val="false"/>
                          <w:color w:val="58595B"/>
                          <w:spacing w:val="-3"/>
                          <w:sz w:val="18"/>
                        </w:rPr>
                        <w:t xml:space="preserve">qualifications </w:t>
                      </w:r>
                      <w:r>
                        <w:rPr>
                          <w:rFonts w:ascii="Arial;Helvetica;Sans-Serif" w:hAnsi="Arial;Helvetica;Sans-Serif"/>
                          <w:b w:val="false"/>
                          <w:i w:val="false"/>
                          <w:caps w:val="false"/>
                          <w:smallCaps w:val="false"/>
                          <w:color w:val="58595B"/>
                          <w:sz w:val="18"/>
                        </w:rPr>
                        <w:t xml:space="preserve">or require that a director have specified qualities or skills in order to be considered for a position as a </w:t>
                      </w:r>
                      <w:r>
                        <w:rPr>
                          <w:rFonts w:ascii="Arial;Helvetica;Sans-Serif" w:hAnsi="Arial;Helvetica;Sans-Serif"/>
                          <w:b w:val="false"/>
                          <w:i w:val="false"/>
                          <w:caps w:val="false"/>
                          <w:smallCaps w:val="false"/>
                          <w:color w:val="58595B"/>
                          <w:spacing w:val="-3"/>
                          <w:sz w:val="18"/>
                        </w:rPr>
                        <w:t xml:space="preserve">director. </w:t>
                      </w:r>
                      <w:r>
                        <w:rPr>
                          <w:rFonts w:ascii="Arial;Helvetica;Sans-Serif" w:hAnsi="Arial;Helvetica;Sans-Serif"/>
                          <w:b w:val="false"/>
                          <w:i w:val="false"/>
                          <w:caps w:val="false"/>
                          <w:smallCaps w:val="false"/>
                          <w:color w:val="58595B"/>
                          <w:sz w:val="18"/>
                        </w:rPr>
                        <w:t>The Board recognizes the value of diversity among its members and the impact it can have on the performance of the Board. In addition to a director’s professional experience that will benefit our business, we seek to have a Board which represents diversity in professional experiences, viewpoints, gender, age, race, ethnicity, sexual orientation, nationality and cultural background.</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corporate governance guidelines provide that no director should serve on more than four other public company boards, unless the governance committee determines otherwise.</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Directors are expected to advise the Chairman of the Board and the governance committee Chair in advance of accepting an invitation to serve on another public company board.</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has not limited the number of years for which a person may serve as a director or require a mandatory retirement age, because such limits could deprive us of the valuable contributions made by a director who develops, over time, significant insights into us and our operations.</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 xml:space="preserve">re-nomination </w:t>
                      </w:r>
                      <w:r>
                        <w:rPr>
                          <w:rFonts w:ascii="Arial;Helvetica;Sans-Serif" w:hAnsi="Arial;Helvetica;Sans-Serif"/>
                          <w:b w:val="false"/>
                          <w:i w:val="false"/>
                          <w:caps w:val="false"/>
                          <w:smallCaps w:val="false"/>
                          <w:color w:val="58595B"/>
                          <w:sz w:val="18"/>
                        </w:rPr>
                        <w:t xml:space="preserve">of existing </w:t>
                      </w:r>
                      <w:r>
                        <w:rPr>
                          <w:rFonts w:ascii="Arial;Helvetica;Sans-Serif" w:hAnsi="Arial;Helvetica;Sans-Serif"/>
                          <w:b w:val="false"/>
                          <w:i w:val="false"/>
                          <w:caps w:val="false"/>
                          <w:smallCaps w:val="false"/>
                          <w:color w:val="58595B"/>
                          <w:spacing w:val="-3"/>
                          <w:sz w:val="18"/>
                        </w:rPr>
                        <w:t xml:space="preserve">directors </w:t>
                      </w:r>
                      <w:r>
                        <w:rPr>
                          <w:rFonts w:ascii="Arial;Helvetica;Sans-Serif" w:hAnsi="Arial;Helvetica;Sans-Serif"/>
                          <w:b w:val="false"/>
                          <w:i w:val="false"/>
                          <w:caps w:val="false"/>
                          <w:smallCaps w:val="false"/>
                          <w:color w:val="58595B"/>
                          <w:sz w:val="18"/>
                        </w:rPr>
                        <w:t xml:space="preserve">is </w:t>
                      </w:r>
                      <w:r>
                        <w:rPr>
                          <w:rFonts w:ascii="Arial;Helvetica;Sans-Serif" w:hAnsi="Arial;Helvetica;Sans-Serif"/>
                          <w:b w:val="false"/>
                          <w:i w:val="false"/>
                          <w:caps w:val="false"/>
                          <w:smallCaps w:val="false"/>
                          <w:color w:val="58595B"/>
                          <w:spacing w:val="-2"/>
                          <w:sz w:val="18"/>
                        </w:rPr>
                        <w:t xml:space="preserve">not </w:t>
                      </w:r>
                      <w:r>
                        <w:rPr>
                          <w:rFonts w:ascii="Arial;Helvetica;Sans-Serif" w:hAnsi="Arial;Helvetica;Sans-Serif"/>
                          <w:b w:val="false"/>
                          <w:i w:val="false"/>
                          <w:caps w:val="false"/>
                          <w:smallCaps w:val="false"/>
                          <w:color w:val="58595B"/>
                          <w:spacing w:val="-3"/>
                          <w:sz w:val="18"/>
                        </w:rPr>
                        <w:t xml:space="preserve">viewed </w:t>
                      </w:r>
                      <w:r>
                        <w:rPr>
                          <w:rFonts w:ascii="Arial;Helvetica;Sans-Serif" w:hAnsi="Arial;Helvetica;Sans-Serif"/>
                          <w:b w:val="false"/>
                          <w:i w:val="false"/>
                          <w:caps w:val="false"/>
                          <w:smallCaps w:val="false"/>
                          <w:color w:val="58595B"/>
                          <w:sz w:val="18"/>
                        </w:rPr>
                        <w:t>as auto</w:t>
                      </w:r>
                      <w:r>
                        <w:rPr>
                          <w:rFonts w:ascii="Arial;Helvetica;Sans-Serif" w:hAnsi="Arial;Helvetica;Sans-Serif"/>
                          <w:b w:val="false"/>
                          <w:i w:val="false"/>
                          <w:caps w:val="false"/>
                          <w:smallCaps w:val="false"/>
                          <w:color w:val="58595B"/>
                          <w:spacing w:val="-2"/>
                          <w:sz w:val="18"/>
                        </w:rPr>
                        <w:t>matic,</w:t>
                      </w:r>
                      <w:r>
                        <w:rPr>
                          <w:rFonts w:ascii="Arial;Helvetica;Sans-Serif" w:hAnsi="Arial;Helvetica;Sans-Serif"/>
                          <w:b w:val="false"/>
                          <w:i w:val="false"/>
                          <w:caps w:val="false"/>
                          <w:smallCaps w:val="false"/>
                          <w:color w:val="58595B"/>
                          <w:sz w:val="18"/>
                        </w:rPr>
                        <w:t xml:space="preserve"> but is based on </w:t>
                      </w:r>
                      <w:r>
                        <w:rPr>
                          <w:rFonts w:ascii="Arial;Helvetica;Sans-Serif" w:hAnsi="Arial;Helvetica;Sans-Serif"/>
                          <w:b w:val="false"/>
                          <w:i w:val="false"/>
                          <w:caps w:val="false"/>
                          <w:smallCaps w:val="false"/>
                          <w:color w:val="58595B"/>
                          <w:spacing w:val="-3"/>
                          <w:sz w:val="18"/>
                        </w:rPr>
                        <w:t xml:space="preserve">continuing </w:t>
                      </w:r>
                      <w:r>
                        <w:rPr>
                          <w:rFonts w:ascii="Arial;Helvetica;Sans-Serif" w:hAnsi="Arial;Helvetica;Sans-Serif"/>
                          <w:b w:val="false"/>
                          <w:i w:val="false"/>
                          <w:caps w:val="false"/>
                          <w:smallCaps w:val="false"/>
                          <w:color w:val="58595B"/>
                          <w:sz w:val="18"/>
                        </w:rPr>
                        <w:t xml:space="preserve">qualification under the </w:t>
                      </w:r>
                      <w:r>
                        <w:rPr>
                          <w:rFonts w:ascii="Arial;Helvetica;Sans-Serif" w:hAnsi="Arial;Helvetica;Sans-Serif"/>
                          <w:b w:val="false"/>
                          <w:i w:val="false"/>
                          <w:caps w:val="false"/>
                          <w:smallCaps w:val="false"/>
                          <w:color w:val="58595B"/>
                          <w:spacing w:val="-3"/>
                          <w:sz w:val="18"/>
                        </w:rPr>
                        <w:t xml:space="preserve">criteria </w:t>
                      </w:r>
                      <w:r>
                        <w:rPr>
                          <w:rFonts w:ascii="Arial;Helvetica;Sans-Serif" w:hAnsi="Arial;Helvetica;Sans-Serif"/>
                          <w:b w:val="false"/>
                          <w:i w:val="false"/>
                          <w:caps w:val="false"/>
                          <w:smallCaps w:val="false"/>
                          <w:color w:val="58595B"/>
                          <w:sz w:val="18"/>
                        </w:rPr>
                        <w:t xml:space="preserve">stated </w:t>
                      </w:r>
                      <w:r>
                        <w:rPr>
                          <w:rFonts w:ascii="Arial;Helvetica;Sans-Serif" w:hAnsi="Arial;Helvetica;Sans-Serif"/>
                          <w:b w:val="false"/>
                          <w:i w:val="false"/>
                          <w:caps w:val="false"/>
                          <w:smallCaps w:val="false"/>
                          <w:color w:val="58595B"/>
                          <w:spacing w:val="-3"/>
                          <w:sz w:val="18"/>
                        </w:rPr>
                        <w:t xml:space="preserve">above. </w:t>
                      </w:r>
                      <w:r>
                        <w:rPr>
                          <w:rFonts w:ascii="Arial;Helvetica;Sans-Serif" w:hAnsi="Arial;Helvetica;Sans-Serif"/>
                          <w:b w:val="false"/>
                          <w:i w:val="false"/>
                          <w:caps w:val="false"/>
                          <w:smallCaps w:val="false"/>
                          <w:color w:val="58595B"/>
                          <w:sz w:val="18"/>
                        </w:rPr>
                        <w:t xml:space="preserve">In addition, the </w:t>
                      </w:r>
                      <w:r>
                        <w:rPr>
                          <w:rFonts w:ascii="Arial;Helvetica;Sans-Serif" w:hAnsi="Arial;Helvetica;Sans-Serif"/>
                          <w:b w:val="false"/>
                          <w:i w:val="false"/>
                          <w:caps w:val="false"/>
                          <w:smallCaps w:val="false"/>
                          <w:color w:val="58595B"/>
                          <w:spacing w:val="-3"/>
                          <w:sz w:val="18"/>
                        </w:rPr>
                        <w:t xml:space="preserve">committee considers </w:t>
                      </w:r>
                      <w:r>
                        <w:rPr>
                          <w:rFonts w:ascii="Arial;Helvetica;Sans-Serif" w:hAnsi="Arial;Helvetica;Sans-Serif"/>
                          <w:b w:val="false"/>
                          <w:i w:val="false"/>
                          <w:caps w:val="false"/>
                          <w:smallCaps w:val="false"/>
                          <w:color w:val="58595B"/>
                          <w:sz w:val="18"/>
                        </w:rPr>
                        <w:t xml:space="preserve">the </w:t>
                      </w:r>
                      <w:r>
                        <w:rPr>
                          <w:rFonts w:ascii="Arial;Helvetica;Sans-Serif" w:hAnsi="Arial;Helvetica;Sans-Serif"/>
                          <w:b w:val="false"/>
                          <w:i w:val="false"/>
                          <w:caps w:val="false"/>
                          <w:smallCaps w:val="false"/>
                          <w:color w:val="58595B"/>
                          <w:spacing w:val="-3"/>
                          <w:sz w:val="18"/>
                        </w:rPr>
                        <w:t xml:space="preserve">existing directors’ performance </w:t>
                      </w:r>
                      <w:r>
                        <w:rPr>
                          <w:rFonts w:ascii="Arial;Helvetica;Sans-Serif" w:hAnsi="Arial;Helvetica;Sans-Serif"/>
                          <w:b w:val="false"/>
                          <w:i w:val="false"/>
                          <w:caps w:val="false"/>
                          <w:smallCaps w:val="false"/>
                          <w:color w:val="58595B"/>
                          <w:sz w:val="18"/>
                        </w:rPr>
                        <w:t xml:space="preserve">on the </w:t>
                      </w:r>
                      <w:r>
                        <w:rPr>
                          <w:rFonts w:ascii="Arial;Helvetica;Sans-Serif" w:hAnsi="Arial;Helvetica;Sans-Serif"/>
                          <w:b w:val="false"/>
                          <w:i w:val="false"/>
                          <w:caps w:val="false"/>
                          <w:smallCaps w:val="false"/>
                          <w:color w:val="58595B"/>
                          <w:spacing w:val="-3"/>
                          <w:sz w:val="18"/>
                        </w:rPr>
                        <w:t xml:space="preserve">Board </w:t>
                      </w:r>
                      <w:r>
                        <w:rPr>
                          <w:rFonts w:ascii="Arial;Helvetica;Sans-Serif" w:hAnsi="Arial;Helvetica;Sans-Serif"/>
                          <w:b w:val="false"/>
                          <w:i w:val="false"/>
                          <w:caps w:val="false"/>
                          <w:smallCaps w:val="false"/>
                          <w:color w:val="58595B"/>
                          <w:sz w:val="18"/>
                        </w:rPr>
                        <w:t xml:space="preserve">and </w:t>
                      </w:r>
                      <w:r>
                        <w:rPr>
                          <w:rFonts w:ascii="Arial;Helvetica;Sans-Serif" w:hAnsi="Arial;Helvetica;Sans-Serif"/>
                          <w:b w:val="false"/>
                          <w:i w:val="false"/>
                          <w:caps w:val="false"/>
                          <w:smallCaps w:val="false"/>
                          <w:color w:val="58595B"/>
                          <w:spacing w:val="-3"/>
                          <w:sz w:val="18"/>
                        </w:rPr>
                        <w:t>any committee.</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r>
        <mc:AlternateContent>
          <mc:Choice Requires="wps">
            <w:drawing>
              <wp:anchor behindDoc="0" distT="0" distB="0" distL="0" distR="0" simplePos="0" locked="0" layoutInCell="1" allowOverlap="1" relativeHeight="122">
                <wp:simplePos x="0" y="0"/>
                <wp:positionH relativeFrom="column">
                  <wp:align>right</wp:align>
                </wp:positionH>
                <wp:positionV relativeFrom="line">
                  <wp:posOffset>635</wp:posOffset>
                </wp:positionV>
                <wp:extent cx="3110230" cy="7529830"/>
                <wp:effectExtent l="0" t="0" r="0" b="0"/>
                <wp:wrapSquare wrapText="largest"/>
                <wp:docPr id="284" name="Frame33"/>
                <a:graphic xmlns:a="http://schemas.openxmlformats.org/drawingml/2006/main">
                  <a:graphicData uri="http://schemas.microsoft.com/office/word/2010/wordprocessingShape">
                    <wps:wsp>
                      <wps:cNvSpPr txBox="1"/>
                      <wps:spPr>
                        <a:xfrm>
                          <a:off x="0" y="0"/>
                          <a:ext cx="3110230" cy="7529830"/>
                        </a:xfrm>
                        <a:prstGeom prst="rect"/>
                      </wps:spPr>
                      <wps:txbx>
                        <w:txbxContent>
                          <w:p>
                            <w:pPr>
                              <w:pStyle w:val="TextBody"/>
                              <w:rPr>
                                <w:rFonts w:ascii="Arial;Helvetica;Sans-Serif" w:hAnsi="Arial;Helvetica;Sans-Serif"/>
                                <w:b/>
                                <w:i w:val="false"/>
                                <w:caps w:val="false"/>
                                <w:smallCaps w:val="false"/>
                                <w:color w:val="EE0027"/>
                                <w:sz w:val="20"/>
                              </w:rPr>
                            </w:pPr>
                            <w:bookmarkStart w:id="64" w:name="a036"/>
                            <w:bookmarkEnd w:id="64"/>
                            <w:r>
                              <w:rPr>
                                <w:rFonts w:ascii="Arial;Helvetica;Sans-Serif" w:hAnsi="Arial;Helvetica;Sans-Serif"/>
                                <w:b/>
                                <w:i w:val="false"/>
                                <w:caps w:val="false"/>
                                <w:smallCaps w:val="false"/>
                                <w:color w:val="EE0027"/>
                                <w:sz w:val="20"/>
                              </w:rPr>
                              <w:t>Director Nomination Process</w:t>
                            </w:r>
                          </w:p>
                          <w:p>
                            <w:pPr>
                              <w:pStyle w:val="TextBody"/>
                              <w:rPr>
                                <w:caps w:val="false"/>
                                <w:smallCaps w:val="false"/>
                                <w:color w:val="EE0027"/>
                              </w:rPr>
                            </w:pPr>
                            <w:r>
                              <w:rPr>
                                <w:caps w:val="false"/>
                                <w:smallCaps w:val="false"/>
                                <w:color w:val="EE0027"/>
                              </w:rPr>
                              <w:t> </w:t>
                            </w:r>
                          </w:p>
                          <w:p>
                            <w:pPr>
                              <w:pStyle w:val="TextBody"/>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 xml:space="preserve">Selection of Director Nominees: </w:t>
                            </w:r>
                            <w:r>
                              <w:rPr>
                                <w:rFonts w:ascii="Arial;Helvetica;Sans-Serif" w:hAnsi="Arial;Helvetica;Sans-Serif"/>
                                <w:b w:val="false"/>
                                <w:i w:val="false"/>
                                <w:caps w:val="false"/>
                                <w:smallCaps w:val="false"/>
                                <w:color w:val="58595B"/>
                                <w:sz w:val="18"/>
                              </w:rPr>
                              <w:t xml:space="preserve">Our governance </w:t>
                            </w:r>
                            <w:r>
                              <w:rPr>
                                <w:rFonts w:ascii="Arial;Helvetica;Sans-Serif" w:hAnsi="Arial;Helvetica;Sans-Serif"/>
                                <w:b w:val="false"/>
                                <w:i w:val="false"/>
                                <w:caps w:val="false"/>
                                <w:smallCaps w:val="false"/>
                                <w:color w:val="58595B"/>
                                <w:spacing w:val="-3"/>
                                <w:sz w:val="18"/>
                              </w:rPr>
                              <w:t xml:space="preserve">committee </w:t>
                            </w:r>
                            <w:r>
                              <w:rPr>
                                <w:rFonts w:ascii="Arial;Helvetica;Sans-Serif" w:hAnsi="Arial;Helvetica;Sans-Serif"/>
                                <w:b w:val="false"/>
                                <w:i w:val="false"/>
                                <w:caps w:val="false"/>
                                <w:smallCaps w:val="false"/>
                                <w:color w:val="58595B"/>
                                <w:sz w:val="18"/>
                              </w:rPr>
                              <w:t xml:space="preserve">is </w:t>
                            </w:r>
                            <w:r>
                              <w:rPr>
                                <w:rFonts w:ascii="Arial;Helvetica;Sans-Serif" w:hAnsi="Arial;Helvetica;Sans-Serif"/>
                                <w:b w:val="false"/>
                                <w:i w:val="false"/>
                                <w:caps w:val="false"/>
                                <w:smallCaps w:val="false"/>
                                <w:color w:val="58595B"/>
                                <w:spacing w:val="-3"/>
                                <w:sz w:val="18"/>
                              </w:rPr>
                              <w:t xml:space="preserve">responsible for evaluating candidates for </w:t>
                            </w:r>
                            <w:r>
                              <w:rPr>
                                <w:rFonts w:ascii="Arial;Helvetica;Sans-Serif" w:hAnsi="Arial;Helvetica;Sans-Serif"/>
                                <w:b w:val="false"/>
                                <w:i w:val="false"/>
                                <w:caps w:val="false"/>
                                <w:smallCaps w:val="false"/>
                                <w:color w:val="58595B"/>
                                <w:sz w:val="18"/>
                              </w:rPr>
                              <w:t>election or appointment to our Board based on the criteria discussed above. The governance committee considers candidates identified by it, other directors, executive officers and shareholders, and, if desired, a third-party search firm. The committee selects nominees to recommend to the Board, which considers and makes the final selection of director nominees and directors to serve on its committees.</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addition, as outlined above, pursuant to the terms of the Cooperation Agreement, in March 2023 we agreed to nominate Mr. Gupta and agreed to add a second new director.</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Shareholder Recommendations of Nominees:</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 xml:space="preserve">governance committee </w:t>
                            </w:r>
                            <w:r>
                              <w:rPr>
                                <w:rFonts w:ascii="Arial;Helvetica;Sans-Serif" w:hAnsi="Arial;Helvetica;Sans-Serif"/>
                                <w:b w:val="false"/>
                                <w:i w:val="false"/>
                                <w:caps w:val="false"/>
                                <w:smallCaps w:val="false"/>
                                <w:color w:val="58595B"/>
                                <w:sz w:val="18"/>
                              </w:rPr>
                              <w:t xml:space="preserve">of the </w:t>
                            </w:r>
                            <w:r>
                              <w:rPr>
                                <w:rFonts w:ascii="Arial;Helvetica;Sans-Serif" w:hAnsi="Arial;Helvetica;Sans-Serif"/>
                                <w:b w:val="false"/>
                                <w:i w:val="false"/>
                                <w:caps w:val="false"/>
                                <w:smallCaps w:val="false"/>
                                <w:color w:val="58595B"/>
                                <w:spacing w:val="-3"/>
                                <w:sz w:val="18"/>
                              </w:rPr>
                              <w:t>Board considers recommen</w:t>
                            </w:r>
                            <w:r>
                              <w:rPr>
                                <w:rFonts w:ascii="Arial;Helvetica;Sans-Serif" w:hAnsi="Arial;Helvetica;Sans-Serif"/>
                                <w:b w:val="false"/>
                                <w:i w:val="false"/>
                                <w:caps w:val="false"/>
                                <w:smallCaps w:val="false"/>
                                <w:color w:val="58595B"/>
                                <w:sz w:val="18"/>
                              </w:rPr>
                              <w:t xml:space="preserve">dations </w:t>
                            </w:r>
                            <w:r>
                              <w:rPr>
                                <w:rFonts w:ascii="Arial;Helvetica;Sans-Serif" w:hAnsi="Arial;Helvetica;Sans-Serif"/>
                                <w:b w:val="false"/>
                                <w:i w:val="false"/>
                                <w:caps w:val="false"/>
                                <w:smallCaps w:val="false"/>
                                <w:color w:val="58595B"/>
                                <w:spacing w:val="-3"/>
                                <w:sz w:val="18"/>
                              </w:rPr>
                              <w:t xml:space="preserve">for candidates for </w:t>
                            </w:r>
                            <w:r>
                              <w:rPr>
                                <w:rFonts w:ascii="Arial;Helvetica;Sans-Serif" w:hAnsi="Arial;Helvetica;Sans-Serif"/>
                                <w:b w:val="false"/>
                                <w:i w:val="false"/>
                                <w:caps w:val="false"/>
                                <w:smallCaps w:val="false"/>
                                <w:color w:val="58595B"/>
                                <w:sz w:val="18"/>
                              </w:rPr>
                              <w:t xml:space="preserve">nomination to the </w:t>
                            </w:r>
                            <w:r>
                              <w:rPr>
                                <w:rFonts w:ascii="Arial;Helvetica;Sans-Serif" w:hAnsi="Arial;Helvetica;Sans-Serif"/>
                                <w:b w:val="false"/>
                                <w:i w:val="false"/>
                                <w:caps w:val="false"/>
                                <w:smallCaps w:val="false"/>
                                <w:color w:val="58595B"/>
                                <w:spacing w:val="-3"/>
                                <w:sz w:val="18"/>
                              </w:rPr>
                              <w:t>Board by share</w:t>
                            </w:r>
                            <w:r>
                              <w:rPr>
                                <w:rFonts w:ascii="Arial;Helvetica;Sans-Serif" w:hAnsi="Arial;Helvetica;Sans-Serif"/>
                                <w:b w:val="false"/>
                                <w:i w:val="false"/>
                                <w:caps w:val="false"/>
                                <w:smallCaps w:val="false"/>
                                <w:color w:val="58595B"/>
                                <w:sz w:val="18"/>
                              </w:rPr>
                              <w:t xml:space="preserve">holders. </w:t>
                            </w: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 xml:space="preserve">governance committee </w:t>
                            </w:r>
                            <w:r>
                              <w:rPr>
                                <w:rFonts w:ascii="Arial;Helvetica;Sans-Serif" w:hAnsi="Arial;Helvetica;Sans-Serif"/>
                                <w:b w:val="false"/>
                                <w:i w:val="false"/>
                                <w:caps w:val="false"/>
                                <w:smallCaps w:val="false"/>
                                <w:color w:val="58595B"/>
                                <w:sz w:val="18"/>
                              </w:rPr>
                              <w:t xml:space="preserve">will consider and </w:t>
                            </w:r>
                            <w:r>
                              <w:rPr>
                                <w:rFonts w:ascii="Arial;Helvetica;Sans-Serif" w:hAnsi="Arial;Helvetica;Sans-Serif"/>
                                <w:b w:val="false"/>
                                <w:i w:val="false"/>
                                <w:caps w:val="false"/>
                                <w:smallCaps w:val="false"/>
                                <w:color w:val="58595B"/>
                                <w:spacing w:val="-3"/>
                                <w:sz w:val="18"/>
                              </w:rPr>
                              <w:t xml:space="preserve">evaluate candidates recommended by shareholders </w:t>
                            </w:r>
                            <w:r>
                              <w:rPr>
                                <w:rFonts w:ascii="Arial;Helvetica;Sans-Serif" w:hAnsi="Arial;Helvetica;Sans-Serif"/>
                                <w:b w:val="false"/>
                                <w:i w:val="false"/>
                                <w:caps w:val="false"/>
                                <w:smallCaps w:val="false"/>
                                <w:color w:val="58595B"/>
                                <w:sz w:val="18"/>
                              </w:rPr>
                              <w:t xml:space="preserve">in the same </w:t>
                            </w:r>
                            <w:r>
                              <w:rPr>
                                <w:rFonts w:ascii="Arial;Helvetica;Sans-Serif" w:hAnsi="Arial;Helvetica;Sans-Serif"/>
                                <w:b w:val="false"/>
                                <w:i w:val="false"/>
                                <w:caps w:val="false"/>
                                <w:smallCaps w:val="false"/>
                                <w:color w:val="58595B"/>
                                <w:spacing w:val="-2"/>
                                <w:sz w:val="18"/>
                              </w:rPr>
                              <w:t xml:space="preserve">manner </w:t>
                            </w:r>
                            <w:r>
                              <w:rPr>
                                <w:rFonts w:ascii="Arial;Helvetica;Sans-Serif" w:hAnsi="Arial;Helvetica;Sans-Serif"/>
                                <w:b w:val="false"/>
                                <w:i w:val="false"/>
                                <w:caps w:val="false"/>
                                <w:smallCaps w:val="false"/>
                                <w:color w:val="58595B"/>
                                <w:sz w:val="18"/>
                              </w:rPr>
                              <w:t xml:space="preserve">as </w:t>
                            </w:r>
                            <w:r>
                              <w:rPr>
                                <w:rFonts w:ascii="Arial;Helvetica;Sans-Serif" w:hAnsi="Arial;Helvetica;Sans-Serif"/>
                                <w:b w:val="false"/>
                                <w:i w:val="false"/>
                                <w:caps w:val="false"/>
                                <w:smallCaps w:val="false"/>
                                <w:color w:val="58595B"/>
                                <w:spacing w:val="-3"/>
                                <w:sz w:val="18"/>
                              </w:rPr>
                              <w:t xml:space="preserve">candidates recommended from </w:t>
                            </w:r>
                            <w:r>
                              <w:rPr>
                                <w:rFonts w:ascii="Arial;Helvetica;Sans-Serif" w:hAnsi="Arial;Helvetica;Sans-Serif"/>
                                <w:b w:val="false"/>
                                <w:i w:val="false"/>
                                <w:caps w:val="false"/>
                                <w:smallCaps w:val="false"/>
                                <w:color w:val="58595B"/>
                                <w:sz w:val="18"/>
                              </w:rPr>
                              <w:t xml:space="preserve">other </w:t>
                            </w:r>
                            <w:r>
                              <w:rPr>
                                <w:rFonts w:ascii="Arial;Helvetica;Sans-Serif" w:hAnsi="Arial;Helvetica;Sans-Serif"/>
                                <w:b w:val="false"/>
                                <w:i w:val="false"/>
                                <w:caps w:val="false"/>
                                <w:smallCaps w:val="false"/>
                                <w:color w:val="58595B"/>
                                <w:spacing w:val="-3"/>
                                <w:sz w:val="18"/>
                              </w:rPr>
                              <w:t xml:space="preserve">sources. If </w:t>
                            </w:r>
                            <w:r>
                              <w:rPr>
                                <w:rFonts w:ascii="Arial;Helvetica;Sans-Serif" w:hAnsi="Arial;Helvetica;Sans-Serif"/>
                                <w:b w:val="false"/>
                                <w:i w:val="false"/>
                                <w:caps w:val="false"/>
                                <w:smallCaps w:val="false"/>
                                <w:color w:val="58595B"/>
                                <w:sz w:val="18"/>
                              </w:rPr>
                              <w:t xml:space="preserve">the </w:t>
                            </w:r>
                            <w:r>
                              <w:rPr>
                                <w:rFonts w:ascii="Arial;Helvetica;Sans-Serif" w:hAnsi="Arial;Helvetica;Sans-Serif"/>
                                <w:b w:val="false"/>
                                <w:i w:val="false"/>
                                <w:caps w:val="false"/>
                                <w:smallCaps w:val="false"/>
                                <w:color w:val="58595B"/>
                                <w:spacing w:val="-3"/>
                                <w:sz w:val="18"/>
                              </w:rPr>
                              <w:t xml:space="preserve">Board </w:t>
                            </w:r>
                            <w:r>
                              <w:rPr>
                                <w:rFonts w:ascii="Arial;Helvetica;Sans-Serif" w:hAnsi="Arial;Helvetica;Sans-Serif"/>
                                <w:b w:val="false"/>
                                <w:i w:val="false"/>
                                <w:caps w:val="false"/>
                                <w:smallCaps w:val="false"/>
                                <w:color w:val="58595B"/>
                                <w:sz w:val="18"/>
                              </w:rPr>
                              <w:t xml:space="preserve">determines to nominate a </w:t>
                            </w:r>
                            <w:r>
                              <w:rPr>
                                <w:rFonts w:ascii="Arial;Helvetica;Sans-Serif" w:hAnsi="Arial;Helvetica;Sans-Serif"/>
                                <w:b w:val="false"/>
                                <w:i w:val="false"/>
                                <w:caps w:val="false"/>
                                <w:smallCaps w:val="false"/>
                                <w:color w:val="58595B"/>
                                <w:spacing w:val="-3"/>
                                <w:sz w:val="18"/>
                              </w:rPr>
                              <w:t xml:space="preserve">shareholder-recommended candidate </w:t>
                            </w:r>
                            <w:r>
                              <w:rPr>
                                <w:rFonts w:ascii="Arial;Helvetica;Sans-Serif" w:hAnsi="Arial;Helvetica;Sans-Serif"/>
                                <w:b w:val="false"/>
                                <w:i w:val="false"/>
                                <w:caps w:val="false"/>
                                <w:smallCaps w:val="false"/>
                                <w:color w:val="58595B"/>
                                <w:sz w:val="18"/>
                              </w:rPr>
                              <w:t xml:space="preserve">and </w:t>
                            </w:r>
                            <w:r>
                              <w:rPr>
                                <w:rFonts w:ascii="Arial;Helvetica;Sans-Serif" w:hAnsi="Arial;Helvetica;Sans-Serif"/>
                                <w:b w:val="false"/>
                                <w:i w:val="false"/>
                                <w:caps w:val="false"/>
                                <w:smallCaps w:val="false"/>
                                <w:color w:val="58595B"/>
                                <w:spacing w:val="-3"/>
                                <w:sz w:val="18"/>
                              </w:rPr>
                              <w:t xml:space="preserve">recommends </w:t>
                            </w:r>
                            <w:r>
                              <w:rPr>
                                <w:rFonts w:ascii="Arial;Helvetica;Sans-Serif" w:hAnsi="Arial;Helvetica;Sans-Serif"/>
                                <w:b w:val="false"/>
                                <w:i w:val="false"/>
                                <w:caps w:val="false"/>
                                <w:smallCaps w:val="false"/>
                                <w:color w:val="58595B"/>
                                <w:sz w:val="18"/>
                              </w:rPr>
                              <w:t xml:space="preserve">his or her election, then that nominee will be named in the </w:t>
                            </w:r>
                            <w:r>
                              <w:rPr>
                                <w:rFonts w:ascii="Arial;Helvetica;Sans-Serif" w:hAnsi="Arial;Helvetica;Sans-Serif"/>
                                <w:b w:val="false"/>
                                <w:i w:val="false"/>
                                <w:caps w:val="false"/>
                                <w:smallCaps w:val="false"/>
                                <w:color w:val="58595B"/>
                                <w:spacing w:val="-4"/>
                                <w:sz w:val="18"/>
                              </w:rPr>
                              <w:t xml:space="preserve">proxy </w:t>
                            </w:r>
                            <w:r>
                              <w:rPr>
                                <w:rFonts w:ascii="Arial;Helvetica;Sans-Serif" w:hAnsi="Arial;Helvetica;Sans-Serif"/>
                                <w:b w:val="false"/>
                                <w:i w:val="false"/>
                                <w:caps w:val="false"/>
                                <w:smallCaps w:val="false"/>
                                <w:color w:val="58595B"/>
                                <w:spacing w:val="-3"/>
                                <w:sz w:val="18"/>
                              </w:rPr>
                              <w:t xml:space="preserve">statement for </w:t>
                            </w:r>
                            <w:r>
                              <w:rPr>
                                <w:rFonts w:ascii="Arial;Helvetica;Sans-Serif" w:hAnsi="Arial;Helvetica;Sans-Serif"/>
                                <w:b w:val="false"/>
                                <w:i w:val="false"/>
                                <w:caps w:val="false"/>
                                <w:smallCaps w:val="false"/>
                                <w:color w:val="58595B"/>
                                <w:sz w:val="18"/>
                              </w:rPr>
                              <w:t xml:space="preserve">the next annual </w:t>
                            </w:r>
                            <w:r>
                              <w:rPr>
                                <w:rFonts w:ascii="Arial;Helvetica;Sans-Serif" w:hAnsi="Arial;Helvetica;Sans-Serif"/>
                                <w:b w:val="false"/>
                                <w:i w:val="false"/>
                                <w:caps w:val="false"/>
                                <w:smallCaps w:val="false"/>
                                <w:color w:val="58595B"/>
                                <w:spacing w:val="-3"/>
                                <w:sz w:val="18"/>
                              </w:rPr>
                              <w:t>meeting.</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Shareholder recommendations must be addressed to:</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Technologies, Inc.</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Attention: Corporate Secretary</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DIRECTOR CANDIDATE RECOMMENDATION</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3280 Peachtree Road, Suite 2400</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Atlanta, Georgia 30305</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92.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i w:val="false"/>
                          <w:caps w:val="false"/>
                          <w:smallCaps w:val="false"/>
                          <w:color w:val="EE0027"/>
                          <w:sz w:val="20"/>
                        </w:rPr>
                      </w:pPr>
                      <w:bookmarkStart w:id="65" w:name="a036"/>
                      <w:bookmarkEnd w:id="65"/>
                      <w:r>
                        <w:rPr>
                          <w:rFonts w:ascii="Arial;Helvetica;Sans-Serif" w:hAnsi="Arial;Helvetica;Sans-Serif"/>
                          <w:b/>
                          <w:i w:val="false"/>
                          <w:caps w:val="false"/>
                          <w:smallCaps w:val="false"/>
                          <w:color w:val="EE0027"/>
                          <w:sz w:val="20"/>
                        </w:rPr>
                        <w:t>Director Nomination Process</w:t>
                      </w:r>
                    </w:p>
                    <w:p>
                      <w:pPr>
                        <w:pStyle w:val="TextBody"/>
                        <w:rPr>
                          <w:caps w:val="false"/>
                          <w:smallCaps w:val="false"/>
                          <w:color w:val="EE0027"/>
                        </w:rPr>
                      </w:pPr>
                      <w:r>
                        <w:rPr>
                          <w:caps w:val="false"/>
                          <w:smallCaps w:val="false"/>
                          <w:color w:val="EE0027"/>
                        </w:rPr>
                        <w:t> </w:t>
                      </w:r>
                    </w:p>
                    <w:p>
                      <w:pPr>
                        <w:pStyle w:val="TextBody"/>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 xml:space="preserve">Selection of Director Nominees: </w:t>
                      </w:r>
                      <w:r>
                        <w:rPr>
                          <w:rFonts w:ascii="Arial;Helvetica;Sans-Serif" w:hAnsi="Arial;Helvetica;Sans-Serif"/>
                          <w:b w:val="false"/>
                          <w:i w:val="false"/>
                          <w:caps w:val="false"/>
                          <w:smallCaps w:val="false"/>
                          <w:color w:val="58595B"/>
                          <w:sz w:val="18"/>
                        </w:rPr>
                        <w:t xml:space="preserve">Our governance </w:t>
                      </w:r>
                      <w:r>
                        <w:rPr>
                          <w:rFonts w:ascii="Arial;Helvetica;Sans-Serif" w:hAnsi="Arial;Helvetica;Sans-Serif"/>
                          <w:b w:val="false"/>
                          <w:i w:val="false"/>
                          <w:caps w:val="false"/>
                          <w:smallCaps w:val="false"/>
                          <w:color w:val="58595B"/>
                          <w:spacing w:val="-3"/>
                          <w:sz w:val="18"/>
                        </w:rPr>
                        <w:t xml:space="preserve">committee </w:t>
                      </w:r>
                      <w:r>
                        <w:rPr>
                          <w:rFonts w:ascii="Arial;Helvetica;Sans-Serif" w:hAnsi="Arial;Helvetica;Sans-Serif"/>
                          <w:b w:val="false"/>
                          <w:i w:val="false"/>
                          <w:caps w:val="false"/>
                          <w:smallCaps w:val="false"/>
                          <w:color w:val="58595B"/>
                          <w:sz w:val="18"/>
                        </w:rPr>
                        <w:t xml:space="preserve">is </w:t>
                      </w:r>
                      <w:r>
                        <w:rPr>
                          <w:rFonts w:ascii="Arial;Helvetica;Sans-Serif" w:hAnsi="Arial;Helvetica;Sans-Serif"/>
                          <w:b w:val="false"/>
                          <w:i w:val="false"/>
                          <w:caps w:val="false"/>
                          <w:smallCaps w:val="false"/>
                          <w:color w:val="58595B"/>
                          <w:spacing w:val="-3"/>
                          <w:sz w:val="18"/>
                        </w:rPr>
                        <w:t xml:space="preserve">responsible for evaluating candidates for </w:t>
                      </w:r>
                      <w:r>
                        <w:rPr>
                          <w:rFonts w:ascii="Arial;Helvetica;Sans-Serif" w:hAnsi="Arial;Helvetica;Sans-Serif"/>
                          <w:b w:val="false"/>
                          <w:i w:val="false"/>
                          <w:caps w:val="false"/>
                          <w:smallCaps w:val="false"/>
                          <w:color w:val="58595B"/>
                          <w:sz w:val="18"/>
                        </w:rPr>
                        <w:t>election or appointment to our Board based on the criteria discussed above. The governance committee considers candidates identified by it, other directors, executive officers and shareholders, and, if desired, a third-party search firm. The committee selects nominees to recommend to the Board, which considers and makes the final selection of director nominees and directors to serve on its committees.</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addition, as outlined above, pursuant to the terms of the Cooperation Agreement, in March 2023 we agreed to nominate Mr. Gupta and agreed to add a second new director.</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Shareholder Recommendations of Nominees:</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 xml:space="preserve">governance committee </w:t>
                      </w:r>
                      <w:r>
                        <w:rPr>
                          <w:rFonts w:ascii="Arial;Helvetica;Sans-Serif" w:hAnsi="Arial;Helvetica;Sans-Serif"/>
                          <w:b w:val="false"/>
                          <w:i w:val="false"/>
                          <w:caps w:val="false"/>
                          <w:smallCaps w:val="false"/>
                          <w:color w:val="58595B"/>
                          <w:sz w:val="18"/>
                        </w:rPr>
                        <w:t xml:space="preserve">of the </w:t>
                      </w:r>
                      <w:r>
                        <w:rPr>
                          <w:rFonts w:ascii="Arial;Helvetica;Sans-Serif" w:hAnsi="Arial;Helvetica;Sans-Serif"/>
                          <w:b w:val="false"/>
                          <w:i w:val="false"/>
                          <w:caps w:val="false"/>
                          <w:smallCaps w:val="false"/>
                          <w:color w:val="58595B"/>
                          <w:spacing w:val="-3"/>
                          <w:sz w:val="18"/>
                        </w:rPr>
                        <w:t>Board considers recommen</w:t>
                      </w:r>
                      <w:r>
                        <w:rPr>
                          <w:rFonts w:ascii="Arial;Helvetica;Sans-Serif" w:hAnsi="Arial;Helvetica;Sans-Serif"/>
                          <w:b w:val="false"/>
                          <w:i w:val="false"/>
                          <w:caps w:val="false"/>
                          <w:smallCaps w:val="false"/>
                          <w:color w:val="58595B"/>
                          <w:sz w:val="18"/>
                        </w:rPr>
                        <w:t xml:space="preserve">dations </w:t>
                      </w:r>
                      <w:r>
                        <w:rPr>
                          <w:rFonts w:ascii="Arial;Helvetica;Sans-Serif" w:hAnsi="Arial;Helvetica;Sans-Serif"/>
                          <w:b w:val="false"/>
                          <w:i w:val="false"/>
                          <w:caps w:val="false"/>
                          <w:smallCaps w:val="false"/>
                          <w:color w:val="58595B"/>
                          <w:spacing w:val="-3"/>
                          <w:sz w:val="18"/>
                        </w:rPr>
                        <w:t xml:space="preserve">for candidates for </w:t>
                      </w:r>
                      <w:r>
                        <w:rPr>
                          <w:rFonts w:ascii="Arial;Helvetica;Sans-Serif" w:hAnsi="Arial;Helvetica;Sans-Serif"/>
                          <w:b w:val="false"/>
                          <w:i w:val="false"/>
                          <w:caps w:val="false"/>
                          <w:smallCaps w:val="false"/>
                          <w:color w:val="58595B"/>
                          <w:sz w:val="18"/>
                        </w:rPr>
                        <w:t xml:space="preserve">nomination to the </w:t>
                      </w:r>
                      <w:r>
                        <w:rPr>
                          <w:rFonts w:ascii="Arial;Helvetica;Sans-Serif" w:hAnsi="Arial;Helvetica;Sans-Serif"/>
                          <w:b w:val="false"/>
                          <w:i w:val="false"/>
                          <w:caps w:val="false"/>
                          <w:smallCaps w:val="false"/>
                          <w:color w:val="58595B"/>
                          <w:spacing w:val="-3"/>
                          <w:sz w:val="18"/>
                        </w:rPr>
                        <w:t>Board by share</w:t>
                      </w:r>
                      <w:r>
                        <w:rPr>
                          <w:rFonts w:ascii="Arial;Helvetica;Sans-Serif" w:hAnsi="Arial;Helvetica;Sans-Serif"/>
                          <w:b w:val="false"/>
                          <w:i w:val="false"/>
                          <w:caps w:val="false"/>
                          <w:smallCaps w:val="false"/>
                          <w:color w:val="58595B"/>
                          <w:sz w:val="18"/>
                        </w:rPr>
                        <w:t xml:space="preserve">holders. </w:t>
                      </w:r>
                      <w:r>
                        <w:rPr>
                          <w:rFonts w:ascii="Arial;Helvetica;Sans-Serif" w:hAnsi="Arial;Helvetica;Sans-Serif"/>
                          <w:b w:val="false"/>
                          <w:i w:val="false"/>
                          <w:caps w:val="false"/>
                          <w:smallCaps w:val="false"/>
                          <w:color w:val="58595B"/>
                          <w:spacing w:val="-2"/>
                          <w:sz w:val="18"/>
                        </w:rPr>
                        <w:t xml:space="preserve">The </w:t>
                      </w:r>
                      <w:r>
                        <w:rPr>
                          <w:rFonts w:ascii="Arial;Helvetica;Sans-Serif" w:hAnsi="Arial;Helvetica;Sans-Serif"/>
                          <w:b w:val="false"/>
                          <w:i w:val="false"/>
                          <w:caps w:val="false"/>
                          <w:smallCaps w:val="false"/>
                          <w:color w:val="58595B"/>
                          <w:spacing w:val="-3"/>
                          <w:sz w:val="18"/>
                        </w:rPr>
                        <w:t xml:space="preserve">governance committee </w:t>
                      </w:r>
                      <w:r>
                        <w:rPr>
                          <w:rFonts w:ascii="Arial;Helvetica;Sans-Serif" w:hAnsi="Arial;Helvetica;Sans-Serif"/>
                          <w:b w:val="false"/>
                          <w:i w:val="false"/>
                          <w:caps w:val="false"/>
                          <w:smallCaps w:val="false"/>
                          <w:color w:val="58595B"/>
                          <w:sz w:val="18"/>
                        </w:rPr>
                        <w:t xml:space="preserve">will consider and </w:t>
                      </w:r>
                      <w:r>
                        <w:rPr>
                          <w:rFonts w:ascii="Arial;Helvetica;Sans-Serif" w:hAnsi="Arial;Helvetica;Sans-Serif"/>
                          <w:b w:val="false"/>
                          <w:i w:val="false"/>
                          <w:caps w:val="false"/>
                          <w:smallCaps w:val="false"/>
                          <w:color w:val="58595B"/>
                          <w:spacing w:val="-3"/>
                          <w:sz w:val="18"/>
                        </w:rPr>
                        <w:t xml:space="preserve">evaluate candidates recommended by shareholders </w:t>
                      </w:r>
                      <w:r>
                        <w:rPr>
                          <w:rFonts w:ascii="Arial;Helvetica;Sans-Serif" w:hAnsi="Arial;Helvetica;Sans-Serif"/>
                          <w:b w:val="false"/>
                          <w:i w:val="false"/>
                          <w:caps w:val="false"/>
                          <w:smallCaps w:val="false"/>
                          <w:color w:val="58595B"/>
                          <w:sz w:val="18"/>
                        </w:rPr>
                        <w:t xml:space="preserve">in the same </w:t>
                      </w:r>
                      <w:r>
                        <w:rPr>
                          <w:rFonts w:ascii="Arial;Helvetica;Sans-Serif" w:hAnsi="Arial;Helvetica;Sans-Serif"/>
                          <w:b w:val="false"/>
                          <w:i w:val="false"/>
                          <w:caps w:val="false"/>
                          <w:smallCaps w:val="false"/>
                          <w:color w:val="58595B"/>
                          <w:spacing w:val="-2"/>
                          <w:sz w:val="18"/>
                        </w:rPr>
                        <w:t xml:space="preserve">manner </w:t>
                      </w:r>
                      <w:r>
                        <w:rPr>
                          <w:rFonts w:ascii="Arial;Helvetica;Sans-Serif" w:hAnsi="Arial;Helvetica;Sans-Serif"/>
                          <w:b w:val="false"/>
                          <w:i w:val="false"/>
                          <w:caps w:val="false"/>
                          <w:smallCaps w:val="false"/>
                          <w:color w:val="58595B"/>
                          <w:sz w:val="18"/>
                        </w:rPr>
                        <w:t xml:space="preserve">as </w:t>
                      </w:r>
                      <w:r>
                        <w:rPr>
                          <w:rFonts w:ascii="Arial;Helvetica;Sans-Serif" w:hAnsi="Arial;Helvetica;Sans-Serif"/>
                          <w:b w:val="false"/>
                          <w:i w:val="false"/>
                          <w:caps w:val="false"/>
                          <w:smallCaps w:val="false"/>
                          <w:color w:val="58595B"/>
                          <w:spacing w:val="-3"/>
                          <w:sz w:val="18"/>
                        </w:rPr>
                        <w:t xml:space="preserve">candidates recommended from </w:t>
                      </w:r>
                      <w:r>
                        <w:rPr>
                          <w:rFonts w:ascii="Arial;Helvetica;Sans-Serif" w:hAnsi="Arial;Helvetica;Sans-Serif"/>
                          <w:b w:val="false"/>
                          <w:i w:val="false"/>
                          <w:caps w:val="false"/>
                          <w:smallCaps w:val="false"/>
                          <w:color w:val="58595B"/>
                          <w:sz w:val="18"/>
                        </w:rPr>
                        <w:t xml:space="preserve">other </w:t>
                      </w:r>
                      <w:r>
                        <w:rPr>
                          <w:rFonts w:ascii="Arial;Helvetica;Sans-Serif" w:hAnsi="Arial;Helvetica;Sans-Serif"/>
                          <w:b w:val="false"/>
                          <w:i w:val="false"/>
                          <w:caps w:val="false"/>
                          <w:smallCaps w:val="false"/>
                          <w:color w:val="58595B"/>
                          <w:spacing w:val="-3"/>
                          <w:sz w:val="18"/>
                        </w:rPr>
                        <w:t xml:space="preserve">sources. If </w:t>
                      </w:r>
                      <w:r>
                        <w:rPr>
                          <w:rFonts w:ascii="Arial;Helvetica;Sans-Serif" w:hAnsi="Arial;Helvetica;Sans-Serif"/>
                          <w:b w:val="false"/>
                          <w:i w:val="false"/>
                          <w:caps w:val="false"/>
                          <w:smallCaps w:val="false"/>
                          <w:color w:val="58595B"/>
                          <w:sz w:val="18"/>
                        </w:rPr>
                        <w:t xml:space="preserve">the </w:t>
                      </w:r>
                      <w:r>
                        <w:rPr>
                          <w:rFonts w:ascii="Arial;Helvetica;Sans-Serif" w:hAnsi="Arial;Helvetica;Sans-Serif"/>
                          <w:b w:val="false"/>
                          <w:i w:val="false"/>
                          <w:caps w:val="false"/>
                          <w:smallCaps w:val="false"/>
                          <w:color w:val="58595B"/>
                          <w:spacing w:val="-3"/>
                          <w:sz w:val="18"/>
                        </w:rPr>
                        <w:t xml:space="preserve">Board </w:t>
                      </w:r>
                      <w:r>
                        <w:rPr>
                          <w:rFonts w:ascii="Arial;Helvetica;Sans-Serif" w:hAnsi="Arial;Helvetica;Sans-Serif"/>
                          <w:b w:val="false"/>
                          <w:i w:val="false"/>
                          <w:caps w:val="false"/>
                          <w:smallCaps w:val="false"/>
                          <w:color w:val="58595B"/>
                          <w:sz w:val="18"/>
                        </w:rPr>
                        <w:t xml:space="preserve">determines to nominate a </w:t>
                      </w:r>
                      <w:r>
                        <w:rPr>
                          <w:rFonts w:ascii="Arial;Helvetica;Sans-Serif" w:hAnsi="Arial;Helvetica;Sans-Serif"/>
                          <w:b w:val="false"/>
                          <w:i w:val="false"/>
                          <w:caps w:val="false"/>
                          <w:smallCaps w:val="false"/>
                          <w:color w:val="58595B"/>
                          <w:spacing w:val="-3"/>
                          <w:sz w:val="18"/>
                        </w:rPr>
                        <w:t xml:space="preserve">shareholder-recommended candidate </w:t>
                      </w:r>
                      <w:r>
                        <w:rPr>
                          <w:rFonts w:ascii="Arial;Helvetica;Sans-Serif" w:hAnsi="Arial;Helvetica;Sans-Serif"/>
                          <w:b w:val="false"/>
                          <w:i w:val="false"/>
                          <w:caps w:val="false"/>
                          <w:smallCaps w:val="false"/>
                          <w:color w:val="58595B"/>
                          <w:sz w:val="18"/>
                        </w:rPr>
                        <w:t xml:space="preserve">and </w:t>
                      </w:r>
                      <w:r>
                        <w:rPr>
                          <w:rFonts w:ascii="Arial;Helvetica;Sans-Serif" w:hAnsi="Arial;Helvetica;Sans-Serif"/>
                          <w:b w:val="false"/>
                          <w:i w:val="false"/>
                          <w:caps w:val="false"/>
                          <w:smallCaps w:val="false"/>
                          <w:color w:val="58595B"/>
                          <w:spacing w:val="-3"/>
                          <w:sz w:val="18"/>
                        </w:rPr>
                        <w:t xml:space="preserve">recommends </w:t>
                      </w:r>
                      <w:r>
                        <w:rPr>
                          <w:rFonts w:ascii="Arial;Helvetica;Sans-Serif" w:hAnsi="Arial;Helvetica;Sans-Serif"/>
                          <w:b w:val="false"/>
                          <w:i w:val="false"/>
                          <w:caps w:val="false"/>
                          <w:smallCaps w:val="false"/>
                          <w:color w:val="58595B"/>
                          <w:sz w:val="18"/>
                        </w:rPr>
                        <w:t xml:space="preserve">his or her election, then that nominee will be named in the </w:t>
                      </w:r>
                      <w:r>
                        <w:rPr>
                          <w:rFonts w:ascii="Arial;Helvetica;Sans-Serif" w:hAnsi="Arial;Helvetica;Sans-Serif"/>
                          <w:b w:val="false"/>
                          <w:i w:val="false"/>
                          <w:caps w:val="false"/>
                          <w:smallCaps w:val="false"/>
                          <w:color w:val="58595B"/>
                          <w:spacing w:val="-4"/>
                          <w:sz w:val="18"/>
                        </w:rPr>
                        <w:t xml:space="preserve">proxy </w:t>
                      </w:r>
                      <w:r>
                        <w:rPr>
                          <w:rFonts w:ascii="Arial;Helvetica;Sans-Serif" w:hAnsi="Arial;Helvetica;Sans-Serif"/>
                          <w:b w:val="false"/>
                          <w:i w:val="false"/>
                          <w:caps w:val="false"/>
                          <w:smallCaps w:val="false"/>
                          <w:color w:val="58595B"/>
                          <w:spacing w:val="-3"/>
                          <w:sz w:val="18"/>
                        </w:rPr>
                        <w:t xml:space="preserve">statement for </w:t>
                      </w:r>
                      <w:r>
                        <w:rPr>
                          <w:rFonts w:ascii="Arial;Helvetica;Sans-Serif" w:hAnsi="Arial;Helvetica;Sans-Serif"/>
                          <w:b w:val="false"/>
                          <w:i w:val="false"/>
                          <w:caps w:val="false"/>
                          <w:smallCaps w:val="false"/>
                          <w:color w:val="58595B"/>
                          <w:sz w:val="18"/>
                        </w:rPr>
                        <w:t xml:space="preserve">the next annual </w:t>
                      </w:r>
                      <w:r>
                        <w:rPr>
                          <w:rFonts w:ascii="Arial;Helvetica;Sans-Serif" w:hAnsi="Arial;Helvetica;Sans-Serif"/>
                          <w:b w:val="false"/>
                          <w:i w:val="false"/>
                          <w:caps w:val="false"/>
                          <w:smallCaps w:val="false"/>
                          <w:color w:val="58595B"/>
                          <w:spacing w:val="-3"/>
                          <w:sz w:val="18"/>
                        </w:rPr>
                        <w:t>meeting.</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Shareholder recommendations must be addressed to:</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Technologies, Inc.</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Attention: Corporate Secretary</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DIRECTOR CANDIDATE RECOMMENDATION</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3280 Peachtree Road, Suite 2400</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Atlanta, Georgia 30305</w:t>
                      </w:r>
                    </w:p>
                  </w:txbxContent>
                </v:textbox>
                <w10:wrap type="square" side="left"/>
              </v:rect>
            </w:pict>
          </mc:Fallback>
        </mc:AlternateContent>
      </w:r>
    </w:p>
    <w:p>
      <w:pPr>
        <w:pStyle w:val="TextBody"/>
        <w:rPr/>
      </w:pPr>
      <w:r>
        <w:rPr/>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22</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 xml:space="preserve">03. </w:t>
      </w:r>
      <w:r>
        <w:rPr>
          <w:rFonts w:ascii="Arial;Helvetica;Sans-Serif" w:hAnsi="Arial;Helvetica;Sans-Serif"/>
          <w:b w:val="false"/>
          <w:i w:val="false"/>
          <w:caps w:val="false"/>
          <w:smallCaps w:val="false"/>
          <w:color w:val="DC0021"/>
          <w:sz w:val="20"/>
        </w:rPr>
        <w:t>CORPORATE GOVERNANCE AND BOARD MATTERS</w:t>
      </w:r>
    </w:p>
    <w:p>
      <w:pPr>
        <w:pStyle w:val="TextBody"/>
        <w:rPr>
          <w:caps w:val="false"/>
          <w:smallCaps w:val="false"/>
        </w:rPr>
      </w:pPr>
      <w:r>
        <w:rPr>
          <w:caps w:val="false"/>
          <w:smallCaps w:val="false"/>
        </w:rPr>
        <w:t> </w:t>
      </w:r>
    </w:p>
    <w:p>
      <w:pPr>
        <w:pStyle w:val="TextBody"/>
        <w:spacing w:before="0" w:after="0"/>
        <w:rPr/>
      </w:pPr>
      <w:r>
        <w:rPr/>
      </w:r>
      <w:r>
        <mc:AlternateContent>
          <mc:Choice Requires="wps">
            <w:drawing>
              <wp:anchor behindDoc="0" distT="0" distB="0" distL="0" distR="0" simplePos="0" locked="0" layoutInCell="1" allowOverlap="1" relativeHeight="2">
                <wp:simplePos x="0" y="0"/>
                <wp:positionH relativeFrom="column">
                  <wp:align>right</wp:align>
                </wp:positionH>
                <wp:positionV relativeFrom="line">
                  <wp:posOffset>635</wp:posOffset>
                </wp:positionV>
                <wp:extent cx="3110230" cy="6162675"/>
                <wp:effectExtent l="0" t="0" r="0" b="0"/>
                <wp:wrapSquare wrapText="largest"/>
                <wp:docPr id="285" name="Frame35"/>
                <a:graphic xmlns:a="http://schemas.openxmlformats.org/drawingml/2006/main">
                  <a:graphicData uri="http://schemas.microsoft.com/office/word/2010/wordprocessingShape">
                    <wps:wsp>
                      <wps:cNvSpPr txBox="1"/>
                      <wps:spPr>
                        <a:xfrm>
                          <a:off x="0" y="0"/>
                          <a:ext cx="3110230" cy="6162675"/>
                        </a:xfrm>
                        <a:prstGeom prst="rect"/>
                      </wps:spPr>
                      <wps:txbx>
                        <w:txbxContent>
                          <w:p>
                            <w:pPr>
                              <w:pStyle w:val="TextBody"/>
                              <w:rPr>
                                <w:rFonts w:ascii="Arial;Helvetica;Sans-Serif" w:hAnsi="Arial;Helvetica;Sans-Serif"/>
                                <w:b/>
                                <w:i w:val="false"/>
                                <w:caps w:val="false"/>
                                <w:smallCaps w:val="false"/>
                                <w:color w:val="EE0027"/>
                                <w:sz w:val="20"/>
                              </w:rPr>
                            </w:pPr>
                            <w:bookmarkStart w:id="66" w:name="a037"/>
                            <w:bookmarkEnd w:id="66"/>
                            <w:r>
                              <w:rPr>
                                <w:rFonts w:ascii="Arial;Helvetica;Sans-Serif" w:hAnsi="Arial;Helvetica;Sans-Serif"/>
                                <w:b/>
                                <w:i w:val="false"/>
                                <w:caps w:val="false"/>
                                <w:smallCaps w:val="false"/>
                                <w:color w:val="EE0027"/>
                                <w:sz w:val="20"/>
                              </w:rPr>
                              <w:t>Governance Policies</w:t>
                            </w:r>
                          </w:p>
                          <w:p>
                            <w:pPr>
                              <w:pStyle w:val="TextBody"/>
                              <w:rPr>
                                <w:caps w:val="false"/>
                                <w:smallCaps w:val="false"/>
                                <w:color w:val="EE0027"/>
                              </w:rPr>
                            </w:pPr>
                            <w:r>
                              <w:rPr>
                                <w:caps w:val="false"/>
                                <w:smallCaps w:val="false"/>
                                <w:color w:val="EE0027"/>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3"/>
                                <w:sz w:val="18"/>
                              </w:rPr>
                              <w:t xml:space="preserve">Complete </w:t>
                            </w:r>
                            <w:r>
                              <w:rPr>
                                <w:rFonts w:ascii="Arial;Helvetica;Sans-Serif" w:hAnsi="Arial;Helvetica;Sans-Serif"/>
                                <w:b w:val="false"/>
                                <w:i w:val="false"/>
                                <w:caps w:val="false"/>
                                <w:smallCaps w:val="false"/>
                                <w:color w:val="58595B"/>
                                <w:spacing w:val="-2"/>
                                <w:sz w:val="18"/>
                              </w:rPr>
                              <w:t xml:space="preserve">copies </w:t>
                            </w:r>
                            <w:r>
                              <w:rPr>
                                <w:rFonts w:ascii="Arial;Helvetica;Sans-Serif" w:hAnsi="Arial;Helvetica;Sans-Serif"/>
                                <w:b w:val="false"/>
                                <w:i w:val="false"/>
                                <w:caps w:val="false"/>
                                <w:smallCaps w:val="false"/>
                                <w:color w:val="58595B"/>
                                <w:sz w:val="18"/>
                              </w:rPr>
                              <w:t xml:space="preserve">of our </w:t>
                            </w:r>
                            <w:r>
                              <w:rPr>
                                <w:rFonts w:ascii="Arial;Helvetica;Sans-Serif" w:hAnsi="Arial;Helvetica;Sans-Serif"/>
                                <w:b w:val="false"/>
                                <w:i w:val="false"/>
                                <w:caps w:val="false"/>
                                <w:smallCaps w:val="false"/>
                                <w:color w:val="58595B"/>
                                <w:spacing w:val="-3"/>
                                <w:sz w:val="18"/>
                              </w:rPr>
                              <w:t xml:space="preserve">corporate governance </w:t>
                            </w:r>
                            <w:r>
                              <w:rPr>
                                <w:rFonts w:ascii="Arial;Helvetica;Sans-Serif" w:hAnsi="Arial;Helvetica;Sans-Serif"/>
                                <w:b w:val="false"/>
                                <w:i w:val="false"/>
                                <w:caps w:val="false"/>
                                <w:smallCaps w:val="false"/>
                                <w:color w:val="58595B"/>
                                <w:sz w:val="18"/>
                              </w:rPr>
                              <w:t xml:space="preserve">guidelines, </w:t>
                            </w:r>
                            <w:r>
                              <w:rPr>
                                <w:rFonts w:ascii="Arial;Helvetica;Sans-Serif" w:hAnsi="Arial;Helvetica;Sans-Serif"/>
                                <w:b w:val="false"/>
                                <w:i w:val="false"/>
                                <w:caps w:val="false"/>
                                <w:smallCaps w:val="false"/>
                                <w:color w:val="58595B"/>
                                <w:spacing w:val="-3"/>
                                <w:sz w:val="18"/>
                              </w:rPr>
                              <w:t xml:space="preserve">committee </w:t>
                            </w:r>
                            <w:r>
                              <w:rPr>
                                <w:rFonts w:ascii="Arial;Helvetica;Sans-Serif" w:hAnsi="Arial;Helvetica;Sans-Serif"/>
                                <w:b w:val="false"/>
                                <w:i w:val="false"/>
                                <w:caps w:val="false"/>
                                <w:smallCaps w:val="false"/>
                                <w:color w:val="58595B"/>
                                <w:sz w:val="18"/>
                              </w:rPr>
                              <w:t xml:space="preserve">charters and code of conduct </w:t>
                            </w:r>
                            <w:r>
                              <w:rPr>
                                <w:rFonts w:ascii="Arial;Helvetica;Sans-Serif" w:hAnsi="Arial;Helvetica;Sans-Serif"/>
                                <w:b w:val="false"/>
                                <w:i w:val="false"/>
                                <w:caps w:val="false"/>
                                <w:smallCaps w:val="false"/>
                                <w:color w:val="58595B"/>
                                <w:spacing w:val="-3"/>
                                <w:sz w:val="18"/>
                              </w:rPr>
                              <w:t xml:space="preserve">are available </w:t>
                            </w:r>
                            <w:r>
                              <w:rPr>
                                <w:rFonts w:ascii="Arial;Helvetica;Sans-Serif" w:hAnsi="Arial;Helvetica;Sans-Serif"/>
                                <w:b w:val="false"/>
                                <w:i w:val="false"/>
                                <w:caps w:val="false"/>
                                <w:smallCaps w:val="false"/>
                                <w:color w:val="58595B"/>
                                <w:sz w:val="18"/>
                              </w:rPr>
                              <w:t xml:space="preserve">on the </w:t>
                            </w:r>
                            <w:r>
                              <w:rPr>
                                <w:rFonts w:ascii="Arial;Helvetica;Sans-Serif" w:hAnsi="Arial;Helvetica;Sans-Serif"/>
                                <w:b w:val="false"/>
                                <w:i w:val="false"/>
                                <w:caps w:val="false"/>
                                <w:smallCaps w:val="false"/>
                                <w:color w:val="58595B"/>
                                <w:spacing w:val="-3"/>
                                <w:sz w:val="18"/>
                              </w:rPr>
                              <w:t>Corporate Governance</w:t>
                            </w:r>
                            <w:r>
                              <w:rPr>
                                <w:rFonts w:ascii="Arial;Helvetica;Sans-Serif" w:hAnsi="Arial;Helvetica;Sans-Serif"/>
                                <w:b w:val="false"/>
                                <w:i w:val="false"/>
                                <w:caps w:val="false"/>
                                <w:smallCaps w:val="false"/>
                                <w:color w:val="58595B"/>
                                <w:sz w:val="18"/>
                              </w:rPr>
                              <w:t xml:space="preserve"> section of our </w:t>
                            </w:r>
                            <w:r>
                              <w:rPr>
                                <w:rFonts w:ascii="Arial;Helvetica;Sans-Serif" w:hAnsi="Arial;Helvetica;Sans-Serif"/>
                                <w:b w:val="false"/>
                                <w:i w:val="false"/>
                                <w:caps w:val="false"/>
                                <w:smallCaps w:val="false"/>
                                <w:color w:val="58595B"/>
                                <w:spacing w:val="-3"/>
                                <w:sz w:val="18"/>
                              </w:rPr>
                              <w:t>website,</w:t>
                            </w:r>
                            <w:r>
                              <w:rPr>
                                <w:rFonts w:ascii="Arial;Helvetica;Sans-Serif" w:hAnsi="Arial;Helvetica;Sans-Serif"/>
                                <w:b w:val="false"/>
                                <w:i w:val="false"/>
                                <w:caps w:val="false"/>
                                <w:smallCaps w:val="false"/>
                                <w:color w:val="58595B"/>
                                <w:sz w:val="18"/>
                              </w:rPr>
                              <w:t xml:space="preserve"> at </w:t>
                            </w:r>
                            <w:r>
                              <w:rPr>
                                <w:rFonts w:ascii="Arial;Helvetica;Sans-Serif" w:hAnsi="Arial;Helvetica;Sans-Serif"/>
                                <w:b w:val="false"/>
                                <w:i w:val="false"/>
                                <w:caps w:val="false"/>
                                <w:smallCaps w:val="false"/>
                                <w:color w:val="58595B"/>
                                <w:spacing w:val="-8"/>
                                <w:sz w:val="18"/>
                              </w:rPr>
                              <w:t>https://</w:t>
                            </w:r>
                            <w:r>
                              <w:rPr>
                                <w:rFonts w:ascii="Arial;Helvetica;Sans-Serif" w:hAnsi="Arial;Helvetica;Sans-Serif"/>
                                <w:b w:val="false"/>
                                <w:i w:val="false"/>
                                <w:caps w:val="false"/>
                                <w:smallCaps w:val="false"/>
                                <w:color w:val="58595B"/>
                                <w:spacing w:val="-3"/>
                                <w:sz w:val="18"/>
                              </w:rPr>
                              <w:t>investor.FLEETCOR.com.</w:t>
                            </w:r>
                            <w:r>
                              <w:rPr>
                                <w:rFonts w:ascii="Arial;Helvetica;Sans-Serif" w:hAnsi="Arial;Helvetica;Sans-Serif"/>
                                <w:b w:val="false"/>
                                <w:i w:val="false"/>
                                <w:caps w:val="false"/>
                                <w:smallCaps w:val="false"/>
                                <w:color w:val="58595B"/>
                                <w:sz w:val="18"/>
                              </w:rPr>
                              <w:t xml:space="preserve"> In </w:t>
                            </w:r>
                            <w:r>
                              <w:rPr>
                                <w:rFonts w:ascii="Arial;Helvetica;Sans-Serif" w:hAnsi="Arial;Helvetica;Sans-Serif"/>
                                <w:b w:val="false"/>
                                <w:i w:val="false"/>
                                <w:caps w:val="false"/>
                                <w:smallCaps w:val="false"/>
                                <w:color w:val="58595B"/>
                                <w:spacing w:val="-3"/>
                                <w:sz w:val="18"/>
                              </w:rPr>
                              <w:t xml:space="preserve">accordance </w:t>
                            </w:r>
                            <w:r>
                              <w:rPr>
                                <w:rFonts w:ascii="Arial;Helvetica;Sans-Serif" w:hAnsi="Arial;Helvetica;Sans-Serif"/>
                                <w:b w:val="false"/>
                                <w:i w:val="false"/>
                                <w:caps w:val="false"/>
                                <w:smallCaps w:val="false"/>
                                <w:color w:val="58595B"/>
                                <w:sz w:val="18"/>
                              </w:rPr>
                              <w:t xml:space="preserve">with </w:t>
                            </w:r>
                            <w:r>
                              <w:rPr>
                                <w:rFonts w:ascii="Arial;Helvetica;Sans-Serif" w:hAnsi="Arial;Helvetica;Sans-Serif"/>
                                <w:b w:val="false"/>
                                <w:i w:val="false"/>
                                <w:caps w:val="false"/>
                                <w:smallCaps w:val="false"/>
                                <w:color w:val="58595B"/>
                                <w:spacing w:val="-3"/>
                                <w:sz w:val="18"/>
                              </w:rPr>
                              <w:t>NYSE</w:t>
                            </w:r>
                            <w:r>
                              <w:rPr>
                                <w:rFonts w:ascii="Arial;Helvetica;Sans-Serif" w:hAnsi="Arial;Helvetica;Sans-Serif"/>
                                <w:b w:val="false"/>
                                <w:i w:val="false"/>
                                <w:caps w:val="false"/>
                                <w:smallCaps w:val="false"/>
                                <w:color w:val="58595B"/>
                                <w:sz w:val="18"/>
                              </w:rPr>
                              <w:t xml:space="preserve"> rules, we </w:t>
                            </w:r>
                            <w:r>
                              <w:rPr>
                                <w:rFonts w:ascii="Arial;Helvetica;Sans-Serif" w:hAnsi="Arial;Helvetica;Sans-Serif"/>
                                <w:b w:val="false"/>
                                <w:i w:val="false"/>
                                <w:caps w:val="false"/>
                                <w:smallCaps w:val="false"/>
                                <w:color w:val="58595B"/>
                                <w:spacing w:val="-3"/>
                                <w:sz w:val="18"/>
                              </w:rPr>
                              <w:t>may</w:t>
                            </w:r>
                            <w:r>
                              <w:rPr>
                                <w:rFonts w:ascii="Arial;Helvetica;Sans-Serif" w:hAnsi="Arial;Helvetica;Sans-Serif"/>
                                <w:b w:val="false"/>
                                <w:i w:val="false"/>
                                <w:caps w:val="false"/>
                                <w:smallCaps w:val="false"/>
                                <w:color w:val="58595B"/>
                                <w:sz w:val="18"/>
                              </w:rPr>
                              <w:t xml:space="preserve"> also </w:t>
                            </w:r>
                            <w:r>
                              <w:rPr>
                                <w:rFonts w:ascii="Arial;Helvetica;Sans-Serif" w:hAnsi="Arial;Helvetica;Sans-Serif"/>
                                <w:b w:val="false"/>
                                <w:i w:val="false"/>
                                <w:caps w:val="false"/>
                                <w:smallCaps w:val="false"/>
                                <w:color w:val="58595B"/>
                                <w:spacing w:val="-3"/>
                                <w:sz w:val="18"/>
                              </w:rPr>
                              <w:t>make disclosure</w:t>
                            </w:r>
                            <w:r>
                              <w:rPr>
                                <w:rFonts w:ascii="Arial;Helvetica;Sans-Serif" w:hAnsi="Arial;Helvetica;Sans-Serif"/>
                                <w:b w:val="false"/>
                                <w:i w:val="false"/>
                                <w:caps w:val="false"/>
                                <w:smallCaps w:val="false"/>
                                <w:color w:val="58595B"/>
                                <w:sz w:val="18"/>
                              </w:rPr>
                              <w:t xml:space="preserve"> of the </w:t>
                            </w:r>
                            <w:r>
                              <w:rPr>
                                <w:rFonts w:ascii="Arial;Helvetica;Sans-Serif" w:hAnsi="Arial;Helvetica;Sans-Serif"/>
                                <w:b w:val="false"/>
                                <w:i w:val="false"/>
                                <w:caps w:val="false"/>
                                <w:smallCaps w:val="false"/>
                                <w:color w:val="58595B"/>
                                <w:spacing w:val="-3"/>
                                <w:sz w:val="18"/>
                              </w:rPr>
                              <w:t>following</w:t>
                            </w:r>
                            <w:r>
                              <w:rPr>
                                <w:rFonts w:ascii="Arial;Helvetica;Sans-Serif" w:hAnsi="Arial;Helvetica;Sans-Serif"/>
                                <w:b w:val="false"/>
                                <w:i w:val="false"/>
                                <w:caps w:val="false"/>
                                <w:smallCaps w:val="false"/>
                                <w:color w:val="58595B"/>
                                <w:sz w:val="18"/>
                              </w:rPr>
                              <w:t xml:space="preserve"> on our </w:t>
                            </w:r>
                            <w:r>
                              <w:rPr>
                                <w:rFonts w:ascii="Arial;Helvetica;Sans-Serif" w:hAnsi="Arial;Helvetica;Sans-Serif"/>
                                <w:b w:val="false"/>
                                <w:i w:val="false"/>
                                <w:caps w:val="false"/>
                                <w:smallCaps w:val="false"/>
                                <w:color w:val="58595B"/>
                                <w:spacing w:val="-3"/>
                                <w:sz w:val="18"/>
                              </w:rPr>
                              <w:t>website: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86"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Image155" descr=""/>
                                                <pic:cNvPicPr>
                                                  <a:picLocks noChangeAspect="1" noChangeArrowheads="1"/>
                                                </pic:cNvPicPr>
                                              </pic:nvPicPr>
                                              <pic:blipFill>
                                                <a:blip r:embed="rId15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the method </w:t>
                                  </w:r>
                                  <w:r>
                                    <w:rPr>
                                      <w:rFonts w:ascii="Arial;Helvetica;Sans-Serif" w:hAnsi="Arial;Helvetica;Sans-Serif"/>
                                      <w:color w:val="58595B"/>
                                      <w:spacing w:val="-3"/>
                                      <w:sz w:val="18"/>
                                    </w:rPr>
                                    <w:t xml:space="preserve">for interested </w:t>
                                  </w:r>
                                  <w:r>
                                    <w:rPr>
                                      <w:rFonts w:ascii="Arial;Helvetica;Sans-Serif" w:hAnsi="Arial;Helvetica;Sans-Serif"/>
                                      <w:color w:val="58595B"/>
                                      <w:sz w:val="18"/>
                                    </w:rPr>
                                    <w:t xml:space="preserve">parties to </w:t>
                                  </w:r>
                                  <w:r>
                                    <w:rPr>
                                      <w:rFonts w:ascii="Arial;Helvetica;Sans-Serif" w:hAnsi="Arial;Helvetica;Sans-Serif"/>
                                      <w:color w:val="58595B"/>
                                      <w:spacing w:val="-3"/>
                                      <w:sz w:val="18"/>
                                    </w:rPr>
                                    <w:t xml:space="preserve">communicate directly </w:t>
                                  </w:r>
                                  <w:r>
                                    <w:rPr>
                                      <w:rFonts w:ascii="Arial;Helvetica;Sans-Serif" w:hAnsi="Arial;Helvetica;Sans-Serif"/>
                                      <w:color w:val="58595B"/>
                                      <w:sz w:val="18"/>
                                    </w:rPr>
                                    <w:t xml:space="preserve">with the </w:t>
                                  </w:r>
                                  <w:r>
                                    <w:rPr>
                                      <w:rFonts w:ascii="Arial;Helvetica;Sans-Serif" w:hAnsi="Arial;Helvetica;Sans-Serif"/>
                                      <w:color w:val="58595B"/>
                                      <w:spacing w:val="-3"/>
                                      <w:sz w:val="18"/>
                                    </w:rPr>
                                    <w:t xml:space="preserve">presiding director </w:t>
                                  </w:r>
                                  <w:r>
                                    <w:rPr>
                                      <w:rFonts w:ascii="Arial;Helvetica;Sans-Serif" w:hAnsi="Arial;Helvetica;Sans-Serif"/>
                                      <w:color w:val="58595B"/>
                                      <w:sz w:val="18"/>
                                    </w:rPr>
                                    <w:t xml:space="preserve">or with the independent </w:t>
                                  </w:r>
                                  <w:r>
                                    <w:rPr>
                                      <w:rFonts w:ascii="Arial;Helvetica;Sans-Serif" w:hAnsi="Arial;Helvetica;Sans-Serif"/>
                                      <w:color w:val="58595B"/>
                                      <w:spacing w:val="-3"/>
                                      <w:sz w:val="18"/>
                                    </w:rPr>
                                    <w:t xml:space="preserve">directors </w:t>
                                  </w:r>
                                  <w:r>
                                    <w:rPr>
                                      <w:rFonts w:ascii="Arial;Helvetica;Sans-Serif" w:hAnsi="Arial;Helvetica;Sans-Serif"/>
                                      <w:color w:val="58595B"/>
                                      <w:sz w:val="18"/>
                                    </w:rPr>
                                    <w:t xml:space="preserve">as a </w:t>
                                  </w:r>
                                  <w:r>
                                    <w:rPr>
                                      <w:rFonts w:ascii="Arial;Helvetica;Sans-Serif" w:hAnsi="Arial;Helvetica;Sans-Serif"/>
                                      <w:color w:val="58595B"/>
                                      <w:spacing w:val="-3"/>
                                      <w:sz w:val="18"/>
                                    </w:rPr>
                                    <w:t>group</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87"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 name="Image156" descr=""/>
                                                <pic:cNvPicPr>
                                                  <a:picLocks noChangeAspect="1" noChangeArrowheads="1"/>
                                                </pic:cNvPicPr>
                                              </pic:nvPicPr>
                                              <pic:blipFill>
                                                <a:blip r:embed="rId157"/>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the identity of </w:t>
                                  </w:r>
                                  <w:r>
                                    <w:rPr>
                                      <w:rFonts w:ascii="Arial;Helvetica;Sans-Serif" w:hAnsi="Arial;Helvetica;Sans-Serif"/>
                                      <w:color w:val="58595B"/>
                                      <w:spacing w:val="-3"/>
                                      <w:sz w:val="18"/>
                                    </w:rPr>
                                    <w:t xml:space="preserve">any </w:t>
                                  </w:r>
                                  <w:r>
                                    <w:rPr>
                                      <w:rFonts w:ascii="Arial;Helvetica;Sans-Serif" w:hAnsi="Arial;Helvetica;Sans-Serif"/>
                                      <w:color w:val="58595B"/>
                                      <w:sz w:val="18"/>
                                    </w:rPr>
                                    <w:t xml:space="preserve">member of our audit </w:t>
                                  </w:r>
                                  <w:r>
                                    <w:rPr>
                                      <w:rFonts w:ascii="Arial;Helvetica;Sans-Serif" w:hAnsi="Arial;Helvetica;Sans-Serif"/>
                                      <w:color w:val="58595B"/>
                                      <w:spacing w:val="-3"/>
                                      <w:sz w:val="18"/>
                                    </w:rPr>
                                    <w:t xml:space="preserve">committee </w:t>
                                  </w:r>
                                  <w:r>
                                    <w:rPr>
                                      <w:rFonts w:ascii="Arial;Helvetica;Sans-Serif" w:hAnsi="Arial;Helvetica;Sans-Serif"/>
                                      <w:color w:val="58595B"/>
                                      <w:spacing w:val="-2"/>
                                      <w:sz w:val="18"/>
                                    </w:rPr>
                                    <w:t xml:space="preserve">who </w:t>
                                  </w:r>
                                  <w:r>
                                    <w:rPr>
                                      <w:rFonts w:ascii="Arial;Helvetica;Sans-Serif" w:hAnsi="Arial;Helvetica;Sans-Serif"/>
                                      <w:color w:val="58595B"/>
                                      <w:sz w:val="18"/>
                                    </w:rPr>
                                    <w:t xml:space="preserve">also </w:t>
                                  </w:r>
                                  <w:r>
                                    <w:rPr>
                                      <w:rFonts w:ascii="Arial;Helvetica;Sans-Serif" w:hAnsi="Arial;Helvetica;Sans-Serif"/>
                                      <w:color w:val="58595B"/>
                                      <w:spacing w:val="-3"/>
                                      <w:sz w:val="18"/>
                                    </w:rPr>
                                    <w:t xml:space="preserve">serves </w:t>
                                  </w:r>
                                  <w:r>
                                    <w:rPr>
                                      <w:rFonts w:ascii="Arial;Helvetica;Sans-Serif" w:hAnsi="Arial;Helvetica;Sans-Serif"/>
                                      <w:color w:val="58595B"/>
                                      <w:sz w:val="18"/>
                                    </w:rPr>
                                    <w:t xml:space="preserve">on the audit </w:t>
                                  </w:r>
                                  <w:r>
                                    <w:rPr>
                                      <w:rFonts w:ascii="Arial;Helvetica;Sans-Serif" w:hAnsi="Arial;Helvetica;Sans-Serif"/>
                                      <w:color w:val="58595B"/>
                                      <w:spacing w:val="-3"/>
                                      <w:sz w:val="18"/>
                                    </w:rPr>
                                    <w:t xml:space="preserve">committees </w:t>
                                  </w:r>
                                  <w:r>
                                    <w:rPr>
                                      <w:rFonts w:ascii="Arial;Helvetica;Sans-Serif" w:hAnsi="Arial;Helvetica;Sans-Serif"/>
                                      <w:color w:val="58595B"/>
                                      <w:sz w:val="18"/>
                                    </w:rPr>
                                    <w:t xml:space="preserve">of </w:t>
                                  </w:r>
                                  <w:r>
                                    <w:rPr>
                                      <w:rFonts w:ascii="Arial;Helvetica;Sans-Serif" w:hAnsi="Arial;Helvetica;Sans-Serif"/>
                                      <w:color w:val="58595B"/>
                                      <w:spacing w:val="-3"/>
                                      <w:sz w:val="18"/>
                                    </w:rPr>
                                    <w:t xml:space="preserve">more </w:t>
                                  </w:r>
                                  <w:r>
                                    <w:rPr>
                                      <w:rFonts w:ascii="Arial;Helvetica;Sans-Serif" w:hAnsi="Arial;Helvetica;Sans-Serif"/>
                                      <w:color w:val="58595B"/>
                                      <w:sz w:val="18"/>
                                    </w:rPr>
                                    <w:t xml:space="preserve">than </w:t>
                                  </w:r>
                                  <w:r>
                                    <w:rPr>
                                      <w:rFonts w:ascii="Arial;Helvetica;Sans-Serif" w:hAnsi="Arial;Helvetica;Sans-Serif"/>
                                      <w:color w:val="58595B"/>
                                      <w:spacing w:val="-3"/>
                                      <w:sz w:val="18"/>
                                    </w:rPr>
                                    <w:t xml:space="preserve">three </w:t>
                                  </w:r>
                                  <w:r>
                                    <w:rPr>
                                      <w:rFonts w:ascii="Arial;Helvetica;Sans-Serif" w:hAnsi="Arial;Helvetica;Sans-Serif"/>
                                      <w:color w:val="58595B"/>
                                      <w:sz w:val="18"/>
                                    </w:rPr>
                                    <w:t xml:space="preserve">public </w:t>
                                  </w:r>
                                  <w:r>
                                    <w:rPr>
                                      <w:rFonts w:ascii="Arial;Helvetica;Sans-Serif" w:hAnsi="Arial;Helvetica;Sans-Serif"/>
                                      <w:color w:val="58595B"/>
                                      <w:spacing w:val="-2"/>
                                      <w:sz w:val="18"/>
                                    </w:rPr>
                                    <w:t xml:space="preserve">companies </w:t>
                                  </w:r>
                                  <w:r>
                                    <w:rPr>
                                      <w:rFonts w:ascii="Arial;Helvetica;Sans-Serif" w:hAnsi="Arial;Helvetica;Sans-Serif"/>
                                      <w:color w:val="58595B"/>
                                      <w:sz w:val="18"/>
                                    </w:rPr>
                                    <w:t xml:space="preserve">and a </w:t>
                                  </w:r>
                                  <w:r>
                                    <w:rPr>
                                      <w:rFonts w:ascii="Arial;Helvetica;Sans-Serif" w:hAnsi="Arial;Helvetica;Sans-Serif"/>
                                      <w:color w:val="58595B"/>
                                      <w:spacing w:val="-3"/>
                                      <w:sz w:val="18"/>
                                    </w:rPr>
                                    <w:t xml:space="preserve">determination by </w:t>
                                  </w:r>
                                  <w:r>
                                    <w:rPr>
                                      <w:rFonts w:ascii="Arial;Helvetica;Sans-Serif" w:hAnsi="Arial;Helvetica;Sans-Serif"/>
                                      <w:color w:val="58595B"/>
                                      <w:sz w:val="18"/>
                                    </w:rPr>
                                    <w:t xml:space="preserve">our </w:t>
                                  </w:r>
                                  <w:r>
                                    <w:rPr>
                                      <w:rFonts w:ascii="Arial;Helvetica;Sans-Serif" w:hAnsi="Arial;Helvetica;Sans-Serif"/>
                                      <w:color w:val="58595B"/>
                                      <w:spacing w:val="-3"/>
                                      <w:sz w:val="18"/>
                                    </w:rPr>
                                    <w:t xml:space="preserve">Board </w:t>
                                  </w:r>
                                  <w:r>
                                    <w:rPr>
                                      <w:rFonts w:ascii="Arial;Helvetica;Sans-Serif" w:hAnsi="Arial;Helvetica;Sans-Serif"/>
                                      <w:color w:val="58595B"/>
                                      <w:sz w:val="18"/>
                                    </w:rPr>
                                    <w:t xml:space="preserve">that such simultaneous service will </w:t>
                                  </w:r>
                                  <w:r>
                                    <w:rPr>
                                      <w:rFonts w:ascii="Arial;Helvetica;Sans-Serif" w:hAnsi="Arial;Helvetica;Sans-Serif"/>
                                      <w:color w:val="58595B"/>
                                      <w:spacing w:val="-2"/>
                                      <w:sz w:val="18"/>
                                    </w:rPr>
                                    <w:t xml:space="preserve">not </w:t>
                                  </w:r>
                                  <w:r>
                                    <w:rPr>
                                      <w:rFonts w:ascii="Arial;Helvetica;Sans-Serif" w:hAnsi="Arial;Helvetica;Sans-Serif"/>
                                      <w:color w:val="58595B"/>
                                      <w:sz w:val="18"/>
                                    </w:rPr>
                                    <w:t xml:space="preserve">impair the ability of such member to </w:t>
                                  </w:r>
                                  <w:r>
                                    <w:rPr>
                                      <w:rFonts w:ascii="Arial;Helvetica;Sans-Serif" w:hAnsi="Arial;Helvetica;Sans-Serif"/>
                                      <w:color w:val="58595B"/>
                                      <w:spacing w:val="-3"/>
                                      <w:sz w:val="18"/>
                                    </w:rPr>
                                    <w:t xml:space="preserve">effectively serve </w:t>
                                  </w:r>
                                  <w:r>
                                    <w:rPr>
                                      <w:rFonts w:ascii="Arial;Helvetica;Sans-Serif" w:hAnsi="Arial;Helvetica;Sans-Serif"/>
                                      <w:color w:val="58595B"/>
                                      <w:sz w:val="18"/>
                                    </w:rPr>
                                    <w:t xml:space="preserve">on our audit </w:t>
                                  </w:r>
                                  <w:r>
                                    <w:rPr>
                                      <w:rFonts w:ascii="Arial;Helvetica;Sans-Serif" w:hAnsi="Arial;Helvetica;Sans-Serif"/>
                                      <w:color w:val="58595B"/>
                                      <w:spacing w:val="-3"/>
                                      <w:sz w:val="18"/>
                                    </w:rPr>
                                    <w:t>committee</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88"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 name="Image157" descr=""/>
                                                <pic:cNvPicPr>
                                                  <a:picLocks noChangeAspect="1" noChangeArrowheads="1"/>
                                                </pic:cNvPicPr>
                                              </pic:nvPicPr>
                                              <pic:blipFill>
                                                <a:blip r:embed="rId158"/>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contributions </w:t>
                                  </w:r>
                                  <w:r>
                                    <w:rPr>
                                      <w:rFonts w:ascii="Arial;Helvetica;Sans-Serif" w:hAnsi="Arial;Helvetica;Sans-Serif"/>
                                      <w:color w:val="58595B"/>
                                      <w:spacing w:val="-3"/>
                                      <w:sz w:val="18"/>
                                    </w:rPr>
                                    <w:t xml:space="preserve">by </w:t>
                                  </w:r>
                                  <w:r>
                                    <w:rPr>
                                      <w:rFonts w:ascii="Arial;Helvetica;Sans-Serif" w:hAnsi="Arial;Helvetica;Sans-Serif"/>
                                      <w:color w:val="58595B"/>
                                      <w:sz w:val="18"/>
                                    </w:rPr>
                                    <w:t xml:space="preserve">us to a tax </w:t>
                                  </w:r>
                                  <w:r>
                                    <w:rPr>
                                      <w:rFonts w:ascii="Arial;Helvetica;Sans-Serif" w:hAnsi="Arial;Helvetica;Sans-Serif"/>
                                      <w:color w:val="58595B"/>
                                      <w:spacing w:val="-3"/>
                                      <w:sz w:val="18"/>
                                    </w:rPr>
                                    <w:t xml:space="preserve">exempt organization </w:t>
                                  </w:r>
                                  <w:r>
                                    <w:rPr>
                                      <w:rFonts w:ascii="Arial;Helvetica;Sans-Serif" w:hAnsi="Arial;Helvetica;Sans-Serif"/>
                                      <w:color w:val="58595B"/>
                                      <w:sz w:val="18"/>
                                    </w:rPr>
                                    <w:t xml:space="preserve">in which </w:t>
                                  </w:r>
                                  <w:r>
                                    <w:rPr>
                                      <w:rFonts w:ascii="Arial;Helvetica;Sans-Serif" w:hAnsi="Arial;Helvetica;Sans-Serif"/>
                                      <w:color w:val="58595B"/>
                                      <w:spacing w:val="-3"/>
                                      <w:sz w:val="18"/>
                                    </w:rPr>
                                    <w:t xml:space="preserve">any </w:t>
                                  </w:r>
                                  <w:r>
                                    <w:rPr>
                                      <w:rFonts w:ascii="Arial;Helvetica;Sans-Serif" w:hAnsi="Arial;Helvetica;Sans-Serif"/>
                                      <w:color w:val="58595B"/>
                                      <w:sz w:val="18"/>
                                    </w:rPr>
                                    <w:t xml:space="preserve">independent </w:t>
                                  </w:r>
                                  <w:r>
                                    <w:rPr>
                                      <w:rFonts w:ascii="Arial;Helvetica;Sans-Serif" w:hAnsi="Arial;Helvetica;Sans-Serif"/>
                                      <w:color w:val="58595B"/>
                                      <w:spacing w:val="-3"/>
                                      <w:sz w:val="18"/>
                                    </w:rPr>
                                    <w:t xml:space="preserve">director serves </w:t>
                                  </w:r>
                                  <w:r>
                                    <w:rPr>
                                      <w:rFonts w:ascii="Arial;Helvetica;Sans-Serif" w:hAnsi="Arial;Helvetica;Sans-Serif"/>
                                      <w:color w:val="58595B"/>
                                      <w:sz w:val="18"/>
                                    </w:rPr>
                                    <w:t xml:space="preserve">as an </w:t>
                                  </w:r>
                                  <w:r>
                                    <w:rPr>
                                      <w:rFonts w:ascii="Arial;Helvetica;Sans-Serif" w:hAnsi="Arial;Helvetica;Sans-Serif"/>
                                      <w:color w:val="58595B"/>
                                      <w:spacing w:val="-3"/>
                                      <w:sz w:val="18"/>
                                    </w:rPr>
                                    <w:t xml:space="preserve">executive officer if, </w:t>
                                  </w:r>
                                  <w:r>
                                    <w:rPr>
                                      <w:rFonts w:ascii="Arial;Helvetica;Sans-Serif" w:hAnsi="Arial;Helvetica;Sans-Serif"/>
                                      <w:color w:val="58595B"/>
                                      <w:sz w:val="18"/>
                                    </w:rPr>
                                    <w:t xml:space="preserve">within the </w:t>
                                  </w:r>
                                  <w:r>
                                    <w:rPr>
                                      <w:rFonts w:ascii="Arial;Helvetica;Sans-Serif" w:hAnsi="Arial;Helvetica;Sans-Serif"/>
                                      <w:color w:val="58595B"/>
                                      <w:spacing w:val="-3"/>
                                      <w:sz w:val="18"/>
                                    </w:rPr>
                                    <w:t xml:space="preserve">preceding three years, </w:t>
                                  </w:r>
                                  <w:r>
                                    <w:rPr>
                                      <w:rFonts w:ascii="Arial;Helvetica;Sans-Serif" w:hAnsi="Arial;Helvetica;Sans-Serif"/>
                                      <w:color w:val="58595B"/>
                                      <w:sz w:val="18"/>
                                    </w:rPr>
                                    <w:t xml:space="preserve">contributions in </w:t>
                                  </w:r>
                                  <w:r>
                                    <w:rPr>
                                      <w:rFonts w:ascii="Arial;Helvetica;Sans-Serif" w:hAnsi="Arial;Helvetica;Sans-Serif"/>
                                      <w:color w:val="58595B"/>
                                      <w:spacing w:val="-3"/>
                                      <w:sz w:val="18"/>
                                    </w:rPr>
                                    <w:t xml:space="preserve">any </w:t>
                                  </w:r>
                                  <w:r>
                                    <w:rPr>
                                      <w:rFonts w:ascii="Arial;Helvetica;Sans-Serif" w:hAnsi="Arial;Helvetica;Sans-Serif"/>
                                      <w:color w:val="58595B"/>
                                      <w:sz w:val="18"/>
                                    </w:rPr>
                                    <w:t xml:space="preserve">single fiscal </w:t>
                                  </w:r>
                                  <w:r>
                                    <w:rPr>
                                      <w:rFonts w:ascii="Arial;Helvetica;Sans-Serif" w:hAnsi="Arial;Helvetica;Sans-Serif"/>
                                      <w:color w:val="58595B"/>
                                      <w:spacing w:val="-3"/>
                                      <w:sz w:val="18"/>
                                    </w:rPr>
                                    <w:t xml:space="preserve">year exceeded </w:t>
                                  </w:r>
                                  <w:r>
                                    <w:rPr>
                                      <w:rFonts w:ascii="Arial;Helvetica;Sans-Serif" w:hAnsi="Arial;Helvetica;Sans-Serif"/>
                                      <w:color w:val="58595B"/>
                                      <w:sz w:val="18"/>
                                    </w:rPr>
                                    <w:t xml:space="preserve">the </w:t>
                                  </w:r>
                                  <w:r>
                                    <w:rPr>
                                      <w:rFonts w:ascii="Arial;Helvetica;Sans-Serif" w:hAnsi="Arial;Helvetica;Sans-Serif"/>
                                      <w:color w:val="58595B"/>
                                      <w:spacing w:val="-3"/>
                                      <w:sz w:val="18"/>
                                    </w:rPr>
                                    <w:t xml:space="preserve">greater </w:t>
                                  </w:r>
                                  <w:r>
                                    <w:rPr>
                                      <w:rFonts w:ascii="Arial;Helvetica;Sans-Serif" w:hAnsi="Arial;Helvetica;Sans-Serif"/>
                                      <w:color w:val="58595B"/>
                                      <w:sz w:val="18"/>
                                    </w:rPr>
                                    <w:t xml:space="preserve">of $1 million or 2% of such tax </w:t>
                                  </w:r>
                                  <w:r>
                                    <w:rPr>
                                      <w:rFonts w:ascii="Arial;Helvetica;Sans-Serif" w:hAnsi="Arial;Helvetica;Sans-Serif"/>
                                      <w:color w:val="58595B"/>
                                      <w:spacing w:val="-3"/>
                                      <w:sz w:val="18"/>
                                    </w:rPr>
                                    <w:t>exempt organization’s consolidated gross revenues</w:t>
                                  </w:r>
                                </w:p>
                              </w:tc>
                            </w:tr>
                          </w:tbl>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will </w:t>
                            </w:r>
                            <w:r>
                              <w:rPr>
                                <w:rFonts w:ascii="Arial;Helvetica;Sans-Serif" w:hAnsi="Arial;Helvetica;Sans-Serif"/>
                                <w:b w:val="false"/>
                                <w:i w:val="false"/>
                                <w:caps w:val="false"/>
                                <w:smallCaps w:val="false"/>
                                <w:color w:val="58595B"/>
                                <w:spacing w:val="-3"/>
                                <w:sz w:val="18"/>
                              </w:rPr>
                              <w:t xml:space="preserve">provide </w:t>
                            </w:r>
                            <w:r>
                              <w:rPr>
                                <w:rFonts w:ascii="Arial;Helvetica;Sans-Serif" w:hAnsi="Arial;Helvetica;Sans-Serif"/>
                                <w:b w:val="false"/>
                                <w:i w:val="false"/>
                                <w:caps w:val="false"/>
                                <w:smallCaps w:val="false"/>
                                <w:color w:val="58595B"/>
                                <w:spacing w:val="-2"/>
                                <w:sz w:val="18"/>
                              </w:rPr>
                              <w:t xml:space="preserve">copies </w:t>
                            </w:r>
                            <w:r>
                              <w:rPr>
                                <w:rFonts w:ascii="Arial;Helvetica;Sans-Serif" w:hAnsi="Arial;Helvetica;Sans-Serif"/>
                                <w:b w:val="false"/>
                                <w:i w:val="false"/>
                                <w:caps w:val="false"/>
                                <w:smallCaps w:val="false"/>
                                <w:color w:val="58595B"/>
                                <w:sz w:val="18"/>
                              </w:rPr>
                              <w:t xml:space="preserve">of </w:t>
                            </w:r>
                            <w:r>
                              <w:rPr>
                                <w:rFonts w:ascii="Arial;Helvetica;Sans-Serif" w:hAnsi="Arial;Helvetica;Sans-Serif"/>
                                <w:b w:val="false"/>
                                <w:i w:val="false"/>
                                <w:caps w:val="false"/>
                                <w:smallCaps w:val="false"/>
                                <w:color w:val="58595B"/>
                                <w:spacing w:val="-3"/>
                                <w:sz w:val="18"/>
                              </w:rPr>
                              <w:t xml:space="preserve">any </w:t>
                            </w:r>
                            <w:r>
                              <w:rPr>
                                <w:rFonts w:ascii="Arial;Helvetica;Sans-Serif" w:hAnsi="Arial;Helvetica;Sans-Serif"/>
                                <w:b w:val="false"/>
                                <w:i w:val="false"/>
                                <w:caps w:val="false"/>
                                <w:smallCaps w:val="false"/>
                                <w:color w:val="58595B"/>
                                <w:sz w:val="18"/>
                              </w:rPr>
                              <w:t xml:space="preserve">of the </w:t>
                            </w:r>
                            <w:r>
                              <w:rPr>
                                <w:rFonts w:ascii="Arial;Helvetica;Sans-Serif" w:hAnsi="Arial;Helvetica;Sans-Serif"/>
                                <w:b w:val="false"/>
                                <w:i w:val="false"/>
                                <w:caps w:val="false"/>
                                <w:smallCaps w:val="false"/>
                                <w:color w:val="58595B"/>
                                <w:spacing w:val="-3"/>
                                <w:sz w:val="18"/>
                              </w:rPr>
                              <w:t xml:space="preserve">foregoing information </w:t>
                            </w:r>
                            <w:r>
                              <w:rPr>
                                <w:rFonts w:ascii="Arial;Helvetica;Sans-Serif" w:hAnsi="Arial;Helvetica;Sans-Serif"/>
                                <w:b w:val="false"/>
                                <w:i w:val="false"/>
                                <w:caps w:val="false"/>
                                <w:smallCaps w:val="false"/>
                                <w:color w:val="58595B"/>
                                <w:sz w:val="18"/>
                              </w:rPr>
                              <w:t xml:space="preserve">without </w:t>
                            </w:r>
                            <w:r>
                              <w:rPr>
                                <w:rFonts w:ascii="Arial;Helvetica;Sans-Serif" w:hAnsi="Arial;Helvetica;Sans-Serif"/>
                                <w:b w:val="false"/>
                                <w:i w:val="false"/>
                                <w:caps w:val="false"/>
                                <w:smallCaps w:val="false"/>
                                <w:color w:val="58595B"/>
                                <w:spacing w:val="-3"/>
                                <w:sz w:val="18"/>
                              </w:rPr>
                              <w:t xml:space="preserve">charge </w:t>
                            </w:r>
                            <w:r>
                              <w:rPr>
                                <w:rFonts w:ascii="Arial;Helvetica;Sans-Serif" w:hAnsi="Arial;Helvetica;Sans-Serif"/>
                                <w:b w:val="false"/>
                                <w:i w:val="false"/>
                                <w:caps w:val="false"/>
                                <w:smallCaps w:val="false"/>
                                <w:color w:val="58595B"/>
                                <w:sz w:val="18"/>
                              </w:rPr>
                              <w:t xml:space="preserve">upon written </w:t>
                            </w:r>
                            <w:r>
                              <w:rPr>
                                <w:rFonts w:ascii="Arial;Helvetica;Sans-Serif" w:hAnsi="Arial;Helvetica;Sans-Serif"/>
                                <w:b w:val="false"/>
                                <w:i w:val="false"/>
                                <w:caps w:val="false"/>
                                <w:smallCaps w:val="false"/>
                                <w:color w:val="58595B"/>
                                <w:spacing w:val="-3"/>
                                <w:sz w:val="18"/>
                              </w:rPr>
                              <w:t>request to:</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FLEETCOR Technologies, Inc. </w:t>
                              <w:br/>
                              <w:t xml:space="preserve">Attention: Corporate Secretary </w:t>
                              <w:br/>
                              <w:t>3280 Peachtree Road, Suite 2400</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Atlanta, Georgia 30305</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5.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i w:val="false"/>
                          <w:caps w:val="false"/>
                          <w:smallCaps w:val="false"/>
                          <w:color w:val="EE0027"/>
                          <w:sz w:val="20"/>
                        </w:rPr>
                      </w:pPr>
                      <w:bookmarkStart w:id="67" w:name="a037"/>
                      <w:bookmarkEnd w:id="67"/>
                      <w:r>
                        <w:rPr>
                          <w:rFonts w:ascii="Arial;Helvetica;Sans-Serif" w:hAnsi="Arial;Helvetica;Sans-Serif"/>
                          <w:b/>
                          <w:i w:val="false"/>
                          <w:caps w:val="false"/>
                          <w:smallCaps w:val="false"/>
                          <w:color w:val="EE0027"/>
                          <w:sz w:val="20"/>
                        </w:rPr>
                        <w:t>Governance Policies</w:t>
                      </w:r>
                    </w:p>
                    <w:p>
                      <w:pPr>
                        <w:pStyle w:val="TextBody"/>
                        <w:rPr>
                          <w:caps w:val="false"/>
                          <w:smallCaps w:val="false"/>
                          <w:color w:val="EE0027"/>
                        </w:rPr>
                      </w:pPr>
                      <w:r>
                        <w:rPr>
                          <w:caps w:val="false"/>
                          <w:smallCaps w:val="false"/>
                          <w:color w:val="EE0027"/>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3"/>
                          <w:sz w:val="18"/>
                        </w:rPr>
                        <w:t xml:space="preserve">Complete </w:t>
                      </w:r>
                      <w:r>
                        <w:rPr>
                          <w:rFonts w:ascii="Arial;Helvetica;Sans-Serif" w:hAnsi="Arial;Helvetica;Sans-Serif"/>
                          <w:b w:val="false"/>
                          <w:i w:val="false"/>
                          <w:caps w:val="false"/>
                          <w:smallCaps w:val="false"/>
                          <w:color w:val="58595B"/>
                          <w:spacing w:val="-2"/>
                          <w:sz w:val="18"/>
                        </w:rPr>
                        <w:t xml:space="preserve">copies </w:t>
                      </w:r>
                      <w:r>
                        <w:rPr>
                          <w:rFonts w:ascii="Arial;Helvetica;Sans-Serif" w:hAnsi="Arial;Helvetica;Sans-Serif"/>
                          <w:b w:val="false"/>
                          <w:i w:val="false"/>
                          <w:caps w:val="false"/>
                          <w:smallCaps w:val="false"/>
                          <w:color w:val="58595B"/>
                          <w:sz w:val="18"/>
                        </w:rPr>
                        <w:t xml:space="preserve">of our </w:t>
                      </w:r>
                      <w:r>
                        <w:rPr>
                          <w:rFonts w:ascii="Arial;Helvetica;Sans-Serif" w:hAnsi="Arial;Helvetica;Sans-Serif"/>
                          <w:b w:val="false"/>
                          <w:i w:val="false"/>
                          <w:caps w:val="false"/>
                          <w:smallCaps w:val="false"/>
                          <w:color w:val="58595B"/>
                          <w:spacing w:val="-3"/>
                          <w:sz w:val="18"/>
                        </w:rPr>
                        <w:t xml:space="preserve">corporate governance </w:t>
                      </w:r>
                      <w:r>
                        <w:rPr>
                          <w:rFonts w:ascii="Arial;Helvetica;Sans-Serif" w:hAnsi="Arial;Helvetica;Sans-Serif"/>
                          <w:b w:val="false"/>
                          <w:i w:val="false"/>
                          <w:caps w:val="false"/>
                          <w:smallCaps w:val="false"/>
                          <w:color w:val="58595B"/>
                          <w:sz w:val="18"/>
                        </w:rPr>
                        <w:t xml:space="preserve">guidelines, </w:t>
                      </w:r>
                      <w:r>
                        <w:rPr>
                          <w:rFonts w:ascii="Arial;Helvetica;Sans-Serif" w:hAnsi="Arial;Helvetica;Sans-Serif"/>
                          <w:b w:val="false"/>
                          <w:i w:val="false"/>
                          <w:caps w:val="false"/>
                          <w:smallCaps w:val="false"/>
                          <w:color w:val="58595B"/>
                          <w:spacing w:val="-3"/>
                          <w:sz w:val="18"/>
                        </w:rPr>
                        <w:t xml:space="preserve">committee </w:t>
                      </w:r>
                      <w:r>
                        <w:rPr>
                          <w:rFonts w:ascii="Arial;Helvetica;Sans-Serif" w:hAnsi="Arial;Helvetica;Sans-Serif"/>
                          <w:b w:val="false"/>
                          <w:i w:val="false"/>
                          <w:caps w:val="false"/>
                          <w:smallCaps w:val="false"/>
                          <w:color w:val="58595B"/>
                          <w:sz w:val="18"/>
                        </w:rPr>
                        <w:t xml:space="preserve">charters and code of conduct </w:t>
                      </w:r>
                      <w:r>
                        <w:rPr>
                          <w:rFonts w:ascii="Arial;Helvetica;Sans-Serif" w:hAnsi="Arial;Helvetica;Sans-Serif"/>
                          <w:b w:val="false"/>
                          <w:i w:val="false"/>
                          <w:caps w:val="false"/>
                          <w:smallCaps w:val="false"/>
                          <w:color w:val="58595B"/>
                          <w:spacing w:val="-3"/>
                          <w:sz w:val="18"/>
                        </w:rPr>
                        <w:t xml:space="preserve">are available </w:t>
                      </w:r>
                      <w:r>
                        <w:rPr>
                          <w:rFonts w:ascii="Arial;Helvetica;Sans-Serif" w:hAnsi="Arial;Helvetica;Sans-Serif"/>
                          <w:b w:val="false"/>
                          <w:i w:val="false"/>
                          <w:caps w:val="false"/>
                          <w:smallCaps w:val="false"/>
                          <w:color w:val="58595B"/>
                          <w:sz w:val="18"/>
                        </w:rPr>
                        <w:t xml:space="preserve">on the </w:t>
                      </w:r>
                      <w:r>
                        <w:rPr>
                          <w:rFonts w:ascii="Arial;Helvetica;Sans-Serif" w:hAnsi="Arial;Helvetica;Sans-Serif"/>
                          <w:b w:val="false"/>
                          <w:i w:val="false"/>
                          <w:caps w:val="false"/>
                          <w:smallCaps w:val="false"/>
                          <w:color w:val="58595B"/>
                          <w:spacing w:val="-3"/>
                          <w:sz w:val="18"/>
                        </w:rPr>
                        <w:t>Corporate Governance</w:t>
                      </w:r>
                      <w:r>
                        <w:rPr>
                          <w:rFonts w:ascii="Arial;Helvetica;Sans-Serif" w:hAnsi="Arial;Helvetica;Sans-Serif"/>
                          <w:b w:val="false"/>
                          <w:i w:val="false"/>
                          <w:caps w:val="false"/>
                          <w:smallCaps w:val="false"/>
                          <w:color w:val="58595B"/>
                          <w:sz w:val="18"/>
                        </w:rPr>
                        <w:t xml:space="preserve"> section of our </w:t>
                      </w:r>
                      <w:r>
                        <w:rPr>
                          <w:rFonts w:ascii="Arial;Helvetica;Sans-Serif" w:hAnsi="Arial;Helvetica;Sans-Serif"/>
                          <w:b w:val="false"/>
                          <w:i w:val="false"/>
                          <w:caps w:val="false"/>
                          <w:smallCaps w:val="false"/>
                          <w:color w:val="58595B"/>
                          <w:spacing w:val="-3"/>
                          <w:sz w:val="18"/>
                        </w:rPr>
                        <w:t>website,</w:t>
                      </w:r>
                      <w:r>
                        <w:rPr>
                          <w:rFonts w:ascii="Arial;Helvetica;Sans-Serif" w:hAnsi="Arial;Helvetica;Sans-Serif"/>
                          <w:b w:val="false"/>
                          <w:i w:val="false"/>
                          <w:caps w:val="false"/>
                          <w:smallCaps w:val="false"/>
                          <w:color w:val="58595B"/>
                          <w:sz w:val="18"/>
                        </w:rPr>
                        <w:t xml:space="preserve"> at </w:t>
                      </w:r>
                      <w:r>
                        <w:rPr>
                          <w:rFonts w:ascii="Arial;Helvetica;Sans-Serif" w:hAnsi="Arial;Helvetica;Sans-Serif"/>
                          <w:b w:val="false"/>
                          <w:i w:val="false"/>
                          <w:caps w:val="false"/>
                          <w:smallCaps w:val="false"/>
                          <w:color w:val="58595B"/>
                          <w:spacing w:val="-8"/>
                          <w:sz w:val="18"/>
                        </w:rPr>
                        <w:t>https://</w:t>
                      </w:r>
                      <w:r>
                        <w:rPr>
                          <w:rFonts w:ascii="Arial;Helvetica;Sans-Serif" w:hAnsi="Arial;Helvetica;Sans-Serif"/>
                          <w:b w:val="false"/>
                          <w:i w:val="false"/>
                          <w:caps w:val="false"/>
                          <w:smallCaps w:val="false"/>
                          <w:color w:val="58595B"/>
                          <w:spacing w:val="-3"/>
                          <w:sz w:val="18"/>
                        </w:rPr>
                        <w:t>investor.FLEETCOR.com.</w:t>
                      </w:r>
                      <w:r>
                        <w:rPr>
                          <w:rFonts w:ascii="Arial;Helvetica;Sans-Serif" w:hAnsi="Arial;Helvetica;Sans-Serif"/>
                          <w:b w:val="false"/>
                          <w:i w:val="false"/>
                          <w:caps w:val="false"/>
                          <w:smallCaps w:val="false"/>
                          <w:color w:val="58595B"/>
                          <w:sz w:val="18"/>
                        </w:rPr>
                        <w:t xml:space="preserve"> In </w:t>
                      </w:r>
                      <w:r>
                        <w:rPr>
                          <w:rFonts w:ascii="Arial;Helvetica;Sans-Serif" w:hAnsi="Arial;Helvetica;Sans-Serif"/>
                          <w:b w:val="false"/>
                          <w:i w:val="false"/>
                          <w:caps w:val="false"/>
                          <w:smallCaps w:val="false"/>
                          <w:color w:val="58595B"/>
                          <w:spacing w:val="-3"/>
                          <w:sz w:val="18"/>
                        </w:rPr>
                        <w:t xml:space="preserve">accordance </w:t>
                      </w:r>
                      <w:r>
                        <w:rPr>
                          <w:rFonts w:ascii="Arial;Helvetica;Sans-Serif" w:hAnsi="Arial;Helvetica;Sans-Serif"/>
                          <w:b w:val="false"/>
                          <w:i w:val="false"/>
                          <w:caps w:val="false"/>
                          <w:smallCaps w:val="false"/>
                          <w:color w:val="58595B"/>
                          <w:sz w:val="18"/>
                        </w:rPr>
                        <w:t xml:space="preserve">with </w:t>
                      </w:r>
                      <w:r>
                        <w:rPr>
                          <w:rFonts w:ascii="Arial;Helvetica;Sans-Serif" w:hAnsi="Arial;Helvetica;Sans-Serif"/>
                          <w:b w:val="false"/>
                          <w:i w:val="false"/>
                          <w:caps w:val="false"/>
                          <w:smallCaps w:val="false"/>
                          <w:color w:val="58595B"/>
                          <w:spacing w:val="-3"/>
                          <w:sz w:val="18"/>
                        </w:rPr>
                        <w:t>NYSE</w:t>
                      </w:r>
                      <w:r>
                        <w:rPr>
                          <w:rFonts w:ascii="Arial;Helvetica;Sans-Serif" w:hAnsi="Arial;Helvetica;Sans-Serif"/>
                          <w:b w:val="false"/>
                          <w:i w:val="false"/>
                          <w:caps w:val="false"/>
                          <w:smallCaps w:val="false"/>
                          <w:color w:val="58595B"/>
                          <w:sz w:val="18"/>
                        </w:rPr>
                        <w:t xml:space="preserve"> rules, we </w:t>
                      </w:r>
                      <w:r>
                        <w:rPr>
                          <w:rFonts w:ascii="Arial;Helvetica;Sans-Serif" w:hAnsi="Arial;Helvetica;Sans-Serif"/>
                          <w:b w:val="false"/>
                          <w:i w:val="false"/>
                          <w:caps w:val="false"/>
                          <w:smallCaps w:val="false"/>
                          <w:color w:val="58595B"/>
                          <w:spacing w:val="-3"/>
                          <w:sz w:val="18"/>
                        </w:rPr>
                        <w:t>may</w:t>
                      </w:r>
                      <w:r>
                        <w:rPr>
                          <w:rFonts w:ascii="Arial;Helvetica;Sans-Serif" w:hAnsi="Arial;Helvetica;Sans-Serif"/>
                          <w:b w:val="false"/>
                          <w:i w:val="false"/>
                          <w:caps w:val="false"/>
                          <w:smallCaps w:val="false"/>
                          <w:color w:val="58595B"/>
                          <w:sz w:val="18"/>
                        </w:rPr>
                        <w:t xml:space="preserve"> also </w:t>
                      </w:r>
                      <w:r>
                        <w:rPr>
                          <w:rFonts w:ascii="Arial;Helvetica;Sans-Serif" w:hAnsi="Arial;Helvetica;Sans-Serif"/>
                          <w:b w:val="false"/>
                          <w:i w:val="false"/>
                          <w:caps w:val="false"/>
                          <w:smallCaps w:val="false"/>
                          <w:color w:val="58595B"/>
                          <w:spacing w:val="-3"/>
                          <w:sz w:val="18"/>
                        </w:rPr>
                        <w:t>make disclosure</w:t>
                      </w:r>
                      <w:r>
                        <w:rPr>
                          <w:rFonts w:ascii="Arial;Helvetica;Sans-Serif" w:hAnsi="Arial;Helvetica;Sans-Serif"/>
                          <w:b w:val="false"/>
                          <w:i w:val="false"/>
                          <w:caps w:val="false"/>
                          <w:smallCaps w:val="false"/>
                          <w:color w:val="58595B"/>
                          <w:sz w:val="18"/>
                        </w:rPr>
                        <w:t xml:space="preserve"> of the </w:t>
                      </w:r>
                      <w:r>
                        <w:rPr>
                          <w:rFonts w:ascii="Arial;Helvetica;Sans-Serif" w:hAnsi="Arial;Helvetica;Sans-Serif"/>
                          <w:b w:val="false"/>
                          <w:i w:val="false"/>
                          <w:caps w:val="false"/>
                          <w:smallCaps w:val="false"/>
                          <w:color w:val="58595B"/>
                          <w:spacing w:val="-3"/>
                          <w:sz w:val="18"/>
                        </w:rPr>
                        <w:t>following</w:t>
                      </w:r>
                      <w:r>
                        <w:rPr>
                          <w:rFonts w:ascii="Arial;Helvetica;Sans-Serif" w:hAnsi="Arial;Helvetica;Sans-Serif"/>
                          <w:b w:val="false"/>
                          <w:i w:val="false"/>
                          <w:caps w:val="false"/>
                          <w:smallCaps w:val="false"/>
                          <w:color w:val="58595B"/>
                          <w:sz w:val="18"/>
                        </w:rPr>
                        <w:t xml:space="preserve"> on our </w:t>
                      </w:r>
                      <w:r>
                        <w:rPr>
                          <w:rFonts w:ascii="Arial;Helvetica;Sans-Serif" w:hAnsi="Arial;Helvetica;Sans-Serif"/>
                          <w:b w:val="false"/>
                          <w:i w:val="false"/>
                          <w:caps w:val="false"/>
                          <w:smallCaps w:val="false"/>
                          <w:color w:val="58595B"/>
                          <w:spacing w:val="-3"/>
                          <w:sz w:val="18"/>
                        </w:rPr>
                        <w:t>website: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89"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Image155" descr=""/>
                                          <pic:cNvPicPr>
                                            <a:picLocks noChangeAspect="1" noChangeArrowheads="1"/>
                                          </pic:cNvPicPr>
                                        </pic:nvPicPr>
                                        <pic:blipFill>
                                          <a:blip r:embed="rId15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the method </w:t>
                            </w:r>
                            <w:r>
                              <w:rPr>
                                <w:rFonts w:ascii="Arial;Helvetica;Sans-Serif" w:hAnsi="Arial;Helvetica;Sans-Serif"/>
                                <w:color w:val="58595B"/>
                                <w:spacing w:val="-3"/>
                                <w:sz w:val="18"/>
                              </w:rPr>
                              <w:t xml:space="preserve">for interested </w:t>
                            </w:r>
                            <w:r>
                              <w:rPr>
                                <w:rFonts w:ascii="Arial;Helvetica;Sans-Serif" w:hAnsi="Arial;Helvetica;Sans-Serif"/>
                                <w:color w:val="58595B"/>
                                <w:sz w:val="18"/>
                              </w:rPr>
                              <w:t xml:space="preserve">parties to </w:t>
                            </w:r>
                            <w:r>
                              <w:rPr>
                                <w:rFonts w:ascii="Arial;Helvetica;Sans-Serif" w:hAnsi="Arial;Helvetica;Sans-Serif"/>
                                <w:color w:val="58595B"/>
                                <w:spacing w:val="-3"/>
                                <w:sz w:val="18"/>
                              </w:rPr>
                              <w:t xml:space="preserve">communicate directly </w:t>
                            </w:r>
                            <w:r>
                              <w:rPr>
                                <w:rFonts w:ascii="Arial;Helvetica;Sans-Serif" w:hAnsi="Arial;Helvetica;Sans-Serif"/>
                                <w:color w:val="58595B"/>
                                <w:sz w:val="18"/>
                              </w:rPr>
                              <w:t xml:space="preserve">with the </w:t>
                            </w:r>
                            <w:r>
                              <w:rPr>
                                <w:rFonts w:ascii="Arial;Helvetica;Sans-Serif" w:hAnsi="Arial;Helvetica;Sans-Serif"/>
                                <w:color w:val="58595B"/>
                                <w:spacing w:val="-3"/>
                                <w:sz w:val="18"/>
                              </w:rPr>
                              <w:t xml:space="preserve">presiding director </w:t>
                            </w:r>
                            <w:r>
                              <w:rPr>
                                <w:rFonts w:ascii="Arial;Helvetica;Sans-Serif" w:hAnsi="Arial;Helvetica;Sans-Serif"/>
                                <w:color w:val="58595B"/>
                                <w:sz w:val="18"/>
                              </w:rPr>
                              <w:t xml:space="preserve">or with the independent </w:t>
                            </w:r>
                            <w:r>
                              <w:rPr>
                                <w:rFonts w:ascii="Arial;Helvetica;Sans-Serif" w:hAnsi="Arial;Helvetica;Sans-Serif"/>
                                <w:color w:val="58595B"/>
                                <w:spacing w:val="-3"/>
                                <w:sz w:val="18"/>
                              </w:rPr>
                              <w:t xml:space="preserve">directors </w:t>
                            </w:r>
                            <w:r>
                              <w:rPr>
                                <w:rFonts w:ascii="Arial;Helvetica;Sans-Serif" w:hAnsi="Arial;Helvetica;Sans-Serif"/>
                                <w:color w:val="58595B"/>
                                <w:sz w:val="18"/>
                              </w:rPr>
                              <w:t xml:space="preserve">as a </w:t>
                            </w:r>
                            <w:r>
                              <w:rPr>
                                <w:rFonts w:ascii="Arial;Helvetica;Sans-Serif" w:hAnsi="Arial;Helvetica;Sans-Serif"/>
                                <w:color w:val="58595B"/>
                                <w:spacing w:val="-3"/>
                                <w:sz w:val="18"/>
                              </w:rPr>
                              <w:t>group</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90"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 name="Image156" descr=""/>
                                          <pic:cNvPicPr>
                                            <a:picLocks noChangeAspect="1" noChangeArrowheads="1"/>
                                          </pic:cNvPicPr>
                                        </pic:nvPicPr>
                                        <pic:blipFill>
                                          <a:blip r:embed="rId157"/>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the identity of </w:t>
                            </w:r>
                            <w:r>
                              <w:rPr>
                                <w:rFonts w:ascii="Arial;Helvetica;Sans-Serif" w:hAnsi="Arial;Helvetica;Sans-Serif"/>
                                <w:color w:val="58595B"/>
                                <w:spacing w:val="-3"/>
                                <w:sz w:val="18"/>
                              </w:rPr>
                              <w:t xml:space="preserve">any </w:t>
                            </w:r>
                            <w:r>
                              <w:rPr>
                                <w:rFonts w:ascii="Arial;Helvetica;Sans-Serif" w:hAnsi="Arial;Helvetica;Sans-Serif"/>
                                <w:color w:val="58595B"/>
                                <w:sz w:val="18"/>
                              </w:rPr>
                              <w:t xml:space="preserve">member of our audit </w:t>
                            </w:r>
                            <w:r>
                              <w:rPr>
                                <w:rFonts w:ascii="Arial;Helvetica;Sans-Serif" w:hAnsi="Arial;Helvetica;Sans-Serif"/>
                                <w:color w:val="58595B"/>
                                <w:spacing w:val="-3"/>
                                <w:sz w:val="18"/>
                              </w:rPr>
                              <w:t xml:space="preserve">committee </w:t>
                            </w:r>
                            <w:r>
                              <w:rPr>
                                <w:rFonts w:ascii="Arial;Helvetica;Sans-Serif" w:hAnsi="Arial;Helvetica;Sans-Serif"/>
                                <w:color w:val="58595B"/>
                                <w:spacing w:val="-2"/>
                                <w:sz w:val="18"/>
                              </w:rPr>
                              <w:t xml:space="preserve">who </w:t>
                            </w:r>
                            <w:r>
                              <w:rPr>
                                <w:rFonts w:ascii="Arial;Helvetica;Sans-Serif" w:hAnsi="Arial;Helvetica;Sans-Serif"/>
                                <w:color w:val="58595B"/>
                                <w:sz w:val="18"/>
                              </w:rPr>
                              <w:t xml:space="preserve">also </w:t>
                            </w:r>
                            <w:r>
                              <w:rPr>
                                <w:rFonts w:ascii="Arial;Helvetica;Sans-Serif" w:hAnsi="Arial;Helvetica;Sans-Serif"/>
                                <w:color w:val="58595B"/>
                                <w:spacing w:val="-3"/>
                                <w:sz w:val="18"/>
                              </w:rPr>
                              <w:t xml:space="preserve">serves </w:t>
                            </w:r>
                            <w:r>
                              <w:rPr>
                                <w:rFonts w:ascii="Arial;Helvetica;Sans-Serif" w:hAnsi="Arial;Helvetica;Sans-Serif"/>
                                <w:color w:val="58595B"/>
                                <w:sz w:val="18"/>
                              </w:rPr>
                              <w:t xml:space="preserve">on the audit </w:t>
                            </w:r>
                            <w:r>
                              <w:rPr>
                                <w:rFonts w:ascii="Arial;Helvetica;Sans-Serif" w:hAnsi="Arial;Helvetica;Sans-Serif"/>
                                <w:color w:val="58595B"/>
                                <w:spacing w:val="-3"/>
                                <w:sz w:val="18"/>
                              </w:rPr>
                              <w:t xml:space="preserve">committees </w:t>
                            </w:r>
                            <w:r>
                              <w:rPr>
                                <w:rFonts w:ascii="Arial;Helvetica;Sans-Serif" w:hAnsi="Arial;Helvetica;Sans-Serif"/>
                                <w:color w:val="58595B"/>
                                <w:sz w:val="18"/>
                              </w:rPr>
                              <w:t xml:space="preserve">of </w:t>
                            </w:r>
                            <w:r>
                              <w:rPr>
                                <w:rFonts w:ascii="Arial;Helvetica;Sans-Serif" w:hAnsi="Arial;Helvetica;Sans-Serif"/>
                                <w:color w:val="58595B"/>
                                <w:spacing w:val="-3"/>
                                <w:sz w:val="18"/>
                              </w:rPr>
                              <w:t xml:space="preserve">more </w:t>
                            </w:r>
                            <w:r>
                              <w:rPr>
                                <w:rFonts w:ascii="Arial;Helvetica;Sans-Serif" w:hAnsi="Arial;Helvetica;Sans-Serif"/>
                                <w:color w:val="58595B"/>
                                <w:sz w:val="18"/>
                              </w:rPr>
                              <w:t xml:space="preserve">than </w:t>
                            </w:r>
                            <w:r>
                              <w:rPr>
                                <w:rFonts w:ascii="Arial;Helvetica;Sans-Serif" w:hAnsi="Arial;Helvetica;Sans-Serif"/>
                                <w:color w:val="58595B"/>
                                <w:spacing w:val="-3"/>
                                <w:sz w:val="18"/>
                              </w:rPr>
                              <w:t xml:space="preserve">three </w:t>
                            </w:r>
                            <w:r>
                              <w:rPr>
                                <w:rFonts w:ascii="Arial;Helvetica;Sans-Serif" w:hAnsi="Arial;Helvetica;Sans-Serif"/>
                                <w:color w:val="58595B"/>
                                <w:sz w:val="18"/>
                              </w:rPr>
                              <w:t xml:space="preserve">public </w:t>
                            </w:r>
                            <w:r>
                              <w:rPr>
                                <w:rFonts w:ascii="Arial;Helvetica;Sans-Serif" w:hAnsi="Arial;Helvetica;Sans-Serif"/>
                                <w:color w:val="58595B"/>
                                <w:spacing w:val="-2"/>
                                <w:sz w:val="18"/>
                              </w:rPr>
                              <w:t xml:space="preserve">companies </w:t>
                            </w:r>
                            <w:r>
                              <w:rPr>
                                <w:rFonts w:ascii="Arial;Helvetica;Sans-Serif" w:hAnsi="Arial;Helvetica;Sans-Serif"/>
                                <w:color w:val="58595B"/>
                                <w:sz w:val="18"/>
                              </w:rPr>
                              <w:t xml:space="preserve">and a </w:t>
                            </w:r>
                            <w:r>
                              <w:rPr>
                                <w:rFonts w:ascii="Arial;Helvetica;Sans-Serif" w:hAnsi="Arial;Helvetica;Sans-Serif"/>
                                <w:color w:val="58595B"/>
                                <w:spacing w:val="-3"/>
                                <w:sz w:val="18"/>
                              </w:rPr>
                              <w:t xml:space="preserve">determination by </w:t>
                            </w:r>
                            <w:r>
                              <w:rPr>
                                <w:rFonts w:ascii="Arial;Helvetica;Sans-Serif" w:hAnsi="Arial;Helvetica;Sans-Serif"/>
                                <w:color w:val="58595B"/>
                                <w:sz w:val="18"/>
                              </w:rPr>
                              <w:t xml:space="preserve">our </w:t>
                            </w:r>
                            <w:r>
                              <w:rPr>
                                <w:rFonts w:ascii="Arial;Helvetica;Sans-Serif" w:hAnsi="Arial;Helvetica;Sans-Serif"/>
                                <w:color w:val="58595B"/>
                                <w:spacing w:val="-3"/>
                                <w:sz w:val="18"/>
                              </w:rPr>
                              <w:t xml:space="preserve">Board </w:t>
                            </w:r>
                            <w:r>
                              <w:rPr>
                                <w:rFonts w:ascii="Arial;Helvetica;Sans-Serif" w:hAnsi="Arial;Helvetica;Sans-Serif"/>
                                <w:color w:val="58595B"/>
                                <w:sz w:val="18"/>
                              </w:rPr>
                              <w:t xml:space="preserve">that such simultaneous service will </w:t>
                            </w:r>
                            <w:r>
                              <w:rPr>
                                <w:rFonts w:ascii="Arial;Helvetica;Sans-Serif" w:hAnsi="Arial;Helvetica;Sans-Serif"/>
                                <w:color w:val="58595B"/>
                                <w:spacing w:val="-2"/>
                                <w:sz w:val="18"/>
                              </w:rPr>
                              <w:t xml:space="preserve">not </w:t>
                            </w:r>
                            <w:r>
                              <w:rPr>
                                <w:rFonts w:ascii="Arial;Helvetica;Sans-Serif" w:hAnsi="Arial;Helvetica;Sans-Serif"/>
                                <w:color w:val="58595B"/>
                                <w:sz w:val="18"/>
                              </w:rPr>
                              <w:t xml:space="preserve">impair the ability of such member to </w:t>
                            </w:r>
                            <w:r>
                              <w:rPr>
                                <w:rFonts w:ascii="Arial;Helvetica;Sans-Serif" w:hAnsi="Arial;Helvetica;Sans-Serif"/>
                                <w:color w:val="58595B"/>
                                <w:spacing w:val="-3"/>
                                <w:sz w:val="18"/>
                              </w:rPr>
                              <w:t xml:space="preserve">effectively serve </w:t>
                            </w:r>
                            <w:r>
                              <w:rPr>
                                <w:rFonts w:ascii="Arial;Helvetica;Sans-Serif" w:hAnsi="Arial;Helvetica;Sans-Serif"/>
                                <w:color w:val="58595B"/>
                                <w:sz w:val="18"/>
                              </w:rPr>
                              <w:t xml:space="preserve">on our audit </w:t>
                            </w:r>
                            <w:r>
                              <w:rPr>
                                <w:rFonts w:ascii="Arial;Helvetica;Sans-Serif" w:hAnsi="Arial;Helvetica;Sans-Serif"/>
                                <w:color w:val="58595B"/>
                                <w:spacing w:val="-3"/>
                                <w:sz w:val="18"/>
                              </w:rPr>
                              <w:t>committee</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91"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Image157" descr=""/>
                                          <pic:cNvPicPr>
                                            <a:picLocks noChangeAspect="1" noChangeArrowheads="1"/>
                                          </pic:cNvPicPr>
                                        </pic:nvPicPr>
                                        <pic:blipFill>
                                          <a:blip r:embed="rId158"/>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contributions </w:t>
                            </w:r>
                            <w:r>
                              <w:rPr>
                                <w:rFonts w:ascii="Arial;Helvetica;Sans-Serif" w:hAnsi="Arial;Helvetica;Sans-Serif"/>
                                <w:color w:val="58595B"/>
                                <w:spacing w:val="-3"/>
                                <w:sz w:val="18"/>
                              </w:rPr>
                              <w:t xml:space="preserve">by </w:t>
                            </w:r>
                            <w:r>
                              <w:rPr>
                                <w:rFonts w:ascii="Arial;Helvetica;Sans-Serif" w:hAnsi="Arial;Helvetica;Sans-Serif"/>
                                <w:color w:val="58595B"/>
                                <w:sz w:val="18"/>
                              </w:rPr>
                              <w:t xml:space="preserve">us to a tax </w:t>
                            </w:r>
                            <w:r>
                              <w:rPr>
                                <w:rFonts w:ascii="Arial;Helvetica;Sans-Serif" w:hAnsi="Arial;Helvetica;Sans-Serif"/>
                                <w:color w:val="58595B"/>
                                <w:spacing w:val="-3"/>
                                <w:sz w:val="18"/>
                              </w:rPr>
                              <w:t xml:space="preserve">exempt organization </w:t>
                            </w:r>
                            <w:r>
                              <w:rPr>
                                <w:rFonts w:ascii="Arial;Helvetica;Sans-Serif" w:hAnsi="Arial;Helvetica;Sans-Serif"/>
                                <w:color w:val="58595B"/>
                                <w:sz w:val="18"/>
                              </w:rPr>
                              <w:t xml:space="preserve">in which </w:t>
                            </w:r>
                            <w:r>
                              <w:rPr>
                                <w:rFonts w:ascii="Arial;Helvetica;Sans-Serif" w:hAnsi="Arial;Helvetica;Sans-Serif"/>
                                <w:color w:val="58595B"/>
                                <w:spacing w:val="-3"/>
                                <w:sz w:val="18"/>
                              </w:rPr>
                              <w:t xml:space="preserve">any </w:t>
                            </w:r>
                            <w:r>
                              <w:rPr>
                                <w:rFonts w:ascii="Arial;Helvetica;Sans-Serif" w:hAnsi="Arial;Helvetica;Sans-Serif"/>
                                <w:color w:val="58595B"/>
                                <w:sz w:val="18"/>
                              </w:rPr>
                              <w:t xml:space="preserve">independent </w:t>
                            </w:r>
                            <w:r>
                              <w:rPr>
                                <w:rFonts w:ascii="Arial;Helvetica;Sans-Serif" w:hAnsi="Arial;Helvetica;Sans-Serif"/>
                                <w:color w:val="58595B"/>
                                <w:spacing w:val="-3"/>
                                <w:sz w:val="18"/>
                              </w:rPr>
                              <w:t xml:space="preserve">director serves </w:t>
                            </w:r>
                            <w:r>
                              <w:rPr>
                                <w:rFonts w:ascii="Arial;Helvetica;Sans-Serif" w:hAnsi="Arial;Helvetica;Sans-Serif"/>
                                <w:color w:val="58595B"/>
                                <w:sz w:val="18"/>
                              </w:rPr>
                              <w:t xml:space="preserve">as an </w:t>
                            </w:r>
                            <w:r>
                              <w:rPr>
                                <w:rFonts w:ascii="Arial;Helvetica;Sans-Serif" w:hAnsi="Arial;Helvetica;Sans-Serif"/>
                                <w:color w:val="58595B"/>
                                <w:spacing w:val="-3"/>
                                <w:sz w:val="18"/>
                              </w:rPr>
                              <w:t xml:space="preserve">executive officer if, </w:t>
                            </w:r>
                            <w:r>
                              <w:rPr>
                                <w:rFonts w:ascii="Arial;Helvetica;Sans-Serif" w:hAnsi="Arial;Helvetica;Sans-Serif"/>
                                <w:color w:val="58595B"/>
                                <w:sz w:val="18"/>
                              </w:rPr>
                              <w:t xml:space="preserve">within the </w:t>
                            </w:r>
                            <w:r>
                              <w:rPr>
                                <w:rFonts w:ascii="Arial;Helvetica;Sans-Serif" w:hAnsi="Arial;Helvetica;Sans-Serif"/>
                                <w:color w:val="58595B"/>
                                <w:spacing w:val="-3"/>
                                <w:sz w:val="18"/>
                              </w:rPr>
                              <w:t xml:space="preserve">preceding three years, </w:t>
                            </w:r>
                            <w:r>
                              <w:rPr>
                                <w:rFonts w:ascii="Arial;Helvetica;Sans-Serif" w:hAnsi="Arial;Helvetica;Sans-Serif"/>
                                <w:color w:val="58595B"/>
                                <w:sz w:val="18"/>
                              </w:rPr>
                              <w:t xml:space="preserve">contributions in </w:t>
                            </w:r>
                            <w:r>
                              <w:rPr>
                                <w:rFonts w:ascii="Arial;Helvetica;Sans-Serif" w:hAnsi="Arial;Helvetica;Sans-Serif"/>
                                <w:color w:val="58595B"/>
                                <w:spacing w:val="-3"/>
                                <w:sz w:val="18"/>
                              </w:rPr>
                              <w:t xml:space="preserve">any </w:t>
                            </w:r>
                            <w:r>
                              <w:rPr>
                                <w:rFonts w:ascii="Arial;Helvetica;Sans-Serif" w:hAnsi="Arial;Helvetica;Sans-Serif"/>
                                <w:color w:val="58595B"/>
                                <w:sz w:val="18"/>
                              </w:rPr>
                              <w:t xml:space="preserve">single fiscal </w:t>
                            </w:r>
                            <w:r>
                              <w:rPr>
                                <w:rFonts w:ascii="Arial;Helvetica;Sans-Serif" w:hAnsi="Arial;Helvetica;Sans-Serif"/>
                                <w:color w:val="58595B"/>
                                <w:spacing w:val="-3"/>
                                <w:sz w:val="18"/>
                              </w:rPr>
                              <w:t xml:space="preserve">year exceeded </w:t>
                            </w:r>
                            <w:r>
                              <w:rPr>
                                <w:rFonts w:ascii="Arial;Helvetica;Sans-Serif" w:hAnsi="Arial;Helvetica;Sans-Serif"/>
                                <w:color w:val="58595B"/>
                                <w:sz w:val="18"/>
                              </w:rPr>
                              <w:t xml:space="preserve">the </w:t>
                            </w:r>
                            <w:r>
                              <w:rPr>
                                <w:rFonts w:ascii="Arial;Helvetica;Sans-Serif" w:hAnsi="Arial;Helvetica;Sans-Serif"/>
                                <w:color w:val="58595B"/>
                                <w:spacing w:val="-3"/>
                                <w:sz w:val="18"/>
                              </w:rPr>
                              <w:t xml:space="preserve">greater </w:t>
                            </w:r>
                            <w:r>
                              <w:rPr>
                                <w:rFonts w:ascii="Arial;Helvetica;Sans-Serif" w:hAnsi="Arial;Helvetica;Sans-Serif"/>
                                <w:color w:val="58595B"/>
                                <w:sz w:val="18"/>
                              </w:rPr>
                              <w:t xml:space="preserve">of $1 million or 2% of such tax </w:t>
                            </w:r>
                            <w:r>
                              <w:rPr>
                                <w:rFonts w:ascii="Arial;Helvetica;Sans-Serif" w:hAnsi="Arial;Helvetica;Sans-Serif"/>
                                <w:color w:val="58595B"/>
                                <w:spacing w:val="-3"/>
                                <w:sz w:val="18"/>
                              </w:rPr>
                              <w:t>exempt organization’s consolidated gross revenues</w:t>
                            </w:r>
                          </w:p>
                        </w:tc>
                      </w:tr>
                    </w:tbl>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will </w:t>
                      </w:r>
                      <w:r>
                        <w:rPr>
                          <w:rFonts w:ascii="Arial;Helvetica;Sans-Serif" w:hAnsi="Arial;Helvetica;Sans-Serif"/>
                          <w:b w:val="false"/>
                          <w:i w:val="false"/>
                          <w:caps w:val="false"/>
                          <w:smallCaps w:val="false"/>
                          <w:color w:val="58595B"/>
                          <w:spacing w:val="-3"/>
                          <w:sz w:val="18"/>
                        </w:rPr>
                        <w:t xml:space="preserve">provide </w:t>
                      </w:r>
                      <w:r>
                        <w:rPr>
                          <w:rFonts w:ascii="Arial;Helvetica;Sans-Serif" w:hAnsi="Arial;Helvetica;Sans-Serif"/>
                          <w:b w:val="false"/>
                          <w:i w:val="false"/>
                          <w:caps w:val="false"/>
                          <w:smallCaps w:val="false"/>
                          <w:color w:val="58595B"/>
                          <w:spacing w:val="-2"/>
                          <w:sz w:val="18"/>
                        </w:rPr>
                        <w:t xml:space="preserve">copies </w:t>
                      </w:r>
                      <w:r>
                        <w:rPr>
                          <w:rFonts w:ascii="Arial;Helvetica;Sans-Serif" w:hAnsi="Arial;Helvetica;Sans-Serif"/>
                          <w:b w:val="false"/>
                          <w:i w:val="false"/>
                          <w:caps w:val="false"/>
                          <w:smallCaps w:val="false"/>
                          <w:color w:val="58595B"/>
                          <w:sz w:val="18"/>
                        </w:rPr>
                        <w:t xml:space="preserve">of </w:t>
                      </w:r>
                      <w:r>
                        <w:rPr>
                          <w:rFonts w:ascii="Arial;Helvetica;Sans-Serif" w:hAnsi="Arial;Helvetica;Sans-Serif"/>
                          <w:b w:val="false"/>
                          <w:i w:val="false"/>
                          <w:caps w:val="false"/>
                          <w:smallCaps w:val="false"/>
                          <w:color w:val="58595B"/>
                          <w:spacing w:val="-3"/>
                          <w:sz w:val="18"/>
                        </w:rPr>
                        <w:t xml:space="preserve">any </w:t>
                      </w:r>
                      <w:r>
                        <w:rPr>
                          <w:rFonts w:ascii="Arial;Helvetica;Sans-Serif" w:hAnsi="Arial;Helvetica;Sans-Serif"/>
                          <w:b w:val="false"/>
                          <w:i w:val="false"/>
                          <w:caps w:val="false"/>
                          <w:smallCaps w:val="false"/>
                          <w:color w:val="58595B"/>
                          <w:sz w:val="18"/>
                        </w:rPr>
                        <w:t xml:space="preserve">of the </w:t>
                      </w:r>
                      <w:r>
                        <w:rPr>
                          <w:rFonts w:ascii="Arial;Helvetica;Sans-Serif" w:hAnsi="Arial;Helvetica;Sans-Serif"/>
                          <w:b w:val="false"/>
                          <w:i w:val="false"/>
                          <w:caps w:val="false"/>
                          <w:smallCaps w:val="false"/>
                          <w:color w:val="58595B"/>
                          <w:spacing w:val="-3"/>
                          <w:sz w:val="18"/>
                        </w:rPr>
                        <w:t xml:space="preserve">foregoing information </w:t>
                      </w:r>
                      <w:r>
                        <w:rPr>
                          <w:rFonts w:ascii="Arial;Helvetica;Sans-Serif" w:hAnsi="Arial;Helvetica;Sans-Serif"/>
                          <w:b w:val="false"/>
                          <w:i w:val="false"/>
                          <w:caps w:val="false"/>
                          <w:smallCaps w:val="false"/>
                          <w:color w:val="58595B"/>
                          <w:sz w:val="18"/>
                        </w:rPr>
                        <w:t xml:space="preserve">without </w:t>
                      </w:r>
                      <w:r>
                        <w:rPr>
                          <w:rFonts w:ascii="Arial;Helvetica;Sans-Serif" w:hAnsi="Arial;Helvetica;Sans-Serif"/>
                          <w:b w:val="false"/>
                          <w:i w:val="false"/>
                          <w:caps w:val="false"/>
                          <w:smallCaps w:val="false"/>
                          <w:color w:val="58595B"/>
                          <w:spacing w:val="-3"/>
                          <w:sz w:val="18"/>
                        </w:rPr>
                        <w:t xml:space="preserve">charge </w:t>
                      </w:r>
                      <w:r>
                        <w:rPr>
                          <w:rFonts w:ascii="Arial;Helvetica;Sans-Serif" w:hAnsi="Arial;Helvetica;Sans-Serif"/>
                          <w:b w:val="false"/>
                          <w:i w:val="false"/>
                          <w:caps w:val="false"/>
                          <w:smallCaps w:val="false"/>
                          <w:color w:val="58595B"/>
                          <w:sz w:val="18"/>
                        </w:rPr>
                        <w:t xml:space="preserve">upon written </w:t>
                      </w:r>
                      <w:r>
                        <w:rPr>
                          <w:rFonts w:ascii="Arial;Helvetica;Sans-Serif" w:hAnsi="Arial;Helvetica;Sans-Serif"/>
                          <w:b w:val="false"/>
                          <w:i w:val="false"/>
                          <w:caps w:val="false"/>
                          <w:smallCaps w:val="false"/>
                          <w:color w:val="58595B"/>
                          <w:spacing w:val="-3"/>
                          <w:sz w:val="18"/>
                        </w:rPr>
                        <w:t>request to:</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FLEETCOR Technologies, Inc. </w:t>
                        <w:br/>
                        <w:t xml:space="preserve">Attention: Corporate Secretary </w:t>
                        <w:br/>
                        <w:t>3280 Peachtree Road, Suite 2400</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Atlanta, Georgia 30305</w:t>
                      </w:r>
                    </w:p>
                  </w:txbxContent>
                </v:textbox>
                <w10:wrap type="square" side="left"/>
              </v:rect>
            </w:pict>
          </mc:Fallback>
        </mc:AlternateContent>
      </w:r>
      <w:r>
        <mc:AlternateContent>
          <mc:Choice Requires="wps">
            <w:drawing>
              <wp:anchor behindDoc="0" distT="0" distB="0" distL="0" distR="0" simplePos="0" locked="0" layoutInCell="1" allowOverlap="1" relativeHeight="129">
                <wp:simplePos x="0" y="0"/>
                <wp:positionH relativeFrom="column">
                  <wp:align>left</wp:align>
                </wp:positionH>
                <wp:positionV relativeFrom="line">
                  <wp:posOffset>635</wp:posOffset>
                </wp:positionV>
                <wp:extent cx="3110230" cy="8649970"/>
                <wp:effectExtent l="0" t="0" r="0" b="0"/>
                <wp:wrapSquare wrapText="largest"/>
                <wp:docPr id="292" name="Frame34"/>
                <a:graphic xmlns:a="http://schemas.openxmlformats.org/drawingml/2006/main">
                  <a:graphicData uri="http://schemas.microsoft.com/office/word/2010/wordprocessingShape">
                    <wps:wsp>
                      <wps:cNvSpPr txBox="1"/>
                      <wps:spPr>
                        <a:xfrm>
                          <a:off x="0" y="0"/>
                          <a:ext cx="3110230" cy="8649970"/>
                        </a:xfrm>
                        <a:prstGeom prst="rect"/>
                      </wps:spPr>
                      <wps:txbx>
                        <w:txbxContent>
                          <w:p>
                            <w:pPr>
                              <w:pStyle w:val="TextBody"/>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pacing w:val="-3"/>
                                <w:sz w:val="18"/>
                              </w:rPr>
                              <w:t xml:space="preserve">Proxy </w:t>
                            </w:r>
                            <w:r>
                              <w:rPr>
                                <w:rFonts w:ascii="Arial;Helvetica;Sans-Serif" w:hAnsi="Arial;Helvetica;Sans-Serif"/>
                                <w:b/>
                                <w:i w:val="false"/>
                                <w:caps w:val="false"/>
                                <w:smallCaps w:val="false"/>
                                <w:color w:val="231F20"/>
                                <w:sz w:val="18"/>
                              </w:rPr>
                              <w:t>Access Nominations:</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 xml:space="preserve">Our Bylaws establish procedures for nominations by eligible shareholders of candidates for election as directors at an annual meeting and to have those nominees included in our </w:t>
                            </w:r>
                            <w:r>
                              <w:rPr>
                                <w:rFonts w:ascii="Arial;Helvetica;Sans-Serif" w:hAnsi="Arial;Helvetica;Sans-Serif"/>
                                <w:b w:val="false"/>
                                <w:i w:val="false"/>
                                <w:caps w:val="false"/>
                                <w:smallCaps w:val="false"/>
                                <w:color w:val="58595B"/>
                                <w:spacing w:val="-3"/>
                                <w:sz w:val="18"/>
                              </w:rPr>
                              <w:t xml:space="preserve">proxy </w:t>
                            </w:r>
                            <w:r>
                              <w:rPr>
                                <w:rFonts w:ascii="Arial;Helvetica;Sans-Serif" w:hAnsi="Arial;Helvetica;Sans-Serif"/>
                                <w:b w:val="false"/>
                                <w:i w:val="false"/>
                                <w:caps w:val="false"/>
                                <w:smallCaps w:val="false"/>
                                <w:color w:val="58595B"/>
                                <w:sz w:val="18"/>
                              </w:rPr>
                              <w:t xml:space="preserve">materials. </w:t>
                            </w:r>
                            <w:r>
                              <w:rPr>
                                <w:rFonts w:ascii="Arial;Helvetica;Sans-Serif" w:hAnsi="Arial;Helvetica;Sans-Serif"/>
                                <w:b w:val="false"/>
                                <w:i w:val="false"/>
                                <w:caps w:val="false"/>
                                <w:smallCaps w:val="false"/>
                                <w:color w:val="58595B"/>
                                <w:spacing w:val="-12"/>
                                <w:sz w:val="18"/>
                              </w:rPr>
                              <w:t xml:space="preserve">To  </w:t>
                            </w:r>
                            <w:r>
                              <w:rPr>
                                <w:rFonts w:ascii="Arial;Helvetica;Sans-Serif" w:hAnsi="Arial;Helvetica;Sans-Serif"/>
                                <w:b w:val="false"/>
                                <w:i w:val="false"/>
                                <w:caps w:val="false"/>
                                <w:smallCaps w:val="false"/>
                                <w:color w:val="58595B"/>
                                <w:sz w:val="18"/>
                              </w:rPr>
                              <w:t xml:space="preserve">be timely for consideration at our 2024 annual meeting, a shareholder’s </w:t>
                            </w:r>
                            <w:r>
                              <w:rPr>
                                <w:rFonts w:ascii="Arial;Helvetica;Sans-Serif" w:hAnsi="Arial;Helvetica;Sans-Serif"/>
                                <w:b w:val="false"/>
                                <w:i w:val="false"/>
                                <w:caps w:val="false"/>
                                <w:smallCaps w:val="false"/>
                                <w:color w:val="58595B"/>
                                <w:spacing w:val="-3"/>
                                <w:sz w:val="18"/>
                              </w:rPr>
                              <w:t xml:space="preserve">proxy </w:t>
                            </w:r>
                            <w:r>
                              <w:rPr>
                                <w:rFonts w:ascii="Arial;Helvetica;Sans-Serif" w:hAnsi="Arial;Helvetica;Sans-Serif"/>
                                <w:b w:val="false"/>
                                <w:i w:val="false"/>
                                <w:caps w:val="false"/>
                                <w:smallCaps w:val="false"/>
                                <w:color w:val="58595B"/>
                                <w:sz w:val="18"/>
                              </w:rPr>
                              <w:t xml:space="preserve">access notice to the corporate secretary regarding a </w:t>
                            </w:r>
                            <w:r>
                              <w:rPr>
                                <w:rFonts w:ascii="Arial;Helvetica;Sans-Serif" w:hAnsi="Arial;Helvetica;Sans-Serif"/>
                                <w:b w:val="false"/>
                                <w:i w:val="false"/>
                                <w:caps w:val="false"/>
                                <w:smallCaps w:val="false"/>
                                <w:color w:val="58595B"/>
                                <w:spacing w:val="-3"/>
                                <w:sz w:val="18"/>
                              </w:rPr>
                              <w:t>proxy</w:t>
                            </w:r>
                            <w:r>
                              <w:rPr>
                                <w:rFonts w:ascii="Arial;Helvetica;Sans-Serif" w:hAnsi="Arial;Helvetica;Sans-Serif"/>
                                <w:b w:val="false"/>
                                <w:i w:val="false"/>
                                <w:caps w:val="false"/>
                                <w:smallCaps w:val="false"/>
                                <w:color w:val="58595B"/>
                                <w:sz w:val="18"/>
                              </w:rPr>
                              <w:t xml:space="preserve"> access director nomination must be received no earlier than November 28, 2023, and no later than December 28, 2023. </w:t>
                            </w:r>
                            <w:r>
                              <w:rPr>
                                <w:rFonts w:ascii="Arial;Helvetica;Sans-Serif" w:hAnsi="Arial;Helvetica;Sans-Serif"/>
                                <w:b w:val="false"/>
                                <w:i w:val="false"/>
                                <w:caps w:val="false"/>
                                <w:smallCaps w:val="false"/>
                                <w:color w:val="58595B"/>
                                <w:spacing w:val="-4"/>
                                <w:sz w:val="18"/>
                              </w:rPr>
                              <w:t xml:space="preserve">However, </w:t>
                            </w:r>
                            <w:r>
                              <w:rPr>
                                <w:rFonts w:ascii="Arial;Helvetica;Sans-Serif" w:hAnsi="Arial;Helvetica;Sans-Serif"/>
                                <w:b w:val="false"/>
                                <w:i w:val="false"/>
                                <w:caps w:val="false"/>
                                <w:smallCaps w:val="false"/>
                                <w:color w:val="58595B"/>
                                <w:sz w:val="18"/>
                              </w:rPr>
                              <w:t xml:space="preserve">in the </w:t>
                            </w:r>
                            <w:r>
                              <w:rPr>
                                <w:rFonts w:ascii="Arial;Helvetica;Sans-Serif" w:hAnsi="Arial;Helvetica;Sans-Serif"/>
                                <w:b w:val="false"/>
                                <w:i w:val="false"/>
                                <w:caps w:val="false"/>
                                <w:smallCaps w:val="false"/>
                                <w:color w:val="58595B"/>
                                <w:spacing w:val="-3"/>
                                <w:sz w:val="18"/>
                              </w:rPr>
                              <w:t xml:space="preserve">event </w:t>
                            </w:r>
                            <w:r>
                              <w:rPr>
                                <w:rFonts w:ascii="Arial;Helvetica;Sans-Serif" w:hAnsi="Arial;Helvetica;Sans-Serif"/>
                                <w:b w:val="false"/>
                                <w:i w:val="false"/>
                                <w:caps w:val="false"/>
                                <w:smallCaps w:val="false"/>
                                <w:color w:val="58595B"/>
                                <w:sz w:val="18"/>
                              </w:rPr>
                              <w:t>that the 2024 annual meeting is called for a date that is not within thirty days of June 9, 2024, notice by the shareholder must be received by no later than the tenth day following the date of the public announcement.</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Shareholder proxy access nominations must be addressed to:</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Technologies, Inc.</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Attention: Corporate Secretary</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PROXY ACCESS DIRECTOR NOMINEE</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3280 Peachtree Road, Suite 2400</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Atlanta, Georgia 30305</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Contacting the Board:</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Shareholders and other interested parties can contact the Board as a group or the non-management directors as a group as follows: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4"/>
                                <w:sz w:val="18"/>
                              </w:rPr>
                              <w:t xml:space="preserve">For </w:t>
                            </w:r>
                            <w:r>
                              <w:rPr>
                                <w:rFonts w:ascii="Arial;Helvetica;Sans-Serif" w:hAnsi="Arial;Helvetica;Sans-Serif"/>
                                <w:b w:val="false"/>
                                <w:i w:val="false"/>
                                <w:caps w:val="false"/>
                                <w:smallCaps w:val="false"/>
                                <w:color w:val="58595B"/>
                                <w:sz w:val="18"/>
                              </w:rPr>
                              <w:t>the Board as a whole: FLEETCORBoard@FLEETCOR.com</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For the non-management directors: FLEETCORNonManagementDirectors@FLEETCOR.com</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Corporate Secretary reviews all written and emailed correspondence received from shareholders and other </w:t>
                            </w:r>
                            <w:r>
                              <w:rPr>
                                <w:rFonts w:ascii="Arial;Helvetica;Sans-Serif" w:hAnsi="Arial;Helvetica;Sans-Serif"/>
                                <w:b w:val="false"/>
                                <w:i w:val="false"/>
                                <w:caps w:val="false"/>
                                <w:smallCaps w:val="false"/>
                                <w:color w:val="58595B"/>
                                <w:spacing w:val="-2"/>
                                <w:sz w:val="18"/>
                              </w:rPr>
                              <w:t>inter</w:t>
                            </w:r>
                            <w:r>
                              <w:rPr>
                                <w:rFonts w:ascii="Arial;Helvetica;Sans-Serif" w:hAnsi="Arial;Helvetica;Sans-Serif"/>
                                <w:b w:val="false"/>
                                <w:i w:val="false"/>
                                <w:caps w:val="false"/>
                                <w:smallCaps w:val="false"/>
                                <w:color w:val="58595B"/>
                                <w:sz w:val="18"/>
                              </w:rPr>
                              <w:t>ested parties and forwards such correspondence periodically to the directors if and as appropriate. Shareholders can submit communications anonymously or by identifying themselves.</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pacing w:val="-3"/>
                          <w:sz w:val="18"/>
                        </w:rPr>
                        <w:t xml:space="preserve">Proxy </w:t>
                      </w:r>
                      <w:r>
                        <w:rPr>
                          <w:rFonts w:ascii="Arial;Helvetica;Sans-Serif" w:hAnsi="Arial;Helvetica;Sans-Serif"/>
                          <w:b/>
                          <w:i w:val="false"/>
                          <w:caps w:val="false"/>
                          <w:smallCaps w:val="false"/>
                          <w:color w:val="231F20"/>
                          <w:sz w:val="18"/>
                        </w:rPr>
                        <w:t>Access Nominations:</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 xml:space="preserve">Our Bylaws establish procedures for nominations by eligible shareholders of candidates for election as directors at an annual meeting and to have those nominees included in our </w:t>
                      </w:r>
                      <w:r>
                        <w:rPr>
                          <w:rFonts w:ascii="Arial;Helvetica;Sans-Serif" w:hAnsi="Arial;Helvetica;Sans-Serif"/>
                          <w:b w:val="false"/>
                          <w:i w:val="false"/>
                          <w:caps w:val="false"/>
                          <w:smallCaps w:val="false"/>
                          <w:color w:val="58595B"/>
                          <w:spacing w:val="-3"/>
                          <w:sz w:val="18"/>
                        </w:rPr>
                        <w:t xml:space="preserve">proxy </w:t>
                      </w:r>
                      <w:r>
                        <w:rPr>
                          <w:rFonts w:ascii="Arial;Helvetica;Sans-Serif" w:hAnsi="Arial;Helvetica;Sans-Serif"/>
                          <w:b w:val="false"/>
                          <w:i w:val="false"/>
                          <w:caps w:val="false"/>
                          <w:smallCaps w:val="false"/>
                          <w:color w:val="58595B"/>
                          <w:sz w:val="18"/>
                        </w:rPr>
                        <w:t xml:space="preserve">materials. </w:t>
                      </w:r>
                      <w:r>
                        <w:rPr>
                          <w:rFonts w:ascii="Arial;Helvetica;Sans-Serif" w:hAnsi="Arial;Helvetica;Sans-Serif"/>
                          <w:b w:val="false"/>
                          <w:i w:val="false"/>
                          <w:caps w:val="false"/>
                          <w:smallCaps w:val="false"/>
                          <w:color w:val="58595B"/>
                          <w:spacing w:val="-12"/>
                          <w:sz w:val="18"/>
                        </w:rPr>
                        <w:t xml:space="preserve">To  </w:t>
                      </w:r>
                      <w:r>
                        <w:rPr>
                          <w:rFonts w:ascii="Arial;Helvetica;Sans-Serif" w:hAnsi="Arial;Helvetica;Sans-Serif"/>
                          <w:b w:val="false"/>
                          <w:i w:val="false"/>
                          <w:caps w:val="false"/>
                          <w:smallCaps w:val="false"/>
                          <w:color w:val="58595B"/>
                          <w:sz w:val="18"/>
                        </w:rPr>
                        <w:t xml:space="preserve">be timely for consideration at our 2024 annual meeting, a shareholder’s </w:t>
                      </w:r>
                      <w:r>
                        <w:rPr>
                          <w:rFonts w:ascii="Arial;Helvetica;Sans-Serif" w:hAnsi="Arial;Helvetica;Sans-Serif"/>
                          <w:b w:val="false"/>
                          <w:i w:val="false"/>
                          <w:caps w:val="false"/>
                          <w:smallCaps w:val="false"/>
                          <w:color w:val="58595B"/>
                          <w:spacing w:val="-3"/>
                          <w:sz w:val="18"/>
                        </w:rPr>
                        <w:t xml:space="preserve">proxy </w:t>
                      </w:r>
                      <w:r>
                        <w:rPr>
                          <w:rFonts w:ascii="Arial;Helvetica;Sans-Serif" w:hAnsi="Arial;Helvetica;Sans-Serif"/>
                          <w:b w:val="false"/>
                          <w:i w:val="false"/>
                          <w:caps w:val="false"/>
                          <w:smallCaps w:val="false"/>
                          <w:color w:val="58595B"/>
                          <w:sz w:val="18"/>
                        </w:rPr>
                        <w:t xml:space="preserve">access notice to the corporate secretary regarding a </w:t>
                      </w:r>
                      <w:r>
                        <w:rPr>
                          <w:rFonts w:ascii="Arial;Helvetica;Sans-Serif" w:hAnsi="Arial;Helvetica;Sans-Serif"/>
                          <w:b w:val="false"/>
                          <w:i w:val="false"/>
                          <w:caps w:val="false"/>
                          <w:smallCaps w:val="false"/>
                          <w:color w:val="58595B"/>
                          <w:spacing w:val="-3"/>
                          <w:sz w:val="18"/>
                        </w:rPr>
                        <w:t>proxy</w:t>
                      </w:r>
                      <w:r>
                        <w:rPr>
                          <w:rFonts w:ascii="Arial;Helvetica;Sans-Serif" w:hAnsi="Arial;Helvetica;Sans-Serif"/>
                          <w:b w:val="false"/>
                          <w:i w:val="false"/>
                          <w:caps w:val="false"/>
                          <w:smallCaps w:val="false"/>
                          <w:color w:val="58595B"/>
                          <w:sz w:val="18"/>
                        </w:rPr>
                        <w:t xml:space="preserve"> access director nomination must be received no earlier than November 28, 2023, and no later than December 28, 2023. </w:t>
                      </w:r>
                      <w:r>
                        <w:rPr>
                          <w:rFonts w:ascii="Arial;Helvetica;Sans-Serif" w:hAnsi="Arial;Helvetica;Sans-Serif"/>
                          <w:b w:val="false"/>
                          <w:i w:val="false"/>
                          <w:caps w:val="false"/>
                          <w:smallCaps w:val="false"/>
                          <w:color w:val="58595B"/>
                          <w:spacing w:val="-4"/>
                          <w:sz w:val="18"/>
                        </w:rPr>
                        <w:t xml:space="preserve">However, </w:t>
                      </w:r>
                      <w:r>
                        <w:rPr>
                          <w:rFonts w:ascii="Arial;Helvetica;Sans-Serif" w:hAnsi="Arial;Helvetica;Sans-Serif"/>
                          <w:b w:val="false"/>
                          <w:i w:val="false"/>
                          <w:caps w:val="false"/>
                          <w:smallCaps w:val="false"/>
                          <w:color w:val="58595B"/>
                          <w:sz w:val="18"/>
                        </w:rPr>
                        <w:t xml:space="preserve">in the </w:t>
                      </w:r>
                      <w:r>
                        <w:rPr>
                          <w:rFonts w:ascii="Arial;Helvetica;Sans-Serif" w:hAnsi="Arial;Helvetica;Sans-Serif"/>
                          <w:b w:val="false"/>
                          <w:i w:val="false"/>
                          <w:caps w:val="false"/>
                          <w:smallCaps w:val="false"/>
                          <w:color w:val="58595B"/>
                          <w:spacing w:val="-3"/>
                          <w:sz w:val="18"/>
                        </w:rPr>
                        <w:t xml:space="preserve">event </w:t>
                      </w:r>
                      <w:r>
                        <w:rPr>
                          <w:rFonts w:ascii="Arial;Helvetica;Sans-Serif" w:hAnsi="Arial;Helvetica;Sans-Serif"/>
                          <w:b w:val="false"/>
                          <w:i w:val="false"/>
                          <w:caps w:val="false"/>
                          <w:smallCaps w:val="false"/>
                          <w:color w:val="58595B"/>
                          <w:sz w:val="18"/>
                        </w:rPr>
                        <w:t>that the 2024 annual meeting is called for a date that is not within thirty days of June 9, 2024, notice by the shareholder must be received by no later than the tenth day following the date of the public announcement.</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Shareholder proxy access nominations must be addressed to:</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Technologies, Inc.</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Attention: Corporate Secretary</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PROXY ACCESS DIRECTOR NOMINEE</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3280 Peachtree Road, Suite 2400</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Atlanta, Georgia 30305</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Contacting the Board:</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Shareholders and other interested parties can contact the Board as a group or the non-management directors as a group as follows:</w:t>
                      </w:r>
                    </w:p>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4"/>
                          <w:sz w:val="18"/>
                        </w:rPr>
                        <w:t xml:space="preserve">For </w:t>
                      </w:r>
                      <w:r>
                        <w:rPr>
                          <w:rFonts w:ascii="Arial;Helvetica;Sans-Serif" w:hAnsi="Arial;Helvetica;Sans-Serif"/>
                          <w:b w:val="false"/>
                          <w:i w:val="false"/>
                          <w:caps w:val="false"/>
                          <w:smallCaps w:val="false"/>
                          <w:color w:val="58595B"/>
                          <w:sz w:val="18"/>
                        </w:rPr>
                        <w:t>the Board as a whole: FLEETCORBoard@FLEETCOR.com</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For the non-management directors: FLEETCORNonManagementDirectors@FLEETCOR.com</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Corporate Secretary reviews all written and emailed correspondence received from shareholders and other </w:t>
                      </w:r>
                      <w:r>
                        <w:rPr>
                          <w:rFonts w:ascii="Arial;Helvetica;Sans-Serif" w:hAnsi="Arial;Helvetica;Sans-Serif"/>
                          <w:b w:val="false"/>
                          <w:i w:val="false"/>
                          <w:caps w:val="false"/>
                          <w:smallCaps w:val="false"/>
                          <w:color w:val="58595B"/>
                          <w:spacing w:val="-2"/>
                          <w:sz w:val="18"/>
                        </w:rPr>
                        <w:t>inter</w:t>
                      </w:r>
                      <w:r>
                        <w:rPr>
                          <w:rFonts w:ascii="Arial;Helvetica;Sans-Serif" w:hAnsi="Arial;Helvetica;Sans-Serif"/>
                          <w:b w:val="false"/>
                          <w:i w:val="false"/>
                          <w:caps w:val="false"/>
                          <w:smallCaps w:val="false"/>
                          <w:color w:val="58595B"/>
                          <w:sz w:val="18"/>
                        </w:rPr>
                        <w:t>ested parties and forwards such correspondence periodically to the directors if and as appropriate. Shareholders can submit communications anonymously or by identifying themselves.</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p>
    <w:p>
      <w:pPr>
        <w:pStyle w:val="TextBody"/>
        <w:rPr/>
      </w:pPr>
      <w:r>
        <w:rPr/>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23</w:t>
            </w:r>
          </w:p>
        </w:tc>
      </w:tr>
    </w:tbl>
    <w:p>
      <w:pPr>
        <w:pStyle w:val="TextBody"/>
        <w:jc w:val="left"/>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Normal"/>
        <w:spacing w:before="0" w:after="0"/>
        <w:rPr>
          <w:sz w:val="4"/>
          <w:szCs w:val="4"/>
        </w:rPr>
      </w:pPr>
      <w:r>
        <w:rPr>
          <w:sz w:val="4"/>
          <w:szCs w:val="4"/>
        </w:rPr>
      </w:r>
      <w:bookmarkStart w:id="68" w:name="a038"/>
      <w:bookmarkStart w:id="69" w:name="a038"/>
      <w:bookmarkEnd w:id="69"/>
    </w:p>
    <w:tbl>
      <w:tblPr>
        <w:tblW w:w="10205" w:type="dxa"/>
        <w:jc w:val="left"/>
        <w:tblInd w:w="0" w:type="dxa"/>
        <w:tblCellMar>
          <w:top w:w="0" w:type="dxa"/>
          <w:left w:w="0" w:type="dxa"/>
          <w:bottom w:w="0" w:type="dxa"/>
          <w:right w:w="0" w:type="dxa"/>
        </w:tblCellMar>
      </w:tblPr>
      <w:tblGrid>
        <w:gridCol w:w="38"/>
        <w:gridCol w:w="280"/>
        <w:gridCol w:w="9887"/>
      </w:tblGrid>
      <w:tr>
        <w:trPr/>
        <w:tc>
          <w:tcPr>
            <w:tcW w:w="3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jc w:val="left"/>
              <w:rPr>
                <w:rFonts w:ascii="Arial;Helvetica;Sans-Serif" w:hAnsi="Arial;Helvetica;Sans-Serif"/>
                <w:b/>
                <w:color w:val="231F20"/>
                <w:sz w:val="20"/>
              </w:rPr>
            </w:pPr>
            <w:r>
              <w:rPr>
                <w:rFonts w:ascii="Arial;Helvetica;Sans-Serif" w:hAnsi="Arial;Helvetica;Sans-Serif"/>
                <w:b/>
                <w:color w:val="231F20"/>
                <w:sz w:val="20"/>
              </w:rPr>
              <w:t>04.</w:t>
            </w:r>
          </w:p>
        </w:tc>
        <w:tc>
          <w:tcPr>
            <w:tcW w:w="9887" w:type="dxa"/>
            <w:tcBorders/>
            <w:shd w:fill="auto" w:val="clear"/>
            <w:vAlign w:val="center"/>
          </w:tcPr>
          <w:p>
            <w:pPr>
              <w:pStyle w:val="TableContents"/>
              <w:spacing w:before="0" w:after="283"/>
              <w:rPr>
                <w:rFonts w:ascii="Arial;Helvetica;Sans-Serif" w:hAnsi="Arial;Helvetica;Sans-Serif"/>
                <w:color w:val="EE0027"/>
                <w:sz w:val="20"/>
              </w:rPr>
            </w:pPr>
            <w:r>
              <w:rPr>
                <w:rFonts w:ascii="Arial;Helvetica;Sans-Serif" w:hAnsi="Arial;Helvetica;Sans-Serif"/>
                <w:color w:val="EE0027"/>
                <w:sz w:val="20"/>
              </w:rPr>
              <w:t>INFORMATION REGARDING BENEFICIAL OWNERSHIP OF PRINCIPAL SHAREHOLDERS, DIRECTORS, AND MANAGEMENT</w:t>
            </w:r>
          </w:p>
        </w:tc>
      </w:tr>
    </w:tbl>
    <w:p>
      <w:pPr>
        <w:pStyle w:val="TextBody"/>
        <w:spacing w:before="0" w:after="0"/>
        <w:ind w:left="431" w:right="0" w:hanging="412"/>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sets forth the common shares beneficially owned by our directors, our chief executive officer, our chief financial officer and our next three most highly compensated executive officers, whom we refer to as our “named executive officers” or NEOS, and all persons known to us to own more than 5% of our outstanding common shares, as of February 17, 2023. Percentages are based on 73,491,592 shares outstanding as of February 17, 2023.</w:t>
      </w:r>
    </w:p>
    <w:p>
      <w:pPr>
        <w:pStyle w:val="TextBody"/>
        <w:rPr>
          <w:caps w:val="false"/>
          <w:smallCaps w:val="false"/>
          <w:color w:val="58595B"/>
        </w:rPr>
      </w:pPr>
      <w:r>
        <w:rPr>
          <w:caps w:val="false"/>
          <w:smallCaps w:val="false"/>
          <w:color w:val="58595B"/>
        </w:rPr>
        <w:t> </w:t>
      </w:r>
    </w:p>
    <w:tbl>
      <w:tblPr>
        <w:tblW w:w="7975" w:type="dxa"/>
        <w:jc w:val="left"/>
        <w:tblInd w:w="0" w:type="dxa"/>
        <w:tblCellMar>
          <w:top w:w="0" w:type="dxa"/>
          <w:left w:w="0" w:type="dxa"/>
          <w:bottom w:w="0" w:type="dxa"/>
          <w:right w:w="0" w:type="dxa"/>
        </w:tblCellMar>
      </w:tblPr>
      <w:tblGrid>
        <w:gridCol w:w="3515"/>
        <w:gridCol w:w="1505"/>
        <w:gridCol w:w="920"/>
        <w:gridCol w:w="845"/>
        <w:gridCol w:w="1190"/>
      </w:tblGrid>
      <w:tr>
        <w:trPr/>
        <w:tc>
          <w:tcPr>
            <w:tcW w:w="3515" w:type="dxa"/>
            <w:tcBorders/>
            <w:shd w:fill="EE0027" w:val="clear"/>
            <w:vAlign w:val="center"/>
          </w:tcPr>
          <w:p>
            <w:pPr>
              <w:pStyle w:val="TableContents"/>
              <w:spacing w:lineRule="auto" w:line="240" w:before="0" w:after="283"/>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Name and Address(1)</w:t>
            </w:r>
          </w:p>
        </w:tc>
        <w:tc>
          <w:tcPr>
            <w:tcW w:w="1505" w:type="dxa"/>
            <w:tcBorders/>
            <w:shd w:fill="EE0027" w:val="clear"/>
            <w:vAlign w:val="center"/>
          </w:tcPr>
          <w:p>
            <w:pPr>
              <w:pStyle w:val="TableContents"/>
              <w:spacing w:lineRule="auto" w:line="240" w:before="0" w:after="283"/>
              <w:jc w:val="left"/>
              <w:rPr/>
            </w:pPr>
            <w:r>
              <w:rPr>
                <w:rFonts w:ascii="Arial;Helvetica;Sans-Serif" w:hAnsi="Arial;Helvetica;Sans-Serif"/>
                <w:b/>
                <w:color w:val="FFFFFF"/>
                <w:sz w:val="18"/>
              </w:rPr>
              <w:t xml:space="preserve">Common Shares </w:t>
            </w:r>
            <w:r>
              <w:rPr/>
              <w:br/>
            </w:r>
            <w:r>
              <w:rPr>
                <w:rFonts w:ascii="Arial;Helvetica;Sans-Serif" w:hAnsi="Arial;Helvetica;Sans-Serif"/>
                <w:b/>
                <w:color w:val="FFFFFF"/>
                <w:sz w:val="18"/>
              </w:rPr>
              <w:t xml:space="preserve">Beneficially </w:t>
            </w:r>
            <w:r>
              <w:rPr/>
              <w:br/>
            </w:r>
            <w:r>
              <w:rPr>
                <w:rFonts w:ascii="Arial;Helvetica;Sans-Serif" w:hAnsi="Arial;Helvetica;Sans-Serif"/>
                <w:b/>
                <w:color w:val="FFFFFF"/>
                <w:sz w:val="18"/>
              </w:rPr>
              <w:t>Owned(2)</w:t>
            </w:r>
          </w:p>
        </w:tc>
        <w:tc>
          <w:tcPr>
            <w:tcW w:w="920" w:type="dxa"/>
            <w:tcBorders/>
            <w:shd w:fill="EE0027" w:val="cle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8"/>
              </w:rPr>
              <w:t xml:space="preserve">Right to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8"/>
              </w:rPr>
              <w:t>Acquire(3)</w:t>
            </w:r>
          </w:p>
        </w:tc>
        <w:tc>
          <w:tcPr>
            <w:tcW w:w="845" w:type="dxa"/>
            <w:tcBorders/>
            <w:shd w:fill="EE0027" w:val="clear"/>
            <w:vAlign w:val="center"/>
          </w:tcPr>
          <w:p>
            <w:pPr>
              <w:pStyle w:val="TableContents"/>
              <w:spacing w:lineRule="auto" w:line="240" w:before="0" w:after="283"/>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Total(4)</w:t>
            </w:r>
          </w:p>
        </w:tc>
        <w:tc>
          <w:tcPr>
            <w:tcW w:w="1190" w:type="dxa"/>
            <w:tcBorders/>
            <w:shd w:fill="EE0027" w:val="clear"/>
            <w:vAlign w:val="center"/>
          </w:tcPr>
          <w:p>
            <w:pPr>
              <w:pStyle w:val="TableContents"/>
              <w:spacing w:lineRule="auto" w:line="240" w:before="0" w:after="283"/>
              <w:jc w:val="left"/>
              <w:rPr/>
            </w:pPr>
            <w:r>
              <w:rPr>
                <w:rFonts w:ascii="Arial;Helvetica;Sans-Serif" w:hAnsi="Arial;Helvetica;Sans-Serif"/>
                <w:b/>
                <w:color w:val="FFFFFF"/>
                <w:sz w:val="18"/>
              </w:rPr>
              <w:t xml:space="preserve">Percent(4) of </w:t>
            </w:r>
            <w:r>
              <w:rPr/>
              <w:br/>
            </w:r>
            <w:r>
              <w:rPr>
                <w:rFonts w:ascii="Arial;Helvetica;Sans-Serif" w:hAnsi="Arial;Helvetica;Sans-Serif"/>
                <w:b/>
                <w:color w:val="FFFFFF"/>
                <w:sz w:val="18"/>
              </w:rPr>
              <w:t xml:space="preserve">Outstanding </w:t>
              <w:br/>
              <w:t>Shares(5)</w:t>
            </w:r>
          </w:p>
        </w:tc>
      </w:tr>
      <w:tr>
        <w:trPr/>
        <w:tc>
          <w:tcPr>
            <w:tcW w:w="3515" w:type="dxa"/>
            <w:tcBorders/>
            <w:shd w:fill="auto" w:val="clear"/>
            <w:vAlign w:val="center"/>
          </w:tcPr>
          <w:p>
            <w:pPr>
              <w:pStyle w:val="TableContents"/>
              <w:spacing w:lineRule="auto" w:line="240"/>
              <w:jc w:val="left"/>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z w:val="18"/>
              </w:rPr>
              <w:t>The Vanguard Group (6)</w:t>
            </w:r>
            <w:r>
              <w:rPr>
                <w:rFonts w:ascii="Times New Roman;Times;Serif" w:hAnsi="Times New Roman;Times;Serif"/>
                <w:b w:val="false"/>
                <w:i w:val="false"/>
                <w:caps w:val="false"/>
                <w:smallCaps w:val="false"/>
                <w:color w:val="58595B"/>
                <w:sz w:val="20"/>
              </w:rPr>
              <w:br/>
            </w:r>
            <w:r>
              <w:rPr>
                <w:rFonts w:ascii="Arial;Helvetica;Sans-Serif" w:hAnsi="Arial;Helvetica;Sans-Serif"/>
                <w:b w:val="false"/>
                <w:i w:val="false"/>
                <w:caps w:val="false"/>
                <w:smallCaps w:val="false"/>
                <w:color w:val="58595B"/>
                <w:sz w:val="18"/>
              </w:rPr>
              <w:t>100 Vanguard Boulevard</w:t>
            </w:r>
          </w:p>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Malvern, PA 19355</w:t>
            </w:r>
          </w:p>
        </w:tc>
        <w:tc>
          <w:tcPr>
            <w:tcW w:w="150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8,188,881</w:t>
            </w:r>
          </w:p>
        </w:tc>
        <w:tc>
          <w:tcPr>
            <w:tcW w:w="920" w:type="dxa"/>
            <w:tcBorders/>
            <w:shd w:fill="auto" w:val="clear"/>
            <w:vAlign w:val="center"/>
          </w:tcPr>
          <w:p>
            <w:pPr>
              <w:pStyle w:val="TableContents"/>
              <w:spacing w:before="0" w:after="283"/>
              <w:jc w:val="left"/>
              <w:rPr>
                <w:color w:val="58595B"/>
              </w:rPr>
            </w:pPr>
            <w:r>
              <w:rPr>
                <w:color w:val="58595B"/>
              </w:rPr>
              <w:t>—</w:t>
            </w:r>
          </w:p>
        </w:tc>
        <w:tc>
          <w:tcPr>
            <w:tcW w:w="84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8,188,881</w:t>
            </w:r>
          </w:p>
        </w:tc>
        <w:tc>
          <w:tcPr>
            <w:tcW w:w="11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11.14%</w:t>
            </w:r>
          </w:p>
        </w:tc>
      </w:tr>
      <w:tr>
        <w:trPr/>
        <w:tc>
          <w:tcPr>
            <w:tcW w:w="3515" w:type="dxa"/>
            <w:tcBorders/>
            <w:shd w:fill="DCDDDE" w:val="clear"/>
            <w:vAlign w:val="center"/>
          </w:tcPr>
          <w:p>
            <w:pPr>
              <w:pStyle w:val="TableContents"/>
              <w:spacing w:lineRule="auto" w:line="24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Blackrock, Inc.(7)</w:t>
            </w:r>
          </w:p>
          <w:p>
            <w:pPr>
              <w:pStyle w:val="TableContents"/>
              <w:spacing w:before="0" w:after="283"/>
              <w:jc w:val="left"/>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z w:val="18"/>
              </w:rPr>
              <w:t xml:space="preserve">55 East 52nd Street </w:t>
            </w:r>
            <w:r>
              <w:rPr>
                <w:rFonts w:ascii="Times New Roman;Times;Serif" w:hAnsi="Times New Roman;Times;Serif"/>
                <w:b w:val="false"/>
                <w:i w:val="false"/>
                <w:caps w:val="false"/>
                <w:smallCaps w:val="false"/>
                <w:color w:val="58595B"/>
                <w:sz w:val="20"/>
              </w:rPr>
              <w:br/>
            </w:r>
            <w:r>
              <w:rPr>
                <w:rFonts w:ascii="Arial;Helvetica;Sans-Serif" w:hAnsi="Arial;Helvetica;Sans-Serif"/>
                <w:b w:val="false"/>
                <w:i w:val="false"/>
                <w:caps w:val="false"/>
                <w:smallCaps w:val="false"/>
                <w:color w:val="58595B"/>
                <w:sz w:val="18"/>
              </w:rPr>
              <w:t>New York, NY 10055</w:t>
            </w:r>
          </w:p>
        </w:tc>
        <w:tc>
          <w:tcPr>
            <w:tcW w:w="150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5,357,207</w:t>
            </w:r>
          </w:p>
        </w:tc>
        <w:tc>
          <w:tcPr>
            <w:tcW w:w="920" w:type="dxa"/>
            <w:tcBorders/>
            <w:shd w:fill="DCDDDE"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84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5,357,207</w:t>
            </w:r>
          </w:p>
        </w:tc>
        <w:tc>
          <w:tcPr>
            <w:tcW w:w="119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7.29%</w:t>
            </w:r>
          </w:p>
        </w:tc>
      </w:tr>
      <w:tr>
        <w:trPr/>
        <w:tc>
          <w:tcPr>
            <w:tcW w:w="3515" w:type="dxa"/>
            <w:tcBorders/>
            <w:shd w:fill="auto" w:val="clear"/>
            <w:vAlign w:val="center"/>
          </w:tcPr>
          <w:p>
            <w:pPr>
              <w:pStyle w:val="TableContents"/>
              <w:spacing w:lineRule="auto" w:line="24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Orbis Investments (8)</w:t>
            </w:r>
          </w:p>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Orbis House, 25 </w:t>
            </w:r>
            <w:r>
              <w:rPr>
                <w:rFonts w:ascii="Arial;Helvetica;Sans-Serif" w:hAnsi="Arial;Helvetica;Sans-Serif"/>
                <w:b w:val="false"/>
                <w:i w:val="false"/>
                <w:caps w:val="false"/>
                <w:smallCaps w:val="false"/>
                <w:color w:val="58595B"/>
                <w:spacing w:val="-4"/>
                <w:sz w:val="18"/>
              </w:rPr>
              <w:t xml:space="preserve">Front </w:t>
            </w:r>
            <w:r>
              <w:rPr>
                <w:rFonts w:ascii="Arial;Helvetica;Sans-Serif" w:hAnsi="Arial;Helvetica;Sans-Serif"/>
                <w:b w:val="false"/>
                <w:i w:val="false"/>
                <w:caps w:val="false"/>
                <w:smallCaps w:val="false"/>
                <w:color w:val="58595B"/>
                <w:spacing w:val="-5"/>
                <w:sz w:val="18"/>
              </w:rPr>
              <w:t xml:space="preserve">Street, </w:t>
            </w:r>
            <w:r>
              <w:rPr>
                <w:rFonts w:ascii="Arial;Helvetica;Sans-Serif" w:hAnsi="Arial;Helvetica;Sans-Serif"/>
                <w:b w:val="false"/>
                <w:i w:val="false"/>
                <w:caps w:val="false"/>
                <w:smallCaps w:val="false"/>
                <w:color w:val="58595B"/>
                <w:sz w:val="18"/>
              </w:rPr>
              <w:br/>
              <w:t>Hamilton, Bermuda HM11</w:t>
            </w:r>
          </w:p>
        </w:tc>
        <w:tc>
          <w:tcPr>
            <w:tcW w:w="150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4,821,926</w:t>
            </w:r>
          </w:p>
        </w:tc>
        <w:tc>
          <w:tcPr>
            <w:tcW w:w="920"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84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4,821,926</w:t>
            </w:r>
          </w:p>
        </w:tc>
        <w:tc>
          <w:tcPr>
            <w:tcW w:w="119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6.56%</w:t>
            </w:r>
          </w:p>
        </w:tc>
      </w:tr>
      <w:tr>
        <w:trPr/>
        <w:tc>
          <w:tcPr>
            <w:tcW w:w="3515" w:type="dxa"/>
            <w:tcBorders/>
            <w:shd w:fill="DCDDDE" w:val="clear"/>
            <w:vAlign w:val="center"/>
          </w:tcPr>
          <w:p>
            <w:pPr>
              <w:pStyle w:val="TableContents"/>
              <w:spacing w:lineRule="auto" w:line="240"/>
              <w:jc w:val="left"/>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z w:val="18"/>
              </w:rPr>
              <w:t>Wellington Management Company LLP (9)</w:t>
            </w:r>
            <w:r>
              <w:rPr>
                <w:rFonts w:ascii="Times New Roman;Times;Serif" w:hAnsi="Times New Roman;Times;Serif"/>
                <w:b w:val="false"/>
                <w:i w:val="false"/>
                <w:caps w:val="false"/>
                <w:smallCaps w:val="false"/>
                <w:color w:val="58595B"/>
                <w:sz w:val="20"/>
              </w:rPr>
              <w:br/>
            </w:r>
            <w:r>
              <w:rPr>
                <w:rFonts w:ascii="Arial;Helvetica;Sans-Serif" w:hAnsi="Arial;Helvetica;Sans-Serif"/>
                <w:b w:val="false"/>
                <w:i w:val="false"/>
                <w:caps w:val="false"/>
                <w:smallCaps w:val="false"/>
                <w:color w:val="58595B"/>
                <w:sz w:val="18"/>
              </w:rPr>
              <w:t>280 Congress Street</w:t>
            </w:r>
          </w:p>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Boston, MA 02210</w:t>
            </w:r>
          </w:p>
        </w:tc>
        <w:tc>
          <w:tcPr>
            <w:tcW w:w="150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4,641,692</w:t>
            </w:r>
          </w:p>
        </w:tc>
        <w:tc>
          <w:tcPr>
            <w:tcW w:w="920" w:type="dxa"/>
            <w:tcBorders/>
            <w:shd w:fill="DCDDDE"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84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4,641,692</w:t>
            </w:r>
          </w:p>
        </w:tc>
        <w:tc>
          <w:tcPr>
            <w:tcW w:w="119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6.32%</w:t>
            </w:r>
          </w:p>
        </w:tc>
      </w:tr>
      <w:tr>
        <w:trPr/>
        <w:tc>
          <w:tcPr>
            <w:tcW w:w="3515" w:type="dxa"/>
            <w:tcBorders/>
            <w:shd w:fill="auto" w:val="clear"/>
            <w:vAlign w:val="center"/>
          </w:tcPr>
          <w:p>
            <w:pPr>
              <w:pStyle w:val="TableContents"/>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Directors and NEOs:</w:t>
            </w:r>
          </w:p>
        </w:tc>
        <w:tc>
          <w:tcPr>
            <w:tcW w:w="1505" w:type="dxa"/>
            <w:tcBorders/>
            <w:shd w:fill="auto" w:val="clear"/>
            <w:vAlign w:val="center"/>
          </w:tcPr>
          <w:p>
            <w:pPr>
              <w:pStyle w:val="TableContents"/>
              <w:spacing w:before="0" w:after="283"/>
              <w:jc w:val="left"/>
              <w:rPr/>
            </w:pPr>
            <w:r>
              <w:rPr/>
              <w:t> </w:t>
            </w:r>
          </w:p>
        </w:tc>
        <w:tc>
          <w:tcPr>
            <w:tcW w:w="920" w:type="dxa"/>
            <w:tcBorders/>
            <w:shd w:fill="auto" w:val="clear"/>
            <w:vAlign w:val="center"/>
          </w:tcPr>
          <w:p>
            <w:pPr>
              <w:pStyle w:val="TableContents"/>
              <w:spacing w:before="0" w:after="283"/>
              <w:jc w:val="left"/>
              <w:rPr/>
            </w:pPr>
            <w:r>
              <w:rPr/>
              <w:t> </w:t>
            </w:r>
          </w:p>
        </w:tc>
        <w:tc>
          <w:tcPr>
            <w:tcW w:w="845" w:type="dxa"/>
            <w:tcBorders/>
            <w:shd w:fill="auto" w:val="clear"/>
            <w:vAlign w:val="center"/>
          </w:tcPr>
          <w:p>
            <w:pPr>
              <w:pStyle w:val="TableContents"/>
              <w:spacing w:before="0" w:after="283"/>
              <w:jc w:val="left"/>
              <w:rPr/>
            </w:pPr>
            <w:r>
              <w:rPr/>
              <w:t> </w:t>
            </w:r>
          </w:p>
        </w:tc>
        <w:tc>
          <w:tcPr>
            <w:tcW w:w="1190" w:type="dxa"/>
            <w:tcBorders/>
            <w:shd w:fill="auto" w:val="clear"/>
            <w:vAlign w:val="center"/>
          </w:tcPr>
          <w:p>
            <w:pPr>
              <w:pStyle w:val="TableContents"/>
              <w:spacing w:before="0" w:after="283"/>
              <w:jc w:val="left"/>
              <w:rPr/>
            </w:pPr>
            <w:r>
              <w:rPr/>
              <w:t> </w:t>
            </w:r>
          </w:p>
        </w:tc>
      </w:tr>
      <w:tr>
        <w:trPr/>
        <w:tc>
          <w:tcPr>
            <w:tcW w:w="351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Ronald F. Clarke (10)</w:t>
            </w:r>
          </w:p>
        </w:tc>
        <w:tc>
          <w:tcPr>
            <w:tcW w:w="150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1,973,950</w:t>
            </w:r>
          </w:p>
        </w:tc>
        <w:tc>
          <w:tcPr>
            <w:tcW w:w="92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2,125,000</w:t>
            </w:r>
          </w:p>
        </w:tc>
        <w:tc>
          <w:tcPr>
            <w:tcW w:w="84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4,098,950</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5.4%</w:t>
            </w:r>
          </w:p>
        </w:tc>
      </w:tr>
      <w:tr>
        <w:trPr/>
        <w:tc>
          <w:tcPr>
            <w:tcW w:w="3515" w:type="dxa"/>
            <w:tcBorders/>
            <w:shd w:fill="auto"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Alissa B. Vickery (11)</w:t>
            </w:r>
          </w:p>
        </w:tc>
        <w:tc>
          <w:tcPr>
            <w:tcW w:w="150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1,848</w:t>
            </w:r>
          </w:p>
        </w:tc>
        <w:tc>
          <w:tcPr>
            <w:tcW w:w="92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25,741</w:t>
            </w:r>
          </w:p>
        </w:tc>
        <w:tc>
          <w:tcPr>
            <w:tcW w:w="84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27,589</w:t>
            </w:r>
          </w:p>
        </w:tc>
        <w:tc>
          <w:tcPr>
            <w:tcW w:w="11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Charles Freund (12)</w:t>
            </w:r>
          </w:p>
        </w:tc>
        <w:tc>
          <w:tcPr>
            <w:tcW w:w="150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24,585</w:t>
            </w:r>
          </w:p>
        </w:tc>
        <w:tc>
          <w:tcPr>
            <w:tcW w:w="92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29,559</w:t>
            </w:r>
          </w:p>
        </w:tc>
        <w:tc>
          <w:tcPr>
            <w:tcW w:w="84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54,144</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auto"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John S. Coughlin (13)</w:t>
            </w:r>
          </w:p>
        </w:tc>
        <w:tc>
          <w:tcPr>
            <w:tcW w:w="150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4,717</w:t>
            </w:r>
          </w:p>
        </w:tc>
        <w:tc>
          <w:tcPr>
            <w:tcW w:w="92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131,547</w:t>
            </w:r>
          </w:p>
        </w:tc>
        <w:tc>
          <w:tcPr>
            <w:tcW w:w="84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136,264</w:t>
            </w:r>
          </w:p>
        </w:tc>
        <w:tc>
          <w:tcPr>
            <w:tcW w:w="11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Alexey Gavrilenya (14)</w:t>
            </w:r>
          </w:p>
        </w:tc>
        <w:tc>
          <w:tcPr>
            <w:tcW w:w="150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4,959</w:t>
            </w:r>
          </w:p>
        </w:tc>
        <w:tc>
          <w:tcPr>
            <w:tcW w:w="92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161,647</w:t>
            </w:r>
          </w:p>
        </w:tc>
        <w:tc>
          <w:tcPr>
            <w:tcW w:w="84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166,606</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FFFFFF"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Alan King(15)</w:t>
            </w:r>
          </w:p>
        </w:tc>
        <w:tc>
          <w:tcPr>
            <w:tcW w:w="1505"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19,230</w:t>
            </w:r>
          </w:p>
        </w:tc>
        <w:tc>
          <w:tcPr>
            <w:tcW w:w="920"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67,572</w:t>
            </w:r>
          </w:p>
        </w:tc>
        <w:tc>
          <w:tcPr>
            <w:tcW w:w="845"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86,802</w:t>
            </w:r>
          </w:p>
        </w:tc>
        <w:tc>
          <w:tcPr>
            <w:tcW w:w="1190"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Armando L. Netto (16)</w:t>
            </w:r>
          </w:p>
        </w:tc>
        <w:tc>
          <w:tcPr>
            <w:tcW w:w="150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32,892</w:t>
            </w:r>
          </w:p>
        </w:tc>
        <w:tc>
          <w:tcPr>
            <w:tcW w:w="92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154,705</w:t>
            </w:r>
          </w:p>
        </w:tc>
        <w:tc>
          <w:tcPr>
            <w:tcW w:w="84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187,597</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FFFFFF"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Annabelle Bexiga (17)</w:t>
            </w:r>
          </w:p>
        </w:tc>
        <w:tc>
          <w:tcPr>
            <w:tcW w:w="1505"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2,495</w:t>
            </w:r>
          </w:p>
        </w:tc>
        <w:tc>
          <w:tcPr>
            <w:tcW w:w="920" w:type="dxa"/>
            <w:tcBorders/>
            <w:shd w:fill="FFFFFF" w:val="clear"/>
            <w:vAlign w:val="center"/>
          </w:tcPr>
          <w:p>
            <w:pPr>
              <w:pStyle w:val="TableContents"/>
              <w:spacing w:before="0" w:after="283"/>
              <w:jc w:val="left"/>
              <w:rPr>
                <w:color w:val="58595B"/>
              </w:rPr>
            </w:pPr>
            <w:r>
              <w:rPr>
                <w:color w:val="58595B"/>
              </w:rPr>
              <w:t>—</w:t>
            </w:r>
          </w:p>
        </w:tc>
        <w:tc>
          <w:tcPr>
            <w:tcW w:w="845"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2,495</w:t>
            </w:r>
          </w:p>
        </w:tc>
        <w:tc>
          <w:tcPr>
            <w:tcW w:w="1190"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Michael Buckman (18)</w:t>
            </w:r>
          </w:p>
        </w:tc>
        <w:tc>
          <w:tcPr>
            <w:tcW w:w="150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22,136</w:t>
            </w:r>
          </w:p>
        </w:tc>
        <w:tc>
          <w:tcPr>
            <w:tcW w:w="920" w:type="dxa"/>
            <w:tcBorders/>
            <w:shd w:fill="DCDDDE" w:val="clear"/>
            <w:vAlign w:val="center"/>
          </w:tcPr>
          <w:p>
            <w:pPr>
              <w:pStyle w:val="TableContents"/>
              <w:spacing w:before="0" w:after="283"/>
              <w:jc w:val="left"/>
              <w:rPr>
                <w:color w:val="58595B"/>
              </w:rPr>
            </w:pPr>
            <w:r>
              <w:rPr>
                <w:color w:val="58595B"/>
              </w:rPr>
              <w:t>—</w:t>
            </w:r>
          </w:p>
        </w:tc>
        <w:tc>
          <w:tcPr>
            <w:tcW w:w="84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22,136</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FFFFFF"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Joseph W. Farrelly (19)</w:t>
            </w:r>
          </w:p>
        </w:tc>
        <w:tc>
          <w:tcPr>
            <w:tcW w:w="1505"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15,628</w:t>
            </w:r>
          </w:p>
        </w:tc>
        <w:tc>
          <w:tcPr>
            <w:tcW w:w="920" w:type="dxa"/>
            <w:tcBorders/>
            <w:shd w:fill="FFFFFF" w:val="clear"/>
            <w:vAlign w:val="center"/>
          </w:tcPr>
          <w:p>
            <w:pPr>
              <w:pStyle w:val="TableContents"/>
              <w:spacing w:before="0" w:after="283"/>
              <w:jc w:val="left"/>
              <w:rPr>
                <w:color w:val="58595B"/>
              </w:rPr>
            </w:pPr>
            <w:r>
              <w:rPr>
                <w:color w:val="58595B"/>
              </w:rPr>
              <w:t>—</w:t>
            </w:r>
          </w:p>
        </w:tc>
        <w:tc>
          <w:tcPr>
            <w:tcW w:w="845"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15,628</w:t>
            </w:r>
          </w:p>
        </w:tc>
        <w:tc>
          <w:tcPr>
            <w:tcW w:w="1190"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Rahul Gupta (20)</w:t>
            </w:r>
          </w:p>
        </w:tc>
        <w:tc>
          <w:tcPr>
            <w:tcW w:w="1505" w:type="dxa"/>
            <w:tcBorders/>
            <w:shd w:fill="DCDDDE" w:val="clear"/>
            <w:vAlign w:val="center"/>
          </w:tcPr>
          <w:p>
            <w:pPr>
              <w:pStyle w:val="TableContents"/>
              <w:spacing w:before="0" w:after="283"/>
              <w:jc w:val="left"/>
              <w:rPr>
                <w:color w:val="58595B"/>
              </w:rPr>
            </w:pPr>
            <w:r>
              <w:rPr>
                <w:color w:val="58595B"/>
              </w:rPr>
              <w:t>—</w:t>
            </w:r>
          </w:p>
        </w:tc>
        <w:tc>
          <w:tcPr>
            <w:tcW w:w="920" w:type="dxa"/>
            <w:tcBorders/>
            <w:shd w:fill="DCDDDE" w:val="clear"/>
            <w:vAlign w:val="center"/>
          </w:tcPr>
          <w:p>
            <w:pPr>
              <w:pStyle w:val="TableContents"/>
              <w:spacing w:before="0" w:after="283"/>
              <w:jc w:val="left"/>
              <w:rPr>
                <w:color w:val="58595B"/>
              </w:rPr>
            </w:pPr>
            <w:r>
              <w:rPr>
                <w:color w:val="58595B"/>
              </w:rPr>
              <w:t>—</w:t>
            </w:r>
          </w:p>
        </w:tc>
        <w:tc>
          <w:tcPr>
            <w:tcW w:w="845" w:type="dxa"/>
            <w:tcBorders/>
            <w:shd w:fill="DCDDDE" w:val="clear"/>
            <w:vAlign w:val="center"/>
          </w:tcPr>
          <w:p>
            <w:pPr>
              <w:pStyle w:val="TableContents"/>
              <w:spacing w:before="0" w:after="283"/>
              <w:jc w:val="left"/>
              <w:rPr>
                <w:color w:val="58595B"/>
              </w:rPr>
            </w:pPr>
            <w:r>
              <w:rPr>
                <w:color w:val="58595B"/>
              </w:rPr>
              <w:t>—</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FFFFFF"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Thomas M. Hagerty (21)</w:t>
            </w:r>
          </w:p>
        </w:tc>
        <w:tc>
          <w:tcPr>
            <w:tcW w:w="1505"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8,812</w:t>
            </w:r>
          </w:p>
        </w:tc>
        <w:tc>
          <w:tcPr>
            <w:tcW w:w="920" w:type="dxa"/>
            <w:tcBorders/>
            <w:shd w:fill="FFFFFF" w:val="clear"/>
            <w:vAlign w:val="center"/>
          </w:tcPr>
          <w:p>
            <w:pPr>
              <w:pStyle w:val="TableContents"/>
              <w:spacing w:before="0" w:after="283"/>
              <w:jc w:val="left"/>
              <w:rPr>
                <w:color w:val="58595B"/>
              </w:rPr>
            </w:pPr>
            <w:r>
              <w:rPr>
                <w:color w:val="58595B"/>
              </w:rPr>
              <w:t>—</w:t>
            </w:r>
          </w:p>
        </w:tc>
        <w:tc>
          <w:tcPr>
            <w:tcW w:w="845"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8,812</w:t>
            </w:r>
          </w:p>
        </w:tc>
        <w:tc>
          <w:tcPr>
            <w:tcW w:w="1190" w:type="dxa"/>
            <w:tcBorders/>
            <w:shd w:fill="FFFFFF"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351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Mark A. Johnson (22)</w:t>
            </w:r>
          </w:p>
        </w:tc>
        <w:tc>
          <w:tcPr>
            <w:tcW w:w="150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85,966</w:t>
            </w:r>
          </w:p>
        </w:tc>
        <w:tc>
          <w:tcPr>
            <w:tcW w:w="920" w:type="dxa"/>
            <w:tcBorders/>
            <w:shd w:fill="DCDDDE" w:val="clear"/>
            <w:vAlign w:val="center"/>
          </w:tcPr>
          <w:p>
            <w:pPr>
              <w:pStyle w:val="TableContents"/>
              <w:spacing w:before="0" w:after="283"/>
              <w:jc w:val="left"/>
              <w:rPr>
                <w:color w:val="58595B"/>
              </w:rPr>
            </w:pPr>
            <w:r>
              <w:rPr>
                <w:color w:val="58595B"/>
              </w:rPr>
              <w:t>—</w:t>
            </w:r>
          </w:p>
        </w:tc>
        <w:tc>
          <w:tcPr>
            <w:tcW w:w="84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85,966</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bl>
    <w:p>
      <w:pPr>
        <w:pStyle w:val="TextBody"/>
        <w:rPr>
          <w:caps w:val="false"/>
          <w:smallCaps w:val="false"/>
          <w:color w:val="58595B"/>
        </w:rPr>
      </w:pPr>
      <w:r>
        <w:rPr>
          <w:caps w:val="false"/>
          <w:smallCaps w:val="false"/>
          <w:color w:val="58595B"/>
        </w:rPr>
        <w:t> </w:t>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24</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tbl>
      <w:tblPr>
        <w:tblW w:w="10205" w:type="dxa"/>
        <w:jc w:val="left"/>
        <w:tblInd w:w="0" w:type="dxa"/>
        <w:tblCellMar>
          <w:top w:w="0" w:type="dxa"/>
          <w:left w:w="0" w:type="dxa"/>
          <w:bottom w:w="0" w:type="dxa"/>
          <w:right w:w="0" w:type="dxa"/>
        </w:tblCellMar>
      </w:tblPr>
      <w:tblGrid>
        <w:gridCol w:w="38"/>
        <w:gridCol w:w="280"/>
        <w:gridCol w:w="9887"/>
      </w:tblGrid>
      <w:tr>
        <w:trPr/>
        <w:tc>
          <w:tcPr>
            <w:tcW w:w="38"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jc w:val="left"/>
              <w:rPr>
                <w:rFonts w:ascii="Arial;Helvetica;Sans-Serif" w:hAnsi="Arial;Helvetica;Sans-Serif"/>
                <w:b/>
                <w:color w:val="231F20"/>
                <w:sz w:val="20"/>
              </w:rPr>
            </w:pPr>
            <w:r>
              <w:rPr>
                <w:rFonts w:ascii="Arial;Helvetica;Sans-Serif" w:hAnsi="Arial;Helvetica;Sans-Serif"/>
                <w:b/>
                <w:color w:val="231F20"/>
                <w:sz w:val="20"/>
              </w:rPr>
              <w:t>04.</w:t>
            </w:r>
          </w:p>
        </w:tc>
        <w:tc>
          <w:tcPr>
            <w:tcW w:w="9887" w:type="dxa"/>
            <w:tcBorders/>
            <w:shd w:fill="auto" w:val="clear"/>
            <w:vAlign w:val="center"/>
          </w:tcPr>
          <w:p>
            <w:pPr>
              <w:pStyle w:val="TableContents"/>
              <w:spacing w:before="0" w:after="283"/>
              <w:rPr>
                <w:rFonts w:ascii="Arial;Helvetica;Sans-Serif" w:hAnsi="Arial;Helvetica;Sans-Serif"/>
                <w:color w:val="EE0027"/>
                <w:sz w:val="20"/>
              </w:rPr>
            </w:pPr>
            <w:r>
              <w:rPr>
                <w:rFonts w:ascii="Arial;Helvetica;Sans-Serif" w:hAnsi="Arial;Helvetica;Sans-Serif"/>
                <w:color w:val="EE0027"/>
                <w:sz w:val="20"/>
              </w:rPr>
              <w:t>INFORMATION REGARDING BENEFICIAL OWNERSHIP OF PRINCIPAL SHAREHOLDERS, DIRECTORS, AND MANAGEMENT</w:t>
            </w:r>
          </w:p>
        </w:tc>
      </w:tr>
    </w:tbl>
    <w:p>
      <w:pPr>
        <w:pStyle w:val="TextBody"/>
        <w:rPr>
          <w:caps w:val="false"/>
          <w:smallCaps w:val="false"/>
          <w:color w:val="58595B"/>
        </w:rPr>
      </w:pPr>
      <w:r>
        <w:rPr>
          <w:caps w:val="false"/>
          <w:smallCaps w:val="false"/>
          <w:color w:val="58595B"/>
        </w:rPr>
        <w:t> </w:t>
      </w:r>
    </w:p>
    <w:tbl>
      <w:tblPr>
        <w:tblW w:w="6595" w:type="dxa"/>
        <w:jc w:val="left"/>
        <w:tblInd w:w="0" w:type="dxa"/>
        <w:tblCellMar>
          <w:top w:w="0" w:type="dxa"/>
          <w:left w:w="0" w:type="dxa"/>
          <w:bottom w:w="0" w:type="dxa"/>
          <w:right w:w="0" w:type="dxa"/>
        </w:tblCellMar>
      </w:tblPr>
      <w:tblGrid>
        <w:gridCol w:w="2135"/>
        <w:gridCol w:w="1505"/>
        <w:gridCol w:w="920"/>
        <w:gridCol w:w="845"/>
        <w:gridCol w:w="1190"/>
      </w:tblGrid>
      <w:tr>
        <w:trPr/>
        <w:tc>
          <w:tcPr>
            <w:tcW w:w="2135" w:type="dxa"/>
            <w:tcBorders/>
            <w:shd w:fill="EE0027" w:val="clear"/>
            <w:vAlign w:val="center"/>
          </w:tcPr>
          <w:p>
            <w:pPr>
              <w:pStyle w:val="TableContents"/>
              <w:spacing w:lineRule="auto" w:line="240" w:before="0" w:after="283"/>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Name and Address(1)</w:t>
            </w:r>
          </w:p>
        </w:tc>
        <w:tc>
          <w:tcPr>
            <w:tcW w:w="1505" w:type="dxa"/>
            <w:tcBorders/>
            <w:shd w:fill="EE0027" w:val="clear"/>
            <w:vAlign w:val="center"/>
          </w:tcPr>
          <w:p>
            <w:pPr>
              <w:pStyle w:val="TableContents"/>
              <w:spacing w:lineRule="auto" w:line="240" w:before="0" w:after="283"/>
              <w:jc w:val="left"/>
              <w:rPr/>
            </w:pPr>
            <w:r>
              <w:rPr>
                <w:rFonts w:ascii="Arial;Helvetica;Sans-Serif" w:hAnsi="Arial;Helvetica;Sans-Serif"/>
                <w:b/>
                <w:color w:val="FFFFFF"/>
                <w:sz w:val="18"/>
              </w:rPr>
              <w:t xml:space="preserve">Common Shares </w:t>
            </w:r>
            <w:r>
              <w:rPr/>
              <w:br/>
            </w:r>
            <w:r>
              <w:rPr>
                <w:rFonts w:ascii="Arial;Helvetica;Sans-Serif" w:hAnsi="Arial;Helvetica;Sans-Serif"/>
                <w:b/>
                <w:color w:val="FFFFFF"/>
                <w:sz w:val="18"/>
              </w:rPr>
              <w:t xml:space="preserve">Beneficially </w:t>
            </w:r>
            <w:r>
              <w:rPr/>
              <w:br/>
            </w:r>
            <w:r>
              <w:rPr>
                <w:rFonts w:ascii="Arial;Helvetica;Sans-Serif" w:hAnsi="Arial;Helvetica;Sans-Serif"/>
                <w:b/>
                <w:color w:val="FFFFFF"/>
                <w:sz w:val="18"/>
              </w:rPr>
              <w:t>Owned(2)</w:t>
            </w:r>
          </w:p>
        </w:tc>
        <w:tc>
          <w:tcPr>
            <w:tcW w:w="920" w:type="dxa"/>
            <w:tcBorders/>
            <w:shd w:fill="EE0027" w:val="cle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8"/>
              </w:rPr>
              <w:t xml:space="preserve">Right to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8"/>
              </w:rPr>
              <w:t>Acquire(3)</w:t>
            </w:r>
          </w:p>
        </w:tc>
        <w:tc>
          <w:tcPr>
            <w:tcW w:w="845" w:type="dxa"/>
            <w:tcBorders/>
            <w:shd w:fill="EE0027" w:val="clear"/>
            <w:vAlign w:val="center"/>
          </w:tcPr>
          <w:p>
            <w:pPr>
              <w:pStyle w:val="TableContents"/>
              <w:spacing w:lineRule="auto" w:line="240" w:before="0" w:after="283"/>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Total(4)</w:t>
            </w:r>
          </w:p>
        </w:tc>
        <w:tc>
          <w:tcPr>
            <w:tcW w:w="1190" w:type="dxa"/>
            <w:tcBorders/>
            <w:shd w:fill="EE0027" w:val="clear"/>
            <w:vAlign w:val="center"/>
          </w:tcPr>
          <w:p>
            <w:pPr>
              <w:pStyle w:val="TableContents"/>
              <w:spacing w:lineRule="auto" w:line="240" w:before="0" w:after="283"/>
              <w:jc w:val="left"/>
              <w:rPr/>
            </w:pPr>
            <w:r>
              <w:rPr>
                <w:rFonts w:ascii="Arial;Helvetica;Sans-Serif" w:hAnsi="Arial;Helvetica;Sans-Serif"/>
                <w:b/>
                <w:color w:val="FFFFFF"/>
                <w:sz w:val="18"/>
              </w:rPr>
              <w:t xml:space="preserve">Percent(4) of </w:t>
            </w:r>
            <w:r>
              <w:rPr/>
              <w:br/>
            </w:r>
            <w:r>
              <w:rPr>
                <w:rFonts w:ascii="Arial;Helvetica;Sans-Serif" w:hAnsi="Arial;Helvetica;Sans-Serif"/>
                <w:b/>
                <w:color w:val="FFFFFF"/>
                <w:sz w:val="18"/>
              </w:rPr>
              <w:t xml:space="preserve">Outstanding </w:t>
            </w:r>
            <w:r>
              <w:rPr/>
              <w:br/>
            </w:r>
            <w:r>
              <w:rPr>
                <w:rFonts w:ascii="Arial;Helvetica;Sans-Serif" w:hAnsi="Arial;Helvetica;Sans-Serif"/>
                <w:b/>
                <w:color w:val="FFFFFF"/>
                <w:sz w:val="18"/>
              </w:rPr>
              <w:t>Shares(5)</w:t>
            </w:r>
          </w:p>
        </w:tc>
      </w:tr>
      <w:tr>
        <w:trPr/>
        <w:tc>
          <w:tcPr>
            <w:tcW w:w="2135" w:type="dxa"/>
            <w:tcBorders/>
            <w:shd w:fill="auto"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Archie L. Jones Jr. (23)</w:t>
            </w:r>
          </w:p>
        </w:tc>
        <w:tc>
          <w:tcPr>
            <w:tcW w:w="150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2,969</w:t>
            </w:r>
          </w:p>
        </w:tc>
        <w:tc>
          <w:tcPr>
            <w:tcW w:w="920" w:type="dxa"/>
            <w:tcBorders/>
            <w:shd w:fill="auto" w:val="clear"/>
            <w:vAlign w:val="center"/>
          </w:tcPr>
          <w:p>
            <w:pPr>
              <w:pStyle w:val="TableContents"/>
              <w:spacing w:before="0" w:after="283"/>
              <w:jc w:val="left"/>
              <w:rPr>
                <w:color w:val="58595B"/>
              </w:rPr>
            </w:pPr>
            <w:r>
              <w:rPr>
                <w:color w:val="58595B"/>
              </w:rPr>
              <w:t>—</w:t>
            </w:r>
          </w:p>
        </w:tc>
        <w:tc>
          <w:tcPr>
            <w:tcW w:w="84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2,969</w:t>
            </w:r>
          </w:p>
        </w:tc>
        <w:tc>
          <w:tcPr>
            <w:tcW w:w="11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213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Richard Macchia (24)</w:t>
            </w:r>
          </w:p>
        </w:tc>
        <w:tc>
          <w:tcPr>
            <w:tcW w:w="150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14,247</w:t>
            </w:r>
          </w:p>
        </w:tc>
        <w:tc>
          <w:tcPr>
            <w:tcW w:w="920" w:type="dxa"/>
            <w:tcBorders/>
            <w:shd w:fill="DCDDDE" w:val="clear"/>
            <w:vAlign w:val="center"/>
          </w:tcPr>
          <w:p>
            <w:pPr>
              <w:pStyle w:val="TableContents"/>
              <w:spacing w:before="0" w:after="283"/>
              <w:jc w:val="left"/>
              <w:rPr>
                <w:color w:val="58595B"/>
              </w:rPr>
            </w:pPr>
            <w:r>
              <w:rPr>
                <w:color w:val="58595B"/>
              </w:rPr>
              <w:t>—</w:t>
            </w:r>
          </w:p>
        </w:tc>
        <w:tc>
          <w:tcPr>
            <w:tcW w:w="84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14,247</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2135" w:type="dxa"/>
            <w:tcBorders/>
            <w:shd w:fill="auto"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Hala G. Moddelmog (25)</w:t>
            </w:r>
          </w:p>
        </w:tc>
        <w:tc>
          <w:tcPr>
            <w:tcW w:w="150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6,639</w:t>
            </w:r>
          </w:p>
        </w:tc>
        <w:tc>
          <w:tcPr>
            <w:tcW w:w="920" w:type="dxa"/>
            <w:tcBorders/>
            <w:shd w:fill="auto" w:val="clear"/>
            <w:vAlign w:val="center"/>
          </w:tcPr>
          <w:p>
            <w:pPr>
              <w:pStyle w:val="TableContents"/>
              <w:spacing w:before="0" w:after="283"/>
              <w:jc w:val="left"/>
              <w:rPr>
                <w:color w:val="58595B"/>
              </w:rPr>
            </w:pPr>
            <w:r>
              <w:rPr>
                <w:color w:val="58595B"/>
              </w:rPr>
              <w:t>—</w:t>
            </w:r>
          </w:p>
        </w:tc>
        <w:tc>
          <w:tcPr>
            <w:tcW w:w="84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6,639</w:t>
            </w:r>
          </w:p>
        </w:tc>
        <w:tc>
          <w:tcPr>
            <w:tcW w:w="11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2135" w:type="dxa"/>
            <w:tcBorders/>
            <w:shd w:fill="DCDDDE"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Jeffrey S. Sloan (26)</w:t>
            </w:r>
          </w:p>
        </w:tc>
        <w:tc>
          <w:tcPr>
            <w:tcW w:w="150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14,176</w:t>
            </w:r>
          </w:p>
        </w:tc>
        <w:tc>
          <w:tcPr>
            <w:tcW w:w="920" w:type="dxa"/>
            <w:tcBorders/>
            <w:shd w:fill="DCDDDE" w:val="clear"/>
            <w:vAlign w:val="center"/>
          </w:tcPr>
          <w:p>
            <w:pPr>
              <w:pStyle w:val="TableContents"/>
              <w:spacing w:before="0" w:after="283"/>
              <w:jc w:val="left"/>
              <w:rPr>
                <w:color w:val="58595B"/>
              </w:rPr>
            </w:pPr>
            <w:r>
              <w:rPr>
                <w:color w:val="58595B"/>
              </w:rPr>
              <w:t>—</w:t>
            </w:r>
          </w:p>
        </w:tc>
        <w:tc>
          <w:tcPr>
            <w:tcW w:w="84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14,176</w:t>
            </w:r>
          </w:p>
        </w:tc>
        <w:tc>
          <w:tcPr>
            <w:tcW w:w="11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2135" w:type="dxa"/>
            <w:tcBorders/>
            <w:shd w:fill="auto" w:val="clear"/>
            <w:vAlign w:val="center"/>
          </w:tcPr>
          <w:p>
            <w:pPr>
              <w:pStyle w:val="TableContents"/>
              <w:spacing w:lineRule="auto" w:line="240" w:before="0" w:after="283"/>
              <w:jc w:val="left"/>
              <w:rPr>
                <w:rFonts w:ascii="Arial;Helvetica;Sans-Serif" w:hAnsi="Arial;Helvetica;Sans-Serif"/>
                <w:color w:val="58595B"/>
                <w:sz w:val="18"/>
              </w:rPr>
            </w:pPr>
            <w:r>
              <w:rPr>
                <w:rFonts w:ascii="Arial;Helvetica;Sans-Serif" w:hAnsi="Arial;Helvetica;Sans-Serif"/>
                <w:color w:val="58595B"/>
                <w:sz w:val="18"/>
              </w:rPr>
              <w:t>Steven T. Stull (27)</w:t>
            </w:r>
          </w:p>
        </w:tc>
        <w:tc>
          <w:tcPr>
            <w:tcW w:w="150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26,386</w:t>
            </w:r>
          </w:p>
        </w:tc>
        <w:tc>
          <w:tcPr>
            <w:tcW w:w="920" w:type="dxa"/>
            <w:tcBorders/>
            <w:shd w:fill="auto" w:val="clear"/>
            <w:vAlign w:val="center"/>
          </w:tcPr>
          <w:p>
            <w:pPr>
              <w:pStyle w:val="TableContents"/>
              <w:spacing w:before="0" w:after="283"/>
              <w:jc w:val="left"/>
              <w:rPr>
                <w:color w:val="58595B"/>
              </w:rPr>
            </w:pPr>
            <w:r>
              <w:rPr>
                <w:color w:val="58595B"/>
              </w:rPr>
              <w:t>—</w:t>
            </w:r>
          </w:p>
        </w:tc>
        <w:tc>
          <w:tcPr>
            <w:tcW w:w="84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26,386</w:t>
            </w:r>
          </w:p>
        </w:tc>
        <w:tc>
          <w:tcPr>
            <w:tcW w:w="11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w:t>
            </w:r>
          </w:p>
        </w:tc>
      </w:tr>
      <w:tr>
        <w:trPr/>
        <w:tc>
          <w:tcPr>
            <w:tcW w:w="2135" w:type="dxa"/>
            <w:tcBorders/>
            <w:shd w:fill="DCDDDE" w:val="clear"/>
            <w:vAlign w:val="center"/>
          </w:tcPr>
          <w:p>
            <w:pPr>
              <w:pStyle w:val="TableContents"/>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 xml:space="preserve">Directors and executive </w:t>
              <w:br/>
              <w:t>officers as a group</w:t>
            </w:r>
          </w:p>
          <w:p>
            <w:pPr>
              <w:pStyle w:val="TableContents"/>
              <w:spacing w:before="0" w:after="283"/>
              <w:jc w:val="left"/>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(17 Persons)</w:t>
            </w:r>
          </w:p>
        </w:tc>
        <w:tc>
          <w:tcPr>
            <w:tcW w:w="1505" w:type="dxa"/>
            <w:tcBorders/>
            <w:shd w:fill="DCDDDE" w:val="clear"/>
            <w:vAlign w:val="center"/>
          </w:tcPr>
          <w:p>
            <w:pPr>
              <w:pStyle w:val="TableContents"/>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2,261,635</w:t>
            </w:r>
          </w:p>
          <w:p>
            <w:pPr>
              <w:pStyle w:val="TableContents"/>
              <w:spacing w:before="0" w:after="283"/>
              <w:jc w:val="left"/>
              <w:rPr>
                <w:caps w:val="false"/>
                <w:smallCaps w:val="false"/>
                <w:color w:val="58595B"/>
              </w:rPr>
            </w:pPr>
            <w:r>
              <w:rPr>
                <w:caps w:val="false"/>
                <w:smallCaps w:val="false"/>
                <w:color w:val="58595B"/>
              </w:rPr>
              <w:t> </w:t>
            </w:r>
          </w:p>
        </w:tc>
        <w:tc>
          <w:tcPr>
            <w:tcW w:w="920" w:type="dxa"/>
            <w:tcBorders/>
            <w:shd w:fill="DCDDDE" w:val="clear"/>
            <w:vAlign w:val="center"/>
          </w:tcPr>
          <w:p>
            <w:pPr>
              <w:pStyle w:val="TableContents"/>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2,695,771</w:t>
            </w:r>
          </w:p>
          <w:p>
            <w:pPr>
              <w:pStyle w:val="TableContents"/>
              <w:spacing w:before="0" w:after="283"/>
              <w:jc w:val="left"/>
              <w:rPr>
                <w:caps w:val="false"/>
                <w:smallCaps w:val="false"/>
                <w:color w:val="58595B"/>
              </w:rPr>
            </w:pPr>
            <w:r>
              <w:rPr>
                <w:caps w:val="false"/>
                <w:smallCaps w:val="false"/>
                <w:color w:val="58595B"/>
              </w:rPr>
              <w:t> </w:t>
            </w:r>
          </w:p>
        </w:tc>
        <w:tc>
          <w:tcPr>
            <w:tcW w:w="845" w:type="dxa"/>
            <w:tcBorders/>
            <w:shd w:fill="DCDDDE" w:val="clear"/>
            <w:vAlign w:val="center"/>
          </w:tcPr>
          <w:p>
            <w:pPr>
              <w:pStyle w:val="TableContents"/>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4,957,406</w:t>
            </w:r>
          </w:p>
          <w:p>
            <w:pPr>
              <w:pStyle w:val="TableContents"/>
              <w:spacing w:before="0" w:after="283"/>
              <w:jc w:val="left"/>
              <w:rPr>
                <w:caps w:val="false"/>
                <w:smallCaps w:val="false"/>
                <w:color w:val="58595B"/>
              </w:rPr>
            </w:pPr>
            <w:r>
              <w:rPr>
                <w:caps w:val="false"/>
                <w:smallCaps w:val="false"/>
                <w:color w:val="58595B"/>
              </w:rPr>
              <w:t> </w:t>
            </w:r>
          </w:p>
        </w:tc>
        <w:tc>
          <w:tcPr>
            <w:tcW w:w="1190" w:type="dxa"/>
            <w:tcBorders/>
            <w:shd w:fill="DCDDDE" w:val="clear"/>
            <w:vAlign w:val="center"/>
          </w:tcPr>
          <w:p>
            <w:pPr>
              <w:pStyle w:val="TableContents"/>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6.5%</w:t>
            </w:r>
          </w:p>
          <w:p>
            <w:pPr>
              <w:pStyle w:val="TableContents"/>
              <w:spacing w:before="0" w:after="283"/>
              <w:jc w:val="left"/>
              <w:rPr>
                <w:caps w:val="false"/>
                <w:smallCaps w:val="false"/>
                <w:color w:val="58595B"/>
              </w:rPr>
            </w:pPr>
            <w:r>
              <w:rPr>
                <w:caps w:val="false"/>
                <w:smallCaps w:val="false"/>
                <w:color w:val="58595B"/>
              </w:rPr>
              <w:t> </w:t>
            </w:r>
          </w:p>
        </w:tc>
      </w:tr>
    </w:tbl>
    <w:p>
      <w:pPr>
        <w:pStyle w:val="TextBody"/>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The business address for each individual listed is 3280 Peachtree Road, Suite 2400, Atlanta, Georgia 30305.</w:t>
      </w:r>
    </w:p>
    <w:p>
      <w:pPr>
        <w:pStyle w:val="TextBody"/>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(2)</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Unless otherwise noted, includes shares for which the named person has sole voting and investment power or has shared voting and investment power with his or her spouse. This column excludes shares that may be acquired through stock option exercises.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(3)</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This column includes shares that can be acquired through stock option exercises through April 18, 2023.</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(4)</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This column includes common shares, restricted shares, and shares that can be acquired through stock option exercises through April 18, 2023.</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(5)</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*Less than 1%</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 xml:space="preserve">(6) </w:t>
      </w:r>
      <w:r>
        <w:rPr>
          <w:rFonts w:ascii="Arial;Helvetica;Sans-Serif" w:hAnsi="Arial;Helvetica;Sans-Serif"/>
          <w:b w:val="false"/>
          <w:i/>
          <w:caps w:val="false"/>
          <w:smallCaps w:val="false"/>
          <w:color w:val="58595B"/>
          <w:sz w:val="16"/>
        </w:rPr>
        <w:t xml:space="preserve">This information was reported on a Schedule </w:t>
      </w:r>
      <w:r>
        <w:rPr>
          <w:rFonts w:ascii="Arial;Helvetica;Sans-Serif" w:hAnsi="Arial;Helvetica;Sans-Serif"/>
          <w:b w:val="false"/>
          <w:i/>
          <w:caps w:val="false"/>
          <w:smallCaps w:val="false"/>
          <w:color w:val="58595B"/>
          <w:spacing w:val="-3"/>
          <w:sz w:val="16"/>
        </w:rPr>
        <w:t>13G/A</w:t>
      </w:r>
      <w:r>
        <w:rPr>
          <w:rFonts w:ascii="Arial;Helvetica;Sans-Serif" w:hAnsi="Arial;Helvetica;Sans-Serif"/>
          <w:b w:val="false"/>
          <w:i/>
          <w:caps w:val="false"/>
          <w:smallCaps w:val="false"/>
          <w:color w:val="58595B"/>
          <w:sz w:val="16"/>
        </w:rPr>
        <w:t xml:space="preserve"> filed by The </w:t>
      </w:r>
      <w:r>
        <w:rPr>
          <w:rFonts w:ascii="Arial;Helvetica;Sans-Serif" w:hAnsi="Arial;Helvetica;Sans-Serif"/>
          <w:b w:val="false"/>
          <w:i/>
          <w:caps w:val="false"/>
          <w:smallCaps w:val="false"/>
          <w:color w:val="58595B"/>
          <w:spacing w:val="-3"/>
          <w:sz w:val="16"/>
        </w:rPr>
        <w:t>Vanguard</w:t>
      </w:r>
      <w:r>
        <w:rPr>
          <w:rFonts w:ascii="Arial;Helvetica;Sans-Serif" w:hAnsi="Arial;Helvetica;Sans-Serif"/>
          <w:b w:val="false"/>
          <w:i/>
          <w:caps w:val="false"/>
          <w:smallCaps w:val="false"/>
          <w:color w:val="58595B"/>
          <w:sz w:val="16"/>
        </w:rPr>
        <w:t xml:space="preserve"> Group with the SEC on February 9, 2023 on behalf of nine affiliated </w:t>
      </w:r>
      <w:r>
        <w:rPr>
          <w:rFonts w:ascii="Arial;Helvetica;Sans-Serif" w:hAnsi="Arial;Helvetica;Sans-Serif"/>
          <w:b w:val="false"/>
          <w:i/>
          <w:caps w:val="false"/>
          <w:smallCaps w:val="false"/>
          <w:color w:val="58595B"/>
          <w:spacing w:val="-3"/>
          <w:sz w:val="16"/>
        </w:rPr>
        <w:t xml:space="preserve">Vanguard </w:t>
      </w:r>
      <w:r>
        <w:rPr>
          <w:rFonts w:ascii="Arial;Helvetica;Sans-Serif" w:hAnsi="Arial;Helvetica;Sans-Serif"/>
          <w:b w:val="false"/>
          <w:i/>
          <w:caps w:val="false"/>
          <w:smallCaps w:val="false"/>
          <w:color w:val="58595B"/>
          <w:sz w:val="16"/>
        </w:rPr>
        <w:t>entities.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(7)</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 xml:space="preserve">This was reported on a Schedule </w:t>
      </w:r>
      <w:r>
        <w:rPr>
          <w:rFonts w:ascii="Arial;Helvetica;Sans-Serif" w:hAnsi="Arial;Helvetica;Sans-Serif"/>
          <w:b w:val="false"/>
          <w:i/>
          <w:caps w:val="false"/>
          <w:smallCaps w:val="false"/>
          <w:color w:val="58595B"/>
          <w:spacing w:val="-3"/>
          <w:sz w:val="16"/>
        </w:rPr>
        <w:t>13G/A</w:t>
      </w:r>
      <w:r>
        <w:rPr>
          <w:rFonts w:ascii="Arial;Helvetica;Sans-Serif" w:hAnsi="Arial;Helvetica;Sans-Serif"/>
          <w:b w:val="false"/>
          <w:i/>
          <w:caps w:val="false"/>
          <w:smallCaps w:val="false"/>
          <w:color w:val="58595B"/>
          <w:sz w:val="16"/>
        </w:rPr>
        <w:t xml:space="preserve"> filed by Blackrock, Inc. with the SEC on February 3, 2023 on behalf of 19 affiliated Blackrock entities.</w:t>
      </w:r>
    </w:p>
    <w:p>
      <w:pPr>
        <w:pStyle w:val="TextBody"/>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(8)</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 xml:space="preserve">This information was reported on a Schedule </w:t>
      </w:r>
      <w:r>
        <w:rPr>
          <w:rFonts w:ascii="Arial;Helvetica;Sans-Serif" w:hAnsi="Arial;Helvetica;Sans-Serif"/>
          <w:b w:val="false"/>
          <w:i/>
          <w:caps w:val="false"/>
          <w:smallCaps w:val="false"/>
          <w:color w:val="58595B"/>
          <w:spacing w:val="-3"/>
          <w:sz w:val="16"/>
        </w:rPr>
        <w:t>13G/A</w:t>
      </w:r>
      <w:r>
        <w:rPr>
          <w:rFonts w:ascii="Arial;Helvetica;Sans-Serif" w:hAnsi="Arial;Helvetica;Sans-Serif"/>
          <w:b w:val="false"/>
          <w:i/>
          <w:caps w:val="false"/>
          <w:smallCaps w:val="false"/>
          <w:color w:val="58595B"/>
          <w:sz w:val="16"/>
        </w:rPr>
        <w:t xml:space="preserve"> filed by Orbis Investment Management Limited </w:t>
      </w:r>
      <w:r>
        <w:rPr>
          <w:rFonts w:ascii="Arial;Helvetica;Sans-Serif" w:hAnsi="Arial;Helvetica;Sans-Serif"/>
          <w:b w:val="false"/>
          <w:i/>
          <w:caps w:val="false"/>
          <w:smallCaps w:val="false"/>
          <w:color w:val="58595B"/>
          <w:spacing w:val="-3"/>
          <w:sz w:val="16"/>
        </w:rPr>
        <w:t>(“OIML”);</w:t>
      </w:r>
      <w:r>
        <w:rPr>
          <w:rFonts w:ascii="Arial;Helvetica;Sans-Serif" w:hAnsi="Arial;Helvetica;Sans-Serif"/>
          <w:b w:val="false"/>
          <w:i/>
          <w:caps w:val="false"/>
          <w:smallCaps w:val="false"/>
          <w:color w:val="58595B"/>
          <w:sz w:val="16"/>
        </w:rPr>
        <w:t xml:space="preserve"> Orbis Investment Management (U.S.), </w:t>
      </w:r>
      <w:r>
        <w:rPr>
          <w:rFonts w:ascii="Arial;Helvetica;Sans-Serif" w:hAnsi="Arial;Helvetica;Sans-Serif"/>
          <w:b w:val="false"/>
          <w:i/>
          <w:caps w:val="false"/>
          <w:smallCaps w:val="false"/>
          <w:color w:val="58595B"/>
          <w:spacing w:val="-5"/>
          <w:sz w:val="16"/>
        </w:rPr>
        <w:t xml:space="preserve">L.P. </w:t>
      </w:r>
      <w:r>
        <w:rPr>
          <w:rFonts w:ascii="Arial;Helvetica;Sans-Serif" w:hAnsi="Arial;Helvetica;Sans-Serif"/>
          <w:b w:val="false"/>
          <w:i/>
          <w:caps w:val="false"/>
          <w:smallCaps w:val="false"/>
          <w:color w:val="58595B"/>
          <w:sz w:val="16"/>
        </w:rPr>
        <w:t xml:space="preserve">(“OIMUS”) and Allan Gray Australia Pty Limited </w:t>
      </w:r>
      <w:r>
        <w:rPr>
          <w:rFonts w:ascii="Arial;Helvetica;Sans-Serif" w:hAnsi="Arial;Helvetica;Sans-Serif"/>
          <w:b w:val="false"/>
          <w:i/>
          <w:caps w:val="false"/>
          <w:smallCaps w:val="false"/>
          <w:color w:val="58595B"/>
          <w:spacing w:val="-4"/>
          <w:sz w:val="16"/>
        </w:rPr>
        <w:t xml:space="preserve">(“AGAPL”), </w:t>
      </w:r>
      <w:r>
        <w:rPr>
          <w:rFonts w:ascii="Arial;Helvetica;Sans-Serif" w:hAnsi="Arial;Helvetica;Sans-Serif"/>
          <w:b w:val="false"/>
          <w:i/>
          <w:caps w:val="false"/>
          <w:smallCaps w:val="false"/>
          <w:color w:val="58595B"/>
          <w:sz w:val="16"/>
        </w:rPr>
        <w:t>with the SEC on February 14, 2023, on behalf of 3 affiliated Orbis entities.</w:t>
      </w:r>
    </w:p>
    <w:p>
      <w:pPr>
        <w:pStyle w:val="TextBody"/>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(9)</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 xml:space="preserve">This information was reported on a Schedule </w:t>
      </w:r>
      <w:r>
        <w:rPr>
          <w:rFonts w:ascii="Arial;Helvetica;Sans-Serif" w:hAnsi="Arial;Helvetica;Sans-Serif"/>
          <w:b w:val="false"/>
          <w:i/>
          <w:caps w:val="false"/>
          <w:smallCaps w:val="false"/>
          <w:color w:val="58595B"/>
          <w:spacing w:val="-3"/>
          <w:sz w:val="16"/>
        </w:rPr>
        <w:t>13G/A</w:t>
      </w:r>
      <w:r>
        <w:rPr>
          <w:rFonts w:ascii="Arial;Helvetica;Sans-Serif" w:hAnsi="Arial;Helvetica;Sans-Serif"/>
          <w:b w:val="false"/>
          <w:i/>
          <w:caps w:val="false"/>
          <w:smallCaps w:val="false"/>
          <w:color w:val="58595B"/>
          <w:sz w:val="16"/>
        </w:rPr>
        <w:t xml:space="preserve"> filed by Wellington Management Group LLP with the SEC on February 14, 2023 on behalf of four affiliated Wellington entities.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(10)</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1,973,950 common shares and vested options to purchase 2,125,000 shares.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(11)</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956 common shares, 892 shares subject to vesting requirements and options to purchase 24,635 shares, and options to purchase 1,106 shares vesting within 60 days.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(12)</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24,585 common shares and vested options to purchase 29,559 shares.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(13)</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4,717 common shares and vested options to purchase 131,547 shares.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(14)</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4,959 common shares and vested options to purchase 161,647 shares.</w:t>
      </w:r>
    </w:p>
    <w:p>
      <w:pPr>
        <w:pStyle w:val="TextBody"/>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(15)</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17,594 common shares, vested options to purchase 59,951 shares, options to purchase 7,621 shares vesting within 60 days, and 1,636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 xml:space="preserve">(16) </w:t>
      </w:r>
      <w:r>
        <w:rPr>
          <w:rFonts w:ascii="Arial;Helvetica;Sans-Serif" w:hAnsi="Arial;Helvetica;Sans-Serif"/>
          <w:b w:val="false"/>
          <w:i/>
          <w:caps w:val="false"/>
          <w:smallCaps w:val="false"/>
          <w:color w:val="58595B"/>
          <w:sz w:val="16"/>
        </w:rPr>
        <w:t>Includes 29,821 common shares, vested options to purchase 108,439 shares, options to purchase 46,266 shares vesting within 60 days subject to vesting requirements, and 3,071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 xml:space="preserve">(17) </w:t>
      </w:r>
      <w:r>
        <w:rPr>
          <w:rFonts w:ascii="Arial;Helvetica;Sans-Serif" w:hAnsi="Arial;Helvetica;Sans-Serif"/>
          <w:b w:val="false"/>
          <w:i/>
          <w:caps w:val="false"/>
          <w:smallCaps w:val="false"/>
          <w:color w:val="58595B"/>
          <w:sz w:val="16"/>
        </w:rPr>
        <w:t>Appointed director on January 27, 2023. Includes 2,495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(18)</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20,639 common shares and 1,497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(19)</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14,131 common shares and 1,497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 xml:space="preserve">(20) </w:t>
      </w:r>
      <w:r>
        <w:rPr>
          <w:rFonts w:ascii="Arial;Helvetica;Sans-Serif" w:hAnsi="Arial;Helvetica;Sans-Serif"/>
          <w:b w:val="false"/>
          <w:i/>
          <w:caps w:val="false"/>
          <w:smallCaps w:val="false"/>
          <w:color w:val="58595B"/>
          <w:sz w:val="16"/>
        </w:rPr>
        <w:t>Appointed director on March 15, 2023.</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(21)</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7,315 common shares and 1,497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(22)</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85,966 common shares.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(23)</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1,472 common shares and 1,497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(24)</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12,750 common shares and 1,497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(25)</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Includes 5,142 common shares and 1,497 restricted shares subject to vesting requirements.</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 xml:space="preserve">(26) </w:t>
      </w:r>
      <w:r>
        <w:rPr>
          <w:rFonts w:ascii="Arial;Helvetica;Sans-Serif" w:hAnsi="Arial;Helvetica;Sans-Serif"/>
          <w:b w:val="false"/>
          <w:i/>
          <w:caps w:val="false"/>
          <w:smallCaps w:val="false"/>
          <w:color w:val="58595B"/>
          <w:sz w:val="16"/>
        </w:rPr>
        <w:t>Includes 12,679 common shares and 1,497 restricted shares subject to vesting requirements.</w:t>
      </w:r>
    </w:p>
    <w:p>
      <w:pPr>
        <w:pStyle w:val="TextBody"/>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pacing w:val="-1"/>
          <w:sz w:val="16"/>
        </w:rPr>
        <w:t>(27)</w:t>
      </w:r>
      <w:r>
        <w:rPr>
          <w:rFonts w:ascii="Arial;Helvetica;Sans-Serif" w:hAnsi="Arial;Helvetica;Sans-Serif"/>
          <w:b w:val="false"/>
          <w:i w:val="false"/>
          <w:caps w:val="false"/>
          <w:smallCaps w:val="false"/>
          <w:color w:val="58595B"/>
          <w:sz w:val="16"/>
        </w:rPr>
        <w:t xml:space="preserve"> </w:t>
      </w:r>
      <w:r>
        <w:rPr>
          <w:rFonts w:ascii="Arial;Helvetica;Sans-Serif" w:hAnsi="Arial;Helvetica;Sans-Serif"/>
          <w:b w:val="false"/>
          <w:i/>
          <w:caps w:val="false"/>
          <w:smallCaps w:val="false"/>
          <w:color w:val="58595B"/>
          <w:sz w:val="16"/>
        </w:rPr>
        <w:t xml:space="preserve">Represents 6,247 common shares held by </w:t>
      </w:r>
      <w:r>
        <w:rPr>
          <w:rFonts w:ascii="Arial;Helvetica;Sans-Serif" w:hAnsi="Arial;Helvetica;Sans-Serif"/>
          <w:b w:val="false"/>
          <w:i/>
          <w:caps w:val="false"/>
          <w:smallCaps w:val="false"/>
          <w:color w:val="58595B"/>
          <w:spacing w:val="-2"/>
          <w:sz w:val="16"/>
        </w:rPr>
        <w:t>Advantage</w:t>
      </w:r>
      <w:r>
        <w:rPr>
          <w:rFonts w:ascii="Arial;Helvetica;Sans-Serif" w:hAnsi="Arial;Helvetica;Sans-Serif"/>
          <w:b w:val="false"/>
          <w:i/>
          <w:caps w:val="false"/>
          <w:smallCaps w:val="false"/>
          <w:color w:val="58595B"/>
          <w:sz w:val="16"/>
        </w:rPr>
        <w:t xml:space="preserve"> Capital Financial </w:t>
      </w:r>
      <w:r>
        <w:rPr>
          <w:rFonts w:ascii="Arial;Helvetica;Sans-Serif" w:hAnsi="Arial;Helvetica;Sans-Serif"/>
          <w:b w:val="false"/>
          <w:i/>
          <w:caps w:val="false"/>
          <w:smallCaps w:val="false"/>
          <w:color w:val="58595B"/>
          <w:spacing w:val="-3"/>
          <w:sz w:val="16"/>
        </w:rPr>
        <w:t>Company, LLC (“Advantage</w:t>
      </w:r>
      <w:r>
        <w:rPr>
          <w:rFonts w:ascii="Arial;Helvetica;Sans-Serif" w:hAnsi="Arial;Helvetica;Sans-Serif"/>
          <w:b w:val="false"/>
          <w:i/>
          <w:caps w:val="false"/>
          <w:smallCaps w:val="false"/>
          <w:color w:val="58595B"/>
          <w:sz w:val="16"/>
        </w:rPr>
        <w:t xml:space="preserve"> Capital”) and related entities, and 20,139 common shares held by </w:t>
      </w:r>
      <w:r>
        <w:rPr>
          <w:rFonts w:ascii="Arial;Helvetica;Sans-Serif" w:hAnsi="Arial;Helvetica;Sans-Serif"/>
          <w:b w:val="false"/>
          <w:i/>
          <w:caps w:val="false"/>
          <w:smallCaps w:val="false"/>
          <w:color w:val="58595B"/>
          <w:spacing w:val="-3"/>
          <w:sz w:val="16"/>
        </w:rPr>
        <w:t xml:space="preserve">Mr. </w:t>
      </w:r>
      <w:r>
        <w:rPr>
          <w:rFonts w:ascii="Arial;Helvetica;Sans-Serif" w:hAnsi="Arial;Helvetica;Sans-Serif"/>
          <w:b w:val="false"/>
          <w:i/>
          <w:caps w:val="false"/>
          <w:smallCaps w:val="false"/>
          <w:color w:val="58595B"/>
          <w:sz w:val="16"/>
        </w:rPr>
        <w:t xml:space="preserve">Stull. </w:t>
      </w:r>
      <w:r>
        <w:rPr>
          <w:rFonts w:ascii="Arial;Helvetica;Sans-Serif" w:hAnsi="Arial;Helvetica;Sans-Serif"/>
          <w:b w:val="false"/>
          <w:i/>
          <w:caps w:val="false"/>
          <w:smallCaps w:val="false"/>
          <w:color w:val="58595B"/>
          <w:spacing w:val="-3"/>
          <w:sz w:val="16"/>
        </w:rPr>
        <w:t>Mr.</w:t>
      </w:r>
      <w:r>
        <w:rPr>
          <w:rFonts w:ascii="Arial;Helvetica;Sans-Serif" w:hAnsi="Arial;Helvetica;Sans-Serif"/>
          <w:b w:val="false"/>
          <w:i/>
          <w:caps w:val="false"/>
          <w:smallCaps w:val="false"/>
          <w:color w:val="58595B"/>
          <w:sz w:val="16"/>
        </w:rPr>
        <w:t xml:space="preserve"> Stull has shared voting power with respect to the shares held by </w:t>
      </w:r>
      <w:r>
        <w:rPr>
          <w:rFonts w:ascii="Arial;Helvetica;Sans-Serif" w:hAnsi="Arial;Helvetica;Sans-Serif"/>
          <w:b w:val="false"/>
          <w:i/>
          <w:caps w:val="false"/>
          <w:smallCaps w:val="false"/>
          <w:color w:val="58595B"/>
          <w:spacing w:val="-2"/>
          <w:sz w:val="16"/>
        </w:rPr>
        <w:t>Advantage</w:t>
      </w:r>
      <w:r>
        <w:rPr>
          <w:rFonts w:ascii="Arial;Helvetica;Sans-Serif" w:hAnsi="Arial;Helvetica;Sans-Serif"/>
          <w:b w:val="false"/>
          <w:i/>
          <w:caps w:val="false"/>
          <w:smallCaps w:val="false"/>
          <w:color w:val="58595B"/>
          <w:sz w:val="16"/>
        </w:rPr>
        <w:t xml:space="preserve"> Capital and as a result may be deemed to beneficially own such shares. </w:t>
      </w:r>
      <w:r>
        <w:rPr>
          <w:rFonts w:ascii="Arial;Helvetica;Sans-Serif" w:hAnsi="Arial;Helvetica;Sans-Serif"/>
          <w:b w:val="false"/>
          <w:i/>
          <w:caps w:val="false"/>
          <w:smallCaps w:val="false"/>
          <w:color w:val="58595B"/>
          <w:spacing w:val="-3"/>
          <w:sz w:val="16"/>
        </w:rPr>
        <w:t xml:space="preserve">Mr. </w:t>
      </w:r>
      <w:r>
        <w:rPr>
          <w:rFonts w:ascii="Arial;Helvetica;Sans-Serif" w:hAnsi="Arial;Helvetica;Sans-Serif"/>
          <w:b w:val="false"/>
          <w:i/>
          <w:caps w:val="false"/>
          <w:smallCaps w:val="false"/>
          <w:color w:val="58595B"/>
          <w:sz w:val="16"/>
        </w:rPr>
        <w:t xml:space="preserve">Stull disclaims ownership of the shares held by the </w:t>
      </w:r>
      <w:r>
        <w:rPr>
          <w:rFonts w:ascii="Arial;Helvetica;Sans-Serif" w:hAnsi="Arial;Helvetica;Sans-Serif"/>
          <w:b w:val="false"/>
          <w:i/>
          <w:caps w:val="false"/>
          <w:smallCaps w:val="false"/>
          <w:color w:val="58595B"/>
          <w:spacing w:val="-2"/>
          <w:sz w:val="16"/>
        </w:rPr>
        <w:t>Advantage</w:t>
      </w:r>
      <w:r>
        <w:rPr>
          <w:rFonts w:ascii="Arial;Helvetica;Sans-Serif" w:hAnsi="Arial;Helvetica;Sans-Serif"/>
          <w:b w:val="false"/>
          <w:i/>
          <w:caps w:val="false"/>
          <w:smallCaps w:val="false"/>
          <w:color w:val="58595B"/>
          <w:sz w:val="16"/>
        </w:rPr>
        <w:t xml:space="preserve"> Capital entities except to the extent of his pecuniary interest in them. </w:t>
      </w:r>
      <w:r>
        <w:rPr>
          <w:rFonts w:ascii="Arial;Helvetica;Sans-Serif" w:hAnsi="Arial;Helvetica;Sans-Serif"/>
          <w:b w:val="false"/>
          <w:i/>
          <w:caps w:val="false"/>
          <w:smallCaps w:val="false"/>
          <w:color w:val="58595B"/>
          <w:spacing w:val="-2"/>
          <w:sz w:val="16"/>
        </w:rPr>
        <w:t>Advantage</w:t>
      </w:r>
      <w:r>
        <w:rPr>
          <w:rFonts w:ascii="Arial;Helvetica;Sans-Serif" w:hAnsi="Arial;Helvetica;Sans-Serif"/>
          <w:b w:val="false"/>
          <w:i/>
          <w:caps w:val="false"/>
          <w:smallCaps w:val="false"/>
          <w:color w:val="58595B"/>
          <w:sz w:val="16"/>
        </w:rPr>
        <w:t xml:space="preserve"> Capital is a private equity firm.</w:t>
      </w:r>
    </w:p>
    <w:p>
      <w:pPr>
        <w:pStyle w:val="TextBody"/>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25</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bookmarkStart w:id="70" w:name="a039"/>
      <w:bookmarkEnd w:id="70"/>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ind w:left="20" w:right="0" w:hanging="0"/>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compensation policies and programs, the material compensation decisions we have made under those policies and programs, and the material factors that we have considered in making those decisions are described in this section. </w:t>
      </w:r>
      <w:r>
        <w:rPr>
          <w:rFonts w:ascii="Arial;Helvetica;Sans-Serif" w:hAnsi="Arial;Helvetica;Sans-Serif"/>
          <w:b w:val="false"/>
          <w:i w:val="false"/>
          <w:caps w:val="false"/>
          <w:smallCaps w:val="false"/>
          <w:color w:val="58595B"/>
          <w:spacing w:val="-3"/>
          <w:sz w:val="18"/>
        </w:rPr>
        <w:t xml:space="preserve">Following </w:t>
      </w:r>
      <w:r>
        <w:rPr>
          <w:rFonts w:ascii="Arial;Helvetica;Sans-Serif" w:hAnsi="Arial;Helvetica;Sans-Serif"/>
          <w:b w:val="false"/>
          <w:i w:val="false"/>
          <w:caps w:val="false"/>
          <w:smallCaps w:val="false"/>
          <w:color w:val="58595B"/>
          <w:sz w:val="18"/>
        </w:rPr>
        <w:t xml:space="preserve">this section is a series of tables containing specific information about the compensation earned or paid in 2022 to the individuals we </w:t>
      </w:r>
      <w:r>
        <w:rPr>
          <w:rFonts w:ascii="Arial;Helvetica;Sans-Serif" w:hAnsi="Arial;Helvetica;Sans-Serif"/>
          <w:b w:val="false"/>
          <w:i w:val="false"/>
          <w:caps w:val="false"/>
          <w:smallCaps w:val="false"/>
          <w:color w:val="58595B"/>
          <w:spacing w:val="-3"/>
          <w:sz w:val="18"/>
        </w:rPr>
        <w:t>refer</w:t>
      </w:r>
      <w:r>
        <w:rPr>
          <w:rFonts w:ascii="Arial;Helvetica;Sans-Serif" w:hAnsi="Arial;Helvetica;Sans-Serif"/>
          <w:b w:val="false"/>
          <w:i w:val="false"/>
          <w:caps w:val="false"/>
          <w:smallCaps w:val="false"/>
          <w:color w:val="58595B"/>
          <w:sz w:val="18"/>
        </w:rPr>
        <w:t xml:space="preserve"> to as our “named executive officers” or </w:t>
      </w:r>
      <w:r>
        <w:rPr>
          <w:rFonts w:ascii="Arial;Helvetica;Sans-Serif" w:hAnsi="Arial;Helvetica;Sans-Serif"/>
          <w:b w:val="false"/>
          <w:i w:val="false"/>
          <w:caps w:val="false"/>
          <w:smallCaps w:val="false"/>
          <w:color w:val="58595B"/>
          <w:spacing w:val="-2"/>
          <w:sz w:val="18"/>
        </w:rPr>
        <w:t xml:space="preserve">“NEOs” </w:t>
      </w:r>
      <w:r>
        <w:rPr>
          <w:rFonts w:ascii="Arial;Helvetica;Sans-Serif" w:hAnsi="Arial;Helvetica;Sans-Serif"/>
          <w:b w:val="false"/>
          <w:i w:val="false"/>
          <w:caps w:val="false"/>
          <w:smallCaps w:val="false"/>
          <w:color w:val="58595B"/>
          <w:sz w:val="18"/>
        </w:rPr>
        <w:t xml:space="preserve">for purposes of this </w:t>
      </w:r>
      <w:r>
        <w:rPr>
          <w:rFonts w:ascii="Arial;Helvetica;Sans-Serif" w:hAnsi="Arial;Helvetica;Sans-Serif"/>
          <w:b w:val="false"/>
          <w:i w:val="false"/>
          <w:caps w:val="false"/>
          <w:smallCaps w:val="false"/>
          <w:color w:val="58595B"/>
          <w:spacing w:val="-3"/>
          <w:sz w:val="18"/>
        </w:rPr>
        <w:t>proxy</w:t>
      </w:r>
      <w:r>
        <w:rPr>
          <w:rFonts w:ascii="Arial;Helvetica;Sans-Serif" w:hAnsi="Arial;Helvetica;Sans-Serif"/>
          <w:b w:val="false"/>
          <w:i w:val="false"/>
          <w:caps w:val="false"/>
          <w:smallCaps w:val="false"/>
          <w:color w:val="58595B"/>
          <w:sz w:val="18"/>
        </w:rPr>
        <w:t xml:space="preserve"> statement, who are our Chief Executive Officer (“CEO”), each individual who served as our Chief Financial Officer (“CFO”) during 2022, and certain other highly paid current and former executive officers, in accordance with SEC rules. The discussion below is intended to explain the detailed information provided in the executive compensation tables and to put that information into context within our </w:t>
      </w:r>
      <w:r>
        <w:rPr>
          <w:rFonts w:ascii="Arial;Helvetica;Sans-Serif" w:hAnsi="Arial;Helvetica;Sans-Serif"/>
          <w:b w:val="false"/>
          <w:i w:val="false"/>
          <w:caps w:val="false"/>
          <w:smallCaps w:val="false"/>
          <w:color w:val="58595B"/>
          <w:spacing w:val="-3"/>
          <w:sz w:val="18"/>
        </w:rPr>
        <w:t xml:space="preserve">overall </w:t>
      </w:r>
      <w:r>
        <w:rPr>
          <w:rFonts w:ascii="Arial;Helvetica;Sans-Serif" w:hAnsi="Arial;Helvetica;Sans-Serif"/>
          <w:b w:val="false"/>
          <w:i w:val="false"/>
          <w:caps w:val="false"/>
          <w:smallCaps w:val="false"/>
          <w:color w:val="58595B"/>
          <w:sz w:val="18"/>
        </w:rPr>
        <w:t>compensation program.</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Our NEOs for 2022 were:</w:t>
      </w:r>
    </w:p>
    <w:p>
      <w:pPr>
        <w:pStyle w:val="TextBody"/>
        <w:rPr>
          <w:caps w:val="false"/>
          <w:smallCaps w:val="false"/>
          <w:color w:val="231F20"/>
        </w:rPr>
      </w:pPr>
      <w:r>
        <w:rPr>
          <w:caps w:val="false"/>
          <w:smallCaps w:val="false"/>
          <w:color w:val="231F20"/>
        </w:rPr>
        <w:t> </w:t>
      </w:r>
    </w:p>
    <w:tbl>
      <w:tblPr>
        <w:tblW w:w="6625" w:type="dxa"/>
        <w:jc w:val="left"/>
        <w:tblInd w:w="0" w:type="dxa"/>
        <w:tblCellMar>
          <w:top w:w="0" w:type="dxa"/>
          <w:left w:w="0" w:type="dxa"/>
          <w:bottom w:w="0" w:type="dxa"/>
          <w:right w:w="0" w:type="dxa"/>
        </w:tblCellMar>
      </w:tblPr>
      <w:tblGrid>
        <w:gridCol w:w="1595"/>
        <w:gridCol w:w="5030"/>
      </w:tblGrid>
      <w:tr>
        <w:trPr/>
        <w:tc>
          <w:tcPr>
            <w:tcW w:w="1595"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Name </w:t>
            </w:r>
          </w:p>
        </w:tc>
        <w:tc>
          <w:tcPr>
            <w:tcW w:w="5030"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Position</w:t>
            </w:r>
          </w:p>
        </w:tc>
      </w:tr>
      <w:tr>
        <w:trPr/>
        <w:tc>
          <w:tcPr>
            <w:tcW w:w="159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Ronald F. Clarke</w:t>
            </w:r>
          </w:p>
        </w:tc>
        <w:tc>
          <w:tcPr>
            <w:tcW w:w="50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Chief Executive Officer and Chairman of the Board</w:t>
            </w:r>
          </w:p>
        </w:tc>
      </w:tr>
      <w:tr>
        <w:trPr/>
        <w:tc>
          <w:tcPr>
            <w:tcW w:w="1595"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Alissa B. Vickery</w:t>
            </w:r>
          </w:p>
        </w:tc>
        <w:tc>
          <w:tcPr>
            <w:tcW w:w="5030" w:type="dxa"/>
            <w:tcBorders/>
            <w:shd w:fill="DCDDDE" w:val="clear"/>
            <w:vAlign w:val="center"/>
          </w:tcPr>
          <w:p>
            <w:pPr>
              <w:pStyle w:val="TableContents"/>
              <w:spacing w:lineRule="auto" w:line="240" w:before="0" w:after="283"/>
              <w:rPr>
                <w:rFonts w:ascii="Arial;Helvetica;Sans-Serif" w:hAnsi="Arial;Helvetica;Sans-Serif"/>
                <w:color w:val="58595B"/>
                <w:sz w:val="18"/>
              </w:rPr>
            </w:pPr>
            <w:r>
              <w:rPr>
                <w:rFonts w:ascii="Arial;Helvetica;Sans-Serif" w:hAnsi="Arial;Helvetica;Sans-Serif"/>
                <w:color w:val="58595B"/>
                <w:sz w:val="18"/>
              </w:rPr>
              <w:t>Interim Chief Financial Officer and Chief Accounting Officer(1)</w:t>
            </w:r>
          </w:p>
        </w:tc>
      </w:tr>
      <w:tr>
        <w:trPr/>
        <w:tc>
          <w:tcPr>
            <w:tcW w:w="159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Charles R. Freund</w:t>
            </w:r>
          </w:p>
        </w:tc>
        <w:tc>
          <w:tcPr>
            <w:tcW w:w="50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Former Chief Financial Officer and Secretary</w:t>
            </w:r>
          </w:p>
        </w:tc>
      </w:tr>
      <w:tr>
        <w:trPr/>
        <w:tc>
          <w:tcPr>
            <w:tcW w:w="1595"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Armando L. Netto</w:t>
            </w:r>
          </w:p>
        </w:tc>
        <w:tc>
          <w:tcPr>
            <w:tcW w:w="503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Group President, Brazil</w:t>
            </w:r>
          </w:p>
        </w:tc>
      </w:tr>
      <w:tr>
        <w:trPr/>
        <w:tc>
          <w:tcPr>
            <w:tcW w:w="159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Alan King</w:t>
            </w:r>
          </w:p>
        </w:tc>
        <w:tc>
          <w:tcPr>
            <w:tcW w:w="50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Group President, Global Fleet</w:t>
            </w:r>
          </w:p>
        </w:tc>
      </w:tr>
      <w:tr>
        <w:trPr/>
        <w:tc>
          <w:tcPr>
            <w:tcW w:w="1595" w:type="dxa"/>
            <w:tcBorders/>
            <w:shd w:fill="DCDDDE" w:val="clear"/>
            <w:vAlign w:val="center"/>
          </w:tcPr>
          <w:p>
            <w:pPr>
              <w:pStyle w:val="TableContents"/>
              <w:spacing w:before="0" w:after="283"/>
              <w:rPr/>
            </w:pPr>
            <w:r>
              <w:rPr>
                <w:rFonts w:ascii="Arial;Helvetica;Sans-Serif" w:hAnsi="Arial;Helvetica;Sans-Serif"/>
                <w:b/>
                <w:color w:val="58595B"/>
                <w:spacing w:val="-3"/>
                <w:sz w:val="18"/>
              </w:rPr>
              <w:t xml:space="preserve">Alexey </w:t>
            </w:r>
            <w:r>
              <w:rPr>
                <w:rFonts w:ascii="Arial;Helvetica;Sans-Serif" w:hAnsi="Arial;Helvetica;Sans-Serif"/>
                <w:b/>
                <w:color w:val="58595B"/>
                <w:sz w:val="18"/>
              </w:rPr>
              <w:t>Gavrilenya</w:t>
            </w:r>
          </w:p>
        </w:tc>
        <w:tc>
          <w:tcPr>
            <w:tcW w:w="5030" w:type="dxa"/>
            <w:tcBorders/>
            <w:shd w:fill="DCDDDE" w:val="clear"/>
            <w:vAlign w:val="center"/>
          </w:tcPr>
          <w:p>
            <w:pPr>
              <w:pStyle w:val="TableContents"/>
              <w:spacing w:before="0" w:after="283"/>
              <w:rPr/>
            </w:pPr>
            <w:r>
              <w:rPr>
                <w:rFonts w:ascii="Arial;Helvetica;Sans-Serif" w:hAnsi="Arial;Helvetica;Sans-Serif"/>
                <w:color w:val="58595B"/>
                <w:spacing w:val="-3"/>
                <w:sz w:val="18"/>
              </w:rPr>
              <w:t xml:space="preserve">Former </w:t>
            </w:r>
            <w:r>
              <w:rPr>
                <w:rFonts w:ascii="Arial;Helvetica;Sans-Serif" w:hAnsi="Arial;Helvetica;Sans-Serif"/>
                <w:color w:val="58595B"/>
                <w:sz w:val="18"/>
              </w:rPr>
              <w:t xml:space="preserve">Group President, North America </w:t>
            </w:r>
            <w:r>
              <w:rPr>
                <w:rFonts w:ascii="Arial;Helvetica;Sans-Serif" w:hAnsi="Arial;Helvetica;Sans-Serif"/>
                <w:color w:val="58595B"/>
                <w:spacing w:val="-3"/>
                <w:sz w:val="18"/>
              </w:rPr>
              <w:t>Fuel</w:t>
            </w:r>
          </w:p>
        </w:tc>
      </w:tr>
      <w:tr>
        <w:trPr/>
        <w:tc>
          <w:tcPr>
            <w:tcW w:w="159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John S. Coughlin</w:t>
            </w:r>
          </w:p>
        </w:tc>
        <w:tc>
          <w:tcPr>
            <w:tcW w:w="5030" w:type="dxa"/>
            <w:tcBorders/>
            <w:shd w:fill="auto" w:val="clear"/>
            <w:vAlign w:val="center"/>
          </w:tcPr>
          <w:p>
            <w:pPr>
              <w:pStyle w:val="TableContents"/>
              <w:spacing w:before="0" w:after="283"/>
              <w:rPr/>
            </w:pPr>
            <w:r>
              <w:rPr>
                <w:rFonts w:ascii="Arial;Helvetica;Sans-Serif" w:hAnsi="Arial;Helvetica;Sans-Serif"/>
                <w:color w:val="58595B"/>
                <w:spacing w:val="-3"/>
                <w:sz w:val="18"/>
              </w:rPr>
              <w:t xml:space="preserve">Former </w:t>
            </w:r>
            <w:r>
              <w:rPr>
                <w:rFonts w:ascii="Arial;Helvetica;Sans-Serif" w:hAnsi="Arial;Helvetica;Sans-Serif"/>
                <w:color w:val="58595B"/>
                <w:sz w:val="18"/>
              </w:rPr>
              <w:t>Group President, Corporate Payments</w:t>
            </w:r>
          </w:p>
        </w:tc>
      </w:tr>
    </w:tbl>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 xml:space="preserve">(1) As previously disclosed, we appointed </w:t>
      </w:r>
      <w:r>
        <w:rPr>
          <w:rFonts w:ascii="Arial;Helvetica;Sans-Serif" w:hAnsi="Arial;Helvetica;Sans-Serif"/>
          <w:b w:val="false"/>
          <w:i/>
          <w:caps w:val="false"/>
          <w:smallCaps w:val="false"/>
          <w:color w:val="58595B"/>
          <w:spacing w:val="-6"/>
          <w:sz w:val="16"/>
        </w:rPr>
        <w:t>Tom</w:t>
      </w:r>
      <w:r>
        <w:rPr>
          <w:rFonts w:ascii="Arial;Helvetica;Sans-Serif" w:hAnsi="Arial;Helvetica;Sans-Serif"/>
          <w:b w:val="false"/>
          <w:i/>
          <w:caps w:val="false"/>
          <w:smallCaps w:val="false"/>
          <w:color w:val="58595B"/>
          <w:sz w:val="16"/>
        </w:rPr>
        <w:t xml:space="preserve"> Panther as our Chief Financial Officer, effective May 12, 2023. </w:t>
      </w:r>
      <w:r>
        <w:rPr>
          <w:rFonts w:ascii="Arial;Helvetica;Sans-Serif" w:hAnsi="Arial;Helvetica;Sans-Serif"/>
          <w:b w:val="false"/>
          <w:i/>
          <w:caps w:val="false"/>
          <w:smallCaps w:val="false"/>
          <w:color w:val="58595B"/>
          <w:spacing w:val="-4"/>
          <w:sz w:val="16"/>
        </w:rPr>
        <w:t>We</w:t>
      </w:r>
      <w:r>
        <w:rPr>
          <w:rFonts w:ascii="Arial;Helvetica;Sans-Serif" w:hAnsi="Arial;Helvetica;Sans-Serif"/>
          <w:b w:val="false"/>
          <w:i/>
          <w:caps w:val="false"/>
          <w:smallCaps w:val="false"/>
          <w:color w:val="58595B"/>
          <w:sz w:val="16"/>
        </w:rPr>
        <w:t xml:space="preserve"> expect that Ms. Vickery will continue to serve as interim Chief Financial Officer until such date, at which point she will continue in her role as Chief Accounting Officer.</w:t>
      </w:r>
    </w:p>
    <w:p>
      <w:pPr>
        <w:pStyle w:val="TextBody"/>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183">
                <wp:simplePos x="0" y="0"/>
                <wp:positionH relativeFrom="column">
                  <wp:align>left</wp:align>
                </wp:positionH>
                <wp:positionV relativeFrom="line">
                  <wp:posOffset>635</wp:posOffset>
                </wp:positionV>
                <wp:extent cx="3110230" cy="2744470"/>
                <wp:effectExtent l="0" t="0" r="0" b="0"/>
                <wp:wrapSquare wrapText="largest"/>
                <wp:docPr id="293" name="Frame36"/>
                <a:graphic xmlns:a="http://schemas.openxmlformats.org/drawingml/2006/main">
                  <a:graphicData uri="http://schemas.microsoft.com/office/word/2010/wordprocessingShape">
                    <wps:wsp>
                      <wps:cNvSpPr txBox="1"/>
                      <wps:spPr>
                        <a:xfrm>
                          <a:off x="0" y="0"/>
                          <a:ext cx="3110230" cy="2744470"/>
                        </a:xfrm>
                        <a:prstGeom prst="rect"/>
                      </wps:spPr>
                      <wps:txbx>
                        <w:txbxContent>
                          <w:p>
                            <w:pPr>
                              <w:pStyle w:val="TextBody"/>
                              <w:rPr>
                                <w:rFonts w:ascii="Arial;Helvetica;Sans-Serif" w:hAnsi="Arial;Helvetica;Sans-Serif"/>
                                <w:b/>
                                <w:i w:val="false"/>
                                <w:caps w:val="false"/>
                                <w:smallCaps w:val="false"/>
                                <w:color w:val="EE0027"/>
                                <w:sz w:val="20"/>
                              </w:rPr>
                            </w:pPr>
                            <w:bookmarkStart w:id="71" w:name="a040"/>
                            <w:bookmarkEnd w:id="71"/>
                            <w:r>
                              <w:rPr>
                                <w:rFonts w:ascii="Arial;Helvetica;Sans-Serif" w:hAnsi="Arial;Helvetica;Sans-Serif"/>
                                <w:b/>
                                <w:i w:val="false"/>
                                <w:caps w:val="false"/>
                                <w:smallCaps w:val="false"/>
                                <w:color w:val="EE0027"/>
                                <w:sz w:val="20"/>
                              </w:rPr>
                              <w:t>Leadership Transitions in 2022</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On </w:t>
                            </w:r>
                            <w:r>
                              <w:rPr>
                                <w:rFonts w:ascii="Arial;Helvetica;Sans-Serif" w:hAnsi="Arial;Helvetica;Sans-Serif"/>
                                <w:b w:val="false"/>
                                <w:i w:val="false"/>
                                <w:caps w:val="false"/>
                                <w:smallCaps w:val="false"/>
                                <w:color w:val="58595B"/>
                                <w:spacing w:val="-3"/>
                                <w:sz w:val="18"/>
                              </w:rPr>
                              <w:t xml:space="preserve">March </w:t>
                            </w:r>
                            <w:r>
                              <w:rPr>
                                <w:rFonts w:ascii="Arial;Helvetica;Sans-Serif" w:hAnsi="Arial;Helvetica;Sans-Serif"/>
                                <w:b w:val="false"/>
                                <w:i w:val="false"/>
                                <w:caps w:val="false"/>
                                <w:smallCaps w:val="false"/>
                                <w:color w:val="58595B"/>
                                <w:sz w:val="18"/>
                              </w:rPr>
                              <w:t xml:space="preserve">1, 2022, we announced the departure of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Coughlin to pursue other opportunities. </w:t>
                            </w:r>
                            <w:r>
                              <w:rPr>
                                <w:rFonts w:ascii="Arial;Helvetica;Sans-Serif" w:hAnsi="Arial;Helvetica;Sans-Serif"/>
                                <w:b w:val="false"/>
                                <w:i w:val="false"/>
                                <w:caps w:val="false"/>
                                <w:smallCaps w:val="false"/>
                                <w:color w:val="58595B"/>
                                <w:spacing w:val="-4"/>
                                <w:sz w:val="18"/>
                              </w:rPr>
                              <w:t>Mr.</w:t>
                            </w:r>
                            <w:r>
                              <w:rPr>
                                <w:rFonts w:ascii="Arial;Helvetica;Sans-Serif" w:hAnsi="Arial;Helvetica;Sans-Serif"/>
                                <w:b w:val="false"/>
                                <w:i w:val="false"/>
                                <w:caps w:val="false"/>
                                <w:smallCaps w:val="false"/>
                                <w:color w:val="58595B"/>
                                <w:sz w:val="18"/>
                              </w:rPr>
                              <w:t xml:space="preserve"> Coughlin </w:t>
                            </w:r>
                            <w:r>
                              <w:rPr>
                                <w:rFonts w:ascii="Arial;Helvetica;Sans-Serif" w:hAnsi="Arial;Helvetica;Sans-Serif"/>
                                <w:b w:val="false"/>
                                <w:i w:val="false"/>
                                <w:caps w:val="false"/>
                                <w:smallCaps w:val="false"/>
                                <w:color w:val="58595B"/>
                                <w:spacing w:val="-4"/>
                                <w:sz w:val="18"/>
                              </w:rPr>
                              <w:t xml:space="preserve">remained </w:t>
                            </w:r>
                            <w:r>
                              <w:rPr>
                                <w:rFonts w:ascii="Arial;Helvetica;Sans-Serif" w:hAnsi="Arial;Helvetica;Sans-Serif"/>
                                <w:b w:val="false"/>
                                <w:i w:val="false"/>
                                <w:caps w:val="false"/>
                                <w:smallCaps w:val="false"/>
                                <w:color w:val="58595B"/>
                                <w:sz w:val="18"/>
                              </w:rPr>
                              <w:t xml:space="preserve">with </w:t>
                            </w:r>
                            <w:r>
                              <w:rPr>
                                <w:rFonts w:ascii="Arial;Helvetica;Sans-Serif" w:hAnsi="Arial;Helvetica;Sans-Serif"/>
                                <w:b w:val="false"/>
                                <w:i w:val="false"/>
                                <w:caps w:val="false"/>
                                <w:smallCaps w:val="false"/>
                                <w:color w:val="58595B"/>
                                <w:spacing w:val="-3"/>
                                <w:sz w:val="18"/>
                              </w:rPr>
                              <w:t xml:space="preserve">FLEETCOR </w:t>
                            </w:r>
                            <w:r>
                              <w:rPr>
                                <w:rFonts w:ascii="Arial;Helvetica;Sans-Serif" w:hAnsi="Arial;Helvetica;Sans-Serif"/>
                                <w:b w:val="false"/>
                                <w:i w:val="false"/>
                                <w:caps w:val="false"/>
                                <w:smallCaps w:val="false"/>
                                <w:color w:val="58595B"/>
                                <w:sz w:val="18"/>
                              </w:rPr>
                              <w:t xml:space="preserve">as a senior advisor to help ensure a smooth transition of his responsibilities. On </w:t>
                            </w:r>
                            <w:r>
                              <w:rPr>
                                <w:rFonts w:ascii="Arial;Helvetica;Sans-Serif" w:hAnsi="Arial;Helvetica;Sans-Serif"/>
                                <w:b w:val="false"/>
                                <w:i w:val="false"/>
                                <w:caps w:val="false"/>
                                <w:smallCaps w:val="false"/>
                                <w:color w:val="58595B"/>
                                <w:spacing w:val="-3"/>
                                <w:sz w:val="18"/>
                              </w:rPr>
                              <w:t xml:space="preserve">May </w:t>
                            </w:r>
                            <w:r>
                              <w:rPr>
                                <w:rFonts w:ascii="Arial;Helvetica;Sans-Serif" w:hAnsi="Arial;Helvetica;Sans-Serif"/>
                                <w:b w:val="false"/>
                                <w:i w:val="false"/>
                                <w:caps w:val="false"/>
                                <w:smallCaps w:val="false"/>
                                <w:color w:val="58595B"/>
                                <w:sz w:val="18"/>
                              </w:rPr>
                              <w:t xml:space="preserve">23, 2022, we announced the establishment of a new “global fleet </w:t>
                            </w:r>
                            <w:r>
                              <w:rPr>
                                <w:rFonts w:ascii="Arial;Helvetica;Sans-Serif" w:hAnsi="Arial;Helvetica;Sans-Serif"/>
                                <w:b w:val="false"/>
                                <w:i w:val="false"/>
                                <w:caps w:val="false"/>
                                <w:smallCaps w:val="false"/>
                                <w:color w:val="58595B"/>
                                <w:spacing w:val="-3"/>
                                <w:sz w:val="18"/>
                              </w:rPr>
                              <w:t xml:space="preserve">organization,” </w:t>
                            </w:r>
                            <w:r>
                              <w:rPr>
                                <w:rFonts w:ascii="Arial;Helvetica;Sans-Serif" w:hAnsi="Arial;Helvetica;Sans-Serif"/>
                                <w:b w:val="false"/>
                                <w:i w:val="false"/>
                                <w:caps w:val="false"/>
                                <w:smallCaps w:val="false"/>
                                <w:color w:val="58595B"/>
                                <w:sz w:val="18"/>
                              </w:rPr>
                              <w:t xml:space="preserve">combining our North America and International Fleet organizations into one. In connection with such change,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King was promoted to lead the new combined global fleet organization, and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Gavrilenya, former Group President North America fleet, ceased serving in that role. </w:t>
                            </w:r>
                            <w:r>
                              <w:rPr>
                                <w:rFonts w:ascii="Arial;Helvetica;Sans-Serif" w:hAnsi="Arial;Helvetica;Sans-Serif"/>
                                <w:b w:val="false"/>
                                <w:i w:val="false"/>
                                <w:caps w:val="false"/>
                                <w:smallCaps w:val="false"/>
                                <w:color w:val="58595B"/>
                                <w:spacing w:val="-4"/>
                                <w:sz w:val="18"/>
                              </w:rPr>
                              <w:t>Mr.</w:t>
                            </w:r>
                            <w:r>
                              <w:rPr>
                                <w:rFonts w:ascii="Arial;Helvetica;Sans-Serif" w:hAnsi="Arial;Helvetica;Sans-Serif"/>
                                <w:b w:val="false"/>
                                <w:i w:val="false"/>
                                <w:caps w:val="false"/>
                                <w:smallCaps w:val="false"/>
                                <w:color w:val="58595B"/>
                                <w:sz w:val="18"/>
                              </w:rPr>
                              <w:t xml:space="preserve"> Gavrilenya remained with </w:t>
                            </w:r>
                            <w:r>
                              <w:rPr>
                                <w:rFonts w:ascii="Arial;Helvetica;Sans-Serif" w:hAnsi="Arial;Helvetica;Sans-Serif"/>
                                <w:b w:val="false"/>
                                <w:i w:val="false"/>
                                <w:caps w:val="false"/>
                                <w:smallCaps w:val="false"/>
                                <w:color w:val="58595B"/>
                                <w:spacing w:val="-3"/>
                                <w:sz w:val="18"/>
                              </w:rPr>
                              <w:t xml:space="preserve">FLEETCOR </w:t>
                            </w:r>
                            <w:r>
                              <w:rPr>
                                <w:rFonts w:ascii="Arial;Helvetica;Sans-Serif" w:hAnsi="Arial;Helvetica;Sans-Serif"/>
                                <w:b w:val="false"/>
                                <w:i w:val="false"/>
                                <w:caps w:val="false"/>
                                <w:smallCaps w:val="false"/>
                                <w:color w:val="58595B"/>
                                <w:sz w:val="18"/>
                              </w:rPr>
                              <w:t>as a senior advisor until December 31, 2022, to help ensure a smooth transition of his responsibilities.</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6.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i w:val="false"/>
                          <w:caps w:val="false"/>
                          <w:smallCaps w:val="false"/>
                          <w:color w:val="EE0027"/>
                          <w:sz w:val="20"/>
                        </w:rPr>
                      </w:pPr>
                      <w:bookmarkStart w:id="72" w:name="a040"/>
                      <w:bookmarkEnd w:id="72"/>
                      <w:r>
                        <w:rPr>
                          <w:rFonts w:ascii="Arial;Helvetica;Sans-Serif" w:hAnsi="Arial;Helvetica;Sans-Serif"/>
                          <w:b/>
                          <w:i w:val="false"/>
                          <w:caps w:val="false"/>
                          <w:smallCaps w:val="false"/>
                          <w:color w:val="EE0027"/>
                          <w:sz w:val="20"/>
                        </w:rPr>
                        <w:t>Leadership Transitions in 2022</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On </w:t>
                      </w:r>
                      <w:r>
                        <w:rPr>
                          <w:rFonts w:ascii="Arial;Helvetica;Sans-Serif" w:hAnsi="Arial;Helvetica;Sans-Serif"/>
                          <w:b w:val="false"/>
                          <w:i w:val="false"/>
                          <w:caps w:val="false"/>
                          <w:smallCaps w:val="false"/>
                          <w:color w:val="58595B"/>
                          <w:spacing w:val="-3"/>
                          <w:sz w:val="18"/>
                        </w:rPr>
                        <w:t xml:space="preserve">March </w:t>
                      </w:r>
                      <w:r>
                        <w:rPr>
                          <w:rFonts w:ascii="Arial;Helvetica;Sans-Serif" w:hAnsi="Arial;Helvetica;Sans-Serif"/>
                          <w:b w:val="false"/>
                          <w:i w:val="false"/>
                          <w:caps w:val="false"/>
                          <w:smallCaps w:val="false"/>
                          <w:color w:val="58595B"/>
                          <w:sz w:val="18"/>
                        </w:rPr>
                        <w:t xml:space="preserve">1, 2022, we announced the departure of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Coughlin to pursue other opportunities. </w:t>
                      </w:r>
                      <w:r>
                        <w:rPr>
                          <w:rFonts w:ascii="Arial;Helvetica;Sans-Serif" w:hAnsi="Arial;Helvetica;Sans-Serif"/>
                          <w:b w:val="false"/>
                          <w:i w:val="false"/>
                          <w:caps w:val="false"/>
                          <w:smallCaps w:val="false"/>
                          <w:color w:val="58595B"/>
                          <w:spacing w:val="-4"/>
                          <w:sz w:val="18"/>
                        </w:rPr>
                        <w:t>Mr.</w:t>
                      </w:r>
                      <w:r>
                        <w:rPr>
                          <w:rFonts w:ascii="Arial;Helvetica;Sans-Serif" w:hAnsi="Arial;Helvetica;Sans-Serif"/>
                          <w:b w:val="false"/>
                          <w:i w:val="false"/>
                          <w:caps w:val="false"/>
                          <w:smallCaps w:val="false"/>
                          <w:color w:val="58595B"/>
                          <w:sz w:val="18"/>
                        </w:rPr>
                        <w:t xml:space="preserve"> Coughlin </w:t>
                      </w:r>
                      <w:r>
                        <w:rPr>
                          <w:rFonts w:ascii="Arial;Helvetica;Sans-Serif" w:hAnsi="Arial;Helvetica;Sans-Serif"/>
                          <w:b w:val="false"/>
                          <w:i w:val="false"/>
                          <w:caps w:val="false"/>
                          <w:smallCaps w:val="false"/>
                          <w:color w:val="58595B"/>
                          <w:spacing w:val="-4"/>
                          <w:sz w:val="18"/>
                        </w:rPr>
                        <w:t xml:space="preserve">remained </w:t>
                      </w:r>
                      <w:r>
                        <w:rPr>
                          <w:rFonts w:ascii="Arial;Helvetica;Sans-Serif" w:hAnsi="Arial;Helvetica;Sans-Serif"/>
                          <w:b w:val="false"/>
                          <w:i w:val="false"/>
                          <w:caps w:val="false"/>
                          <w:smallCaps w:val="false"/>
                          <w:color w:val="58595B"/>
                          <w:sz w:val="18"/>
                        </w:rPr>
                        <w:t xml:space="preserve">with </w:t>
                      </w:r>
                      <w:r>
                        <w:rPr>
                          <w:rFonts w:ascii="Arial;Helvetica;Sans-Serif" w:hAnsi="Arial;Helvetica;Sans-Serif"/>
                          <w:b w:val="false"/>
                          <w:i w:val="false"/>
                          <w:caps w:val="false"/>
                          <w:smallCaps w:val="false"/>
                          <w:color w:val="58595B"/>
                          <w:spacing w:val="-3"/>
                          <w:sz w:val="18"/>
                        </w:rPr>
                        <w:t xml:space="preserve">FLEETCOR </w:t>
                      </w:r>
                      <w:r>
                        <w:rPr>
                          <w:rFonts w:ascii="Arial;Helvetica;Sans-Serif" w:hAnsi="Arial;Helvetica;Sans-Serif"/>
                          <w:b w:val="false"/>
                          <w:i w:val="false"/>
                          <w:caps w:val="false"/>
                          <w:smallCaps w:val="false"/>
                          <w:color w:val="58595B"/>
                          <w:sz w:val="18"/>
                        </w:rPr>
                        <w:t xml:space="preserve">as a senior advisor to help ensure a smooth transition of his responsibilities. On </w:t>
                      </w:r>
                      <w:r>
                        <w:rPr>
                          <w:rFonts w:ascii="Arial;Helvetica;Sans-Serif" w:hAnsi="Arial;Helvetica;Sans-Serif"/>
                          <w:b w:val="false"/>
                          <w:i w:val="false"/>
                          <w:caps w:val="false"/>
                          <w:smallCaps w:val="false"/>
                          <w:color w:val="58595B"/>
                          <w:spacing w:val="-3"/>
                          <w:sz w:val="18"/>
                        </w:rPr>
                        <w:t xml:space="preserve">May </w:t>
                      </w:r>
                      <w:r>
                        <w:rPr>
                          <w:rFonts w:ascii="Arial;Helvetica;Sans-Serif" w:hAnsi="Arial;Helvetica;Sans-Serif"/>
                          <w:b w:val="false"/>
                          <w:i w:val="false"/>
                          <w:caps w:val="false"/>
                          <w:smallCaps w:val="false"/>
                          <w:color w:val="58595B"/>
                          <w:sz w:val="18"/>
                        </w:rPr>
                        <w:t xml:space="preserve">23, 2022, we announced the establishment of a new “global fleet </w:t>
                      </w:r>
                      <w:r>
                        <w:rPr>
                          <w:rFonts w:ascii="Arial;Helvetica;Sans-Serif" w:hAnsi="Arial;Helvetica;Sans-Serif"/>
                          <w:b w:val="false"/>
                          <w:i w:val="false"/>
                          <w:caps w:val="false"/>
                          <w:smallCaps w:val="false"/>
                          <w:color w:val="58595B"/>
                          <w:spacing w:val="-3"/>
                          <w:sz w:val="18"/>
                        </w:rPr>
                        <w:t xml:space="preserve">organization,” </w:t>
                      </w:r>
                      <w:r>
                        <w:rPr>
                          <w:rFonts w:ascii="Arial;Helvetica;Sans-Serif" w:hAnsi="Arial;Helvetica;Sans-Serif"/>
                          <w:b w:val="false"/>
                          <w:i w:val="false"/>
                          <w:caps w:val="false"/>
                          <w:smallCaps w:val="false"/>
                          <w:color w:val="58595B"/>
                          <w:sz w:val="18"/>
                        </w:rPr>
                        <w:t xml:space="preserve">combining our North America and International Fleet organizations into one. In connection with such change,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King was promoted to lead the new combined global fleet organization, and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Gavrilenya, former Group President North America fleet, ceased serving in that role. </w:t>
                      </w:r>
                      <w:r>
                        <w:rPr>
                          <w:rFonts w:ascii="Arial;Helvetica;Sans-Serif" w:hAnsi="Arial;Helvetica;Sans-Serif"/>
                          <w:b w:val="false"/>
                          <w:i w:val="false"/>
                          <w:caps w:val="false"/>
                          <w:smallCaps w:val="false"/>
                          <w:color w:val="58595B"/>
                          <w:spacing w:val="-4"/>
                          <w:sz w:val="18"/>
                        </w:rPr>
                        <w:t>Mr.</w:t>
                      </w:r>
                      <w:r>
                        <w:rPr>
                          <w:rFonts w:ascii="Arial;Helvetica;Sans-Serif" w:hAnsi="Arial;Helvetica;Sans-Serif"/>
                          <w:b w:val="false"/>
                          <w:i w:val="false"/>
                          <w:caps w:val="false"/>
                          <w:smallCaps w:val="false"/>
                          <w:color w:val="58595B"/>
                          <w:sz w:val="18"/>
                        </w:rPr>
                        <w:t xml:space="preserve"> Gavrilenya remained with </w:t>
                      </w:r>
                      <w:r>
                        <w:rPr>
                          <w:rFonts w:ascii="Arial;Helvetica;Sans-Serif" w:hAnsi="Arial;Helvetica;Sans-Serif"/>
                          <w:b w:val="false"/>
                          <w:i w:val="false"/>
                          <w:caps w:val="false"/>
                          <w:smallCaps w:val="false"/>
                          <w:color w:val="58595B"/>
                          <w:spacing w:val="-3"/>
                          <w:sz w:val="18"/>
                        </w:rPr>
                        <w:t xml:space="preserve">FLEETCOR </w:t>
                      </w:r>
                      <w:r>
                        <w:rPr>
                          <w:rFonts w:ascii="Arial;Helvetica;Sans-Serif" w:hAnsi="Arial;Helvetica;Sans-Serif"/>
                          <w:b w:val="false"/>
                          <w:i w:val="false"/>
                          <w:caps w:val="false"/>
                          <w:smallCaps w:val="false"/>
                          <w:color w:val="58595B"/>
                          <w:sz w:val="18"/>
                        </w:rPr>
                        <w:t>as a senior advisor until December 31, 2022, to help ensure a smooth transition of his responsibilities.</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r>
        <mc:AlternateContent>
          <mc:Choice Requires="wps">
            <w:drawing>
              <wp:anchor behindDoc="0" distT="0" distB="0" distL="0" distR="0" simplePos="0" locked="0" layoutInCell="1" allowOverlap="1" relativeHeight="184">
                <wp:simplePos x="0" y="0"/>
                <wp:positionH relativeFrom="column">
                  <wp:align>right</wp:align>
                </wp:positionH>
                <wp:positionV relativeFrom="line">
                  <wp:posOffset>635</wp:posOffset>
                </wp:positionV>
                <wp:extent cx="3110230" cy="2243455"/>
                <wp:effectExtent l="0" t="0" r="0" b="0"/>
                <wp:wrapSquare wrapText="largest"/>
                <wp:docPr id="294" name="Frame37"/>
                <a:graphic xmlns:a="http://schemas.openxmlformats.org/drawingml/2006/main">
                  <a:graphicData uri="http://schemas.microsoft.com/office/word/2010/wordprocessingShape">
                    <wps:wsp>
                      <wps:cNvSpPr txBox="1"/>
                      <wps:spPr>
                        <a:xfrm>
                          <a:off x="0" y="0"/>
                          <a:ext cx="3110230" cy="2243455"/>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On September 22, 2022, Mr. Freund notified FLEETCOR of his decision to resign as Chief Financial Officer effective October 3, 2022. Mr. Freund remained with FLEETCOR in a consulting capacity until December 31, 2022 to help ensure a smooth transition of his responsibilities. In connection with Mr. Freund’s departure, Ms. Vickery, our Chief Accounting Officer, was appointed to serve as our interim Chief Financial Officer.</w:t>
                            </w:r>
                          </w:p>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Ms. Vickery’s compensation for 2022 was established prior to her appointment as our interim Chief Financial </w:t>
                            </w:r>
                            <w:r>
                              <w:rPr>
                                <w:rFonts w:ascii="Arial;Helvetica;Sans-Serif" w:hAnsi="Arial;Helvetica;Sans-Serif"/>
                                <w:b w:val="false"/>
                                <w:i w:val="false"/>
                                <w:caps w:val="false"/>
                                <w:smallCaps w:val="false"/>
                                <w:color w:val="58595B"/>
                                <w:spacing w:val="-3"/>
                                <w:sz w:val="18"/>
                              </w:rPr>
                              <w:t>Officer. Therefore,</w:t>
                            </w:r>
                            <w:r>
                              <w:rPr>
                                <w:rFonts w:ascii="Arial;Helvetica;Sans-Serif" w:hAnsi="Arial;Helvetica;Sans-Serif"/>
                                <w:b w:val="false"/>
                                <w:i w:val="false"/>
                                <w:caps w:val="false"/>
                                <w:smallCaps w:val="false"/>
                                <w:color w:val="58595B"/>
                                <w:sz w:val="18"/>
                              </w:rPr>
                              <w:t xml:space="preserve"> certain elements of her 2022 compensation differ in design and magnitude from the compensation of our other NEOs.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6.6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On September 22, 2022, Mr. Freund notified FLEETCOR of his decision to resign as Chief Financial Officer effective October 3, 2022. Mr. Freund remained with FLEETCOR in a consulting capacity until December 31, 2022 to help ensure a smooth transition of his responsibilities. In connection with Mr. Freund’s departure, Ms. Vickery, our Chief Accounting Officer, was appointed to serve as our interim Chief Financial Officer.</w:t>
                      </w:r>
                    </w:p>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Ms. Vickery’s compensation for 2022 was established prior to her appointment as our interim Chief Financial </w:t>
                      </w:r>
                      <w:r>
                        <w:rPr>
                          <w:rFonts w:ascii="Arial;Helvetica;Sans-Serif" w:hAnsi="Arial;Helvetica;Sans-Serif"/>
                          <w:b w:val="false"/>
                          <w:i w:val="false"/>
                          <w:caps w:val="false"/>
                          <w:smallCaps w:val="false"/>
                          <w:color w:val="58595B"/>
                          <w:spacing w:val="-3"/>
                          <w:sz w:val="18"/>
                        </w:rPr>
                        <w:t>Officer. Therefore,</w:t>
                      </w:r>
                      <w:r>
                        <w:rPr>
                          <w:rFonts w:ascii="Arial;Helvetica;Sans-Serif" w:hAnsi="Arial;Helvetica;Sans-Serif"/>
                          <w:b w:val="false"/>
                          <w:i w:val="false"/>
                          <w:caps w:val="false"/>
                          <w:smallCaps w:val="false"/>
                          <w:color w:val="58595B"/>
                          <w:sz w:val="18"/>
                        </w:rPr>
                        <w:t xml:space="preserve"> certain elements of her 2022 compensation differ in design and magnitude from the compensation of our other NEOs.</w:t>
                      </w:r>
                    </w:p>
                  </w:txbxContent>
                </v:textbox>
                <w10:wrap type="square" side="left"/>
              </v:rect>
            </w:pict>
          </mc:Fallback>
        </mc:AlternateContent>
      </w:r>
    </w:p>
    <w:p>
      <w:pPr>
        <w:pStyle w:val="TextBody"/>
        <w:rPr/>
      </w:pPr>
      <w:r>
        <w:rPr/>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26</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rPr>
          <w:caps w:val="false"/>
          <w:smallCaps w:val="false"/>
          <w:color w:val="EE0027"/>
        </w:rPr>
      </w:pPr>
      <w:r>
        <w:rPr>
          <w:caps w:val="false"/>
          <w:smallCaps w:val="false"/>
          <w:color w:val="EE0027"/>
        </w:rPr>
        <w:t> </w:t>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olumn">
                  <wp:align>left</wp:align>
                </wp:positionH>
                <wp:positionV relativeFrom="line">
                  <wp:posOffset>635</wp:posOffset>
                </wp:positionV>
                <wp:extent cx="3110230" cy="5855970"/>
                <wp:effectExtent l="0" t="0" r="0" b="0"/>
                <wp:wrapSquare wrapText="largest"/>
                <wp:docPr id="295" name="Frame38"/>
                <a:graphic xmlns:a="http://schemas.openxmlformats.org/drawingml/2006/main">
                  <a:graphicData uri="http://schemas.microsoft.com/office/word/2010/wordprocessingShape">
                    <wps:wsp>
                      <wps:cNvSpPr txBox="1"/>
                      <wps:spPr>
                        <a:xfrm>
                          <a:off x="0" y="0"/>
                          <a:ext cx="3110230" cy="5855970"/>
                        </a:xfrm>
                        <a:prstGeom prst="rect"/>
                      </wps:spPr>
                      <wps:txbx>
                        <w:txbxContent>
                          <w:p>
                            <w:pPr>
                              <w:pStyle w:val="TextBody"/>
                              <w:rPr>
                                <w:rFonts w:ascii="Arial;Helvetica;Sans-Serif" w:hAnsi="Arial;Helvetica;Sans-Serif"/>
                                <w:b/>
                                <w:i w:val="false"/>
                                <w:caps w:val="false"/>
                                <w:smallCaps w:val="false"/>
                                <w:color w:val="EE0027"/>
                                <w:sz w:val="20"/>
                              </w:rPr>
                            </w:pPr>
                            <w:bookmarkStart w:id="73" w:name="a041"/>
                            <w:bookmarkEnd w:id="73"/>
                            <w:r>
                              <w:rPr>
                                <w:rFonts w:ascii="Arial;Helvetica;Sans-Serif" w:hAnsi="Arial;Helvetica;Sans-Serif"/>
                                <w:b/>
                                <w:i w:val="false"/>
                                <w:caps w:val="false"/>
                                <w:smallCaps w:val="false"/>
                                <w:color w:val="EE0027"/>
                                <w:sz w:val="20"/>
                              </w:rPr>
                              <w:t>Navigating the Opportunities of 2022</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i w:val="false"/>
                                <w:caps w:val="false"/>
                                <w:smallCaps w:val="false"/>
                                <w:color w:val="231F20"/>
                                <w:sz w:val="18"/>
                              </w:rPr>
                            </w:pPr>
                            <w:bookmarkStart w:id="74" w:name="a042"/>
                            <w:bookmarkEnd w:id="74"/>
                            <w:r>
                              <w:rPr>
                                <w:rFonts w:ascii="Arial;Helvetica;Sans-Serif" w:hAnsi="Arial;Helvetica;Sans-Serif"/>
                                <w:b/>
                                <w:i w:val="false"/>
                                <w:caps w:val="false"/>
                                <w:smallCaps w:val="false"/>
                                <w:color w:val="231F20"/>
                                <w:sz w:val="18"/>
                              </w:rPr>
                              <w:t>2022 Performance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FLEETCOR is a leading global business payments company that helps businesses spend less by enabling them to better manage their expense-related purchasing and vendor payments processes. FLEETCOR’s smarter payment and spend management solutions are delivered in a variety of ways depending on the needs of the customer. </w:t>
                            </w:r>
                            <w:r>
                              <w:rPr>
                                <w:rFonts w:ascii="Arial;Helvetica;Sans-Serif" w:hAnsi="Arial;Helvetica;Sans-Serif"/>
                                <w:b w:val="false"/>
                                <w:i w:val="false"/>
                                <w:caps w:val="false"/>
                                <w:smallCaps w:val="false"/>
                                <w:color w:val="58595B"/>
                                <w:spacing w:val="-3"/>
                                <w:sz w:val="18"/>
                              </w:rPr>
                              <w:t xml:space="preserve">From </w:t>
                            </w:r>
                            <w:r>
                              <w:rPr>
                                <w:rFonts w:ascii="Arial;Helvetica;Sans-Serif" w:hAnsi="Arial;Helvetica;Sans-Serif"/>
                                <w:b w:val="false"/>
                                <w:i w:val="false"/>
                                <w:caps w:val="false"/>
                                <w:smallCaps w:val="false"/>
                                <w:color w:val="58595B"/>
                                <w:sz w:val="18"/>
                              </w:rPr>
                              <w:t xml:space="preserve">physical payment cards to software that includes customizable controls and robust payment capabilities, we provide businesses with a better way to </w:t>
                            </w:r>
                            <w:r>
                              <w:rPr>
                                <w:rFonts w:ascii="Arial;Helvetica;Sans-Serif" w:hAnsi="Arial;Helvetica;Sans-Serif"/>
                                <w:b w:val="false"/>
                                <w:i w:val="false"/>
                                <w:caps w:val="false"/>
                                <w:smallCaps w:val="false"/>
                                <w:color w:val="58595B"/>
                                <w:spacing w:val="-3"/>
                                <w:sz w:val="18"/>
                              </w:rPr>
                              <w:t>pay.</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unique positioning and focus on performance drove our results in 2022. We realized impressive performance the with:</w:t>
                            </w:r>
                          </w:p>
                          <w:p>
                            <w:pPr>
                              <w:pStyle w:val="TextBody"/>
                              <w:rPr>
                                <w:caps w:val="false"/>
                                <w:smallCaps w:val="false"/>
                                <w:color w:val="58595B"/>
                              </w:rPr>
                            </w:pPr>
                            <w:r>
                              <w:rPr>
                                <w:caps w:val="false"/>
                                <w:smallCaps w:val="false"/>
                                <w:color w:val="58595B"/>
                              </w:rPr>
                              <w:t> </w:t>
                            </w:r>
                          </w:p>
                          <w:tbl>
                            <w:tblPr>
                              <w:tblW w:w="7243" w:type="dxa"/>
                              <w:jc w:val="left"/>
                              <w:tblInd w:w="0" w:type="dxa"/>
                              <w:tblCellMar>
                                <w:top w:w="0" w:type="dxa"/>
                                <w:left w:w="0" w:type="dxa"/>
                                <w:bottom w:w="0" w:type="dxa"/>
                                <w:right w:w="0" w:type="dxa"/>
                              </w:tblCellMar>
                            </w:tblPr>
                            <w:tblGrid>
                              <w:gridCol w:w="38"/>
                              <w:gridCol w:w="165"/>
                              <w:gridCol w:w="704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96"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 name="Image158" descr=""/>
                                                <pic:cNvPicPr>
                                                  <a:picLocks noChangeAspect="1" noChangeArrowheads="1"/>
                                                </pic:cNvPicPr>
                                              </pic:nvPicPr>
                                              <pic:blipFill>
                                                <a:blip r:embed="rId159"/>
                                                <a:stretch>
                                                  <a:fillRect/>
                                                </a:stretch>
                                              </pic:blipFill>
                                              <pic:spPr bwMode="auto">
                                                <a:xfrm>
                                                  <a:off x="0" y="0"/>
                                                  <a:ext cx="104775" cy="85725"/>
                                                </a:xfrm>
                                                <a:prstGeom prst="rect">
                                                  <a:avLst/>
                                                </a:prstGeom>
                                              </pic:spPr>
                                            </pic:pic>
                                          </a:graphicData>
                                        </a:graphic>
                                      </wp:inline>
                                    </w:drawing>
                                  </w:r>
                                </w:p>
                              </w:tc>
                              <w:tc>
                                <w:tcPr>
                                  <w:tcW w:w="704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Revenue of $3.4 billion, which was up 21% and Adjusted EPS of $16.10, also up 22%.</w:t>
                                  </w:r>
                                </w:p>
                              </w:tc>
                            </w:tr>
                          </w:tbl>
                          <w:p>
                            <w:pPr>
                              <w:pStyle w:val="TextBody"/>
                              <w:ind w:left="36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Both of which were all-time record highs for the Company</w:t>
                            </w:r>
                          </w:p>
                          <w:tbl>
                            <w:tblPr>
                              <w:tblW w:w="9958" w:type="dxa"/>
                              <w:jc w:val="left"/>
                              <w:tblInd w:w="0" w:type="dxa"/>
                              <w:tblCellMar>
                                <w:top w:w="0" w:type="dxa"/>
                                <w:left w:w="0" w:type="dxa"/>
                                <w:bottom w:w="0" w:type="dxa"/>
                                <w:right w:w="0" w:type="dxa"/>
                              </w:tblCellMar>
                            </w:tblPr>
                            <w:tblGrid>
                              <w:gridCol w:w="38"/>
                              <w:gridCol w:w="165"/>
                              <w:gridCol w:w="97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97"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 name="Image159" descr=""/>
                                                <pic:cNvPicPr>
                                                  <a:picLocks noChangeAspect="1" noChangeArrowheads="1"/>
                                                </pic:cNvPicPr>
                                              </pic:nvPicPr>
                                              <pic:blipFill>
                                                <a:blip r:embed="rId160"/>
                                                <a:stretch>
                                                  <a:fillRect/>
                                                </a:stretch>
                                              </pic:blipFill>
                                              <pic:spPr bwMode="auto">
                                                <a:xfrm>
                                                  <a:off x="0" y="0"/>
                                                  <a:ext cx="104775" cy="85725"/>
                                                </a:xfrm>
                                                <a:prstGeom prst="rect">
                                                  <a:avLst/>
                                                </a:prstGeom>
                                              </pic:spPr>
                                            </pic:pic>
                                          </a:graphicData>
                                        </a:graphic>
                                      </wp:inline>
                                    </w:drawing>
                                  </w:r>
                                </w:p>
                              </w:tc>
                              <w:tc>
                                <w:tcPr>
                                  <w:tcW w:w="97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Organic revenue growth for 2022 was 13%, which was the highest organic revenue growth rate that we’ve ever reported</w:t>
                                  </w:r>
                                </w:p>
                              </w:tc>
                            </w:tr>
                          </w:tbl>
                          <w:tbl>
                            <w:tblPr>
                              <w:tblW w:w="7048" w:type="dxa"/>
                              <w:jc w:val="left"/>
                              <w:tblInd w:w="0" w:type="dxa"/>
                              <w:tblCellMar>
                                <w:top w:w="0" w:type="dxa"/>
                                <w:left w:w="0" w:type="dxa"/>
                                <w:bottom w:w="0" w:type="dxa"/>
                                <w:right w:w="0" w:type="dxa"/>
                              </w:tblCellMar>
                            </w:tblPr>
                            <w:tblGrid>
                              <w:gridCol w:w="38"/>
                              <w:gridCol w:w="165"/>
                              <w:gridCol w:w="68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98"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 name="Image160" descr=""/>
                                                <pic:cNvPicPr>
                                                  <a:picLocks noChangeAspect="1" noChangeArrowheads="1"/>
                                                </pic:cNvPicPr>
                                              </pic:nvPicPr>
                                              <pic:blipFill>
                                                <a:blip r:embed="rId161"/>
                                                <a:stretch>
                                                  <a:fillRect/>
                                                </a:stretch>
                                              </pic:blipFill>
                                              <pic:spPr bwMode="auto">
                                                <a:xfrm>
                                                  <a:off x="0" y="0"/>
                                                  <a:ext cx="104775" cy="85725"/>
                                                </a:xfrm>
                                                <a:prstGeom prst="rect">
                                                  <a:avLst/>
                                                </a:prstGeom>
                                              </pic:spPr>
                                            </pic:pic>
                                          </a:graphicData>
                                        </a:graphic>
                                      </wp:inline>
                                    </w:drawing>
                                  </w:r>
                                </w:p>
                              </w:tc>
                              <w:tc>
                                <w:tcPr>
                                  <w:tcW w:w="684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2022 sales were up 21% versus 2021, which are the most important driver of growth</w:t>
                                  </w:r>
                                </w:p>
                              </w:tc>
                            </w:tr>
                          </w:tbl>
                          <w:tbl>
                            <w:tblPr>
                              <w:tblW w:w="5653" w:type="dxa"/>
                              <w:jc w:val="left"/>
                              <w:tblInd w:w="0" w:type="dxa"/>
                              <w:tblCellMar>
                                <w:top w:w="0" w:type="dxa"/>
                                <w:left w:w="0" w:type="dxa"/>
                                <w:bottom w:w="0" w:type="dxa"/>
                                <w:right w:w="0" w:type="dxa"/>
                              </w:tblCellMar>
                            </w:tblPr>
                            <w:tblGrid>
                              <w:gridCol w:w="38"/>
                              <w:gridCol w:w="165"/>
                              <w:gridCol w:w="54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299"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 name="Image161" descr=""/>
                                                <pic:cNvPicPr>
                                                  <a:picLocks noChangeAspect="1" noChangeArrowheads="1"/>
                                                </pic:cNvPicPr>
                                              </pic:nvPicPr>
                                              <pic:blipFill>
                                                <a:blip r:embed="rId162"/>
                                                <a:stretch>
                                                  <a:fillRect/>
                                                </a:stretch>
                                              </pic:blipFill>
                                              <pic:spPr bwMode="auto">
                                                <a:xfrm>
                                                  <a:off x="0" y="0"/>
                                                  <a:ext cx="104775" cy="85725"/>
                                                </a:xfrm>
                                                <a:prstGeom prst="rect">
                                                  <a:avLst/>
                                                </a:prstGeom>
                                              </pic:spPr>
                                            </pic:pic>
                                          </a:graphicData>
                                        </a:graphic>
                                      </wp:inline>
                                    </w:drawing>
                                  </w:r>
                                </w:p>
                              </w:tc>
                              <w:tc>
                                <w:tcPr>
                                  <w:tcW w:w="54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$1.2 billion of capital deployed for acquisitions and stock buybacks</w:t>
                                  </w:r>
                                </w:p>
                              </w:tc>
                            </w:tr>
                          </w:tbl>
                          <w:p>
                            <w:pPr>
                              <w:pStyle w:val="TextBody"/>
                              <w:spacing w:before="0" w:after="283"/>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61.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i w:val="false"/>
                          <w:caps w:val="false"/>
                          <w:smallCaps w:val="false"/>
                          <w:color w:val="EE0027"/>
                          <w:sz w:val="20"/>
                        </w:rPr>
                      </w:pPr>
                      <w:bookmarkStart w:id="75" w:name="a041"/>
                      <w:bookmarkEnd w:id="75"/>
                      <w:r>
                        <w:rPr>
                          <w:rFonts w:ascii="Arial;Helvetica;Sans-Serif" w:hAnsi="Arial;Helvetica;Sans-Serif"/>
                          <w:b/>
                          <w:i w:val="false"/>
                          <w:caps w:val="false"/>
                          <w:smallCaps w:val="false"/>
                          <w:color w:val="EE0027"/>
                          <w:sz w:val="20"/>
                        </w:rPr>
                        <w:t>Navigating the Opportunities of 2022</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i w:val="false"/>
                          <w:caps w:val="false"/>
                          <w:smallCaps w:val="false"/>
                          <w:color w:val="231F20"/>
                          <w:sz w:val="18"/>
                        </w:rPr>
                      </w:pPr>
                      <w:bookmarkStart w:id="76" w:name="a042"/>
                      <w:bookmarkEnd w:id="76"/>
                      <w:r>
                        <w:rPr>
                          <w:rFonts w:ascii="Arial;Helvetica;Sans-Serif" w:hAnsi="Arial;Helvetica;Sans-Serif"/>
                          <w:b/>
                          <w:i w:val="false"/>
                          <w:caps w:val="false"/>
                          <w:smallCaps w:val="false"/>
                          <w:color w:val="231F20"/>
                          <w:sz w:val="18"/>
                        </w:rPr>
                        <w:t>2022 Performance</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FLEETCOR is a leading global business payments company that helps businesses spend less by enabling them to better manage their expense-related purchasing and vendor payments processes. FLEETCOR’s smarter payment and spend management solutions are delivered in a variety of ways depending on the needs of the customer. </w:t>
                      </w:r>
                      <w:r>
                        <w:rPr>
                          <w:rFonts w:ascii="Arial;Helvetica;Sans-Serif" w:hAnsi="Arial;Helvetica;Sans-Serif"/>
                          <w:b w:val="false"/>
                          <w:i w:val="false"/>
                          <w:caps w:val="false"/>
                          <w:smallCaps w:val="false"/>
                          <w:color w:val="58595B"/>
                          <w:spacing w:val="-3"/>
                          <w:sz w:val="18"/>
                        </w:rPr>
                        <w:t xml:space="preserve">From </w:t>
                      </w:r>
                      <w:r>
                        <w:rPr>
                          <w:rFonts w:ascii="Arial;Helvetica;Sans-Serif" w:hAnsi="Arial;Helvetica;Sans-Serif"/>
                          <w:b w:val="false"/>
                          <w:i w:val="false"/>
                          <w:caps w:val="false"/>
                          <w:smallCaps w:val="false"/>
                          <w:color w:val="58595B"/>
                          <w:sz w:val="18"/>
                        </w:rPr>
                        <w:t xml:space="preserve">physical payment cards to software that includes customizable controls and robust payment capabilities, we provide businesses with a better way to </w:t>
                      </w:r>
                      <w:r>
                        <w:rPr>
                          <w:rFonts w:ascii="Arial;Helvetica;Sans-Serif" w:hAnsi="Arial;Helvetica;Sans-Serif"/>
                          <w:b w:val="false"/>
                          <w:i w:val="false"/>
                          <w:caps w:val="false"/>
                          <w:smallCaps w:val="false"/>
                          <w:color w:val="58595B"/>
                          <w:spacing w:val="-3"/>
                          <w:sz w:val="18"/>
                        </w:rPr>
                        <w:t>pay.</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unique positioning and focus on performance drove our results in 2022. We realized impressive performance the with:</w:t>
                      </w:r>
                    </w:p>
                    <w:p>
                      <w:pPr>
                        <w:pStyle w:val="TextBody"/>
                        <w:rPr>
                          <w:caps w:val="false"/>
                          <w:smallCaps w:val="false"/>
                          <w:color w:val="58595B"/>
                        </w:rPr>
                      </w:pPr>
                      <w:r>
                        <w:rPr>
                          <w:caps w:val="false"/>
                          <w:smallCaps w:val="false"/>
                          <w:color w:val="58595B"/>
                        </w:rPr>
                        <w:t> </w:t>
                      </w:r>
                    </w:p>
                    <w:tbl>
                      <w:tblPr>
                        <w:tblW w:w="7243" w:type="dxa"/>
                        <w:jc w:val="left"/>
                        <w:tblInd w:w="0" w:type="dxa"/>
                        <w:tblCellMar>
                          <w:top w:w="0" w:type="dxa"/>
                          <w:left w:w="0" w:type="dxa"/>
                          <w:bottom w:w="0" w:type="dxa"/>
                          <w:right w:w="0" w:type="dxa"/>
                        </w:tblCellMar>
                      </w:tblPr>
                      <w:tblGrid>
                        <w:gridCol w:w="38"/>
                        <w:gridCol w:w="165"/>
                        <w:gridCol w:w="704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0"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0" name="Image158" descr=""/>
                                          <pic:cNvPicPr>
                                            <a:picLocks noChangeAspect="1" noChangeArrowheads="1"/>
                                          </pic:cNvPicPr>
                                        </pic:nvPicPr>
                                        <pic:blipFill>
                                          <a:blip r:embed="rId159"/>
                                          <a:stretch>
                                            <a:fillRect/>
                                          </a:stretch>
                                        </pic:blipFill>
                                        <pic:spPr bwMode="auto">
                                          <a:xfrm>
                                            <a:off x="0" y="0"/>
                                            <a:ext cx="104775" cy="85725"/>
                                          </a:xfrm>
                                          <a:prstGeom prst="rect">
                                            <a:avLst/>
                                          </a:prstGeom>
                                        </pic:spPr>
                                      </pic:pic>
                                    </a:graphicData>
                                  </a:graphic>
                                </wp:inline>
                              </w:drawing>
                            </w:r>
                          </w:p>
                        </w:tc>
                        <w:tc>
                          <w:tcPr>
                            <w:tcW w:w="704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Revenue of $3.4 billion, which was up 21% and Adjusted EPS of $16.10, also up 22%.</w:t>
                            </w:r>
                          </w:p>
                        </w:tc>
                      </w:tr>
                    </w:tbl>
                    <w:p>
                      <w:pPr>
                        <w:pStyle w:val="TextBody"/>
                        <w:ind w:left="360" w:right="0" w:hanging="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Both of which were all-time record highs for the Company</w:t>
                      </w:r>
                    </w:p>
                    <w:tbl>
                      <w:tblPr>
                        <w:tblW w:w="9958" w:type="dxa"/>
                        <w:jc w:val="left"/>
                        <w:tblInd w:w="0" w:type="dxa"/>
                        <w:tblCellMar>
                          <w:top w:w="0" w:type="dxa"/>
                          <w:left w:w="0" w:type="dxa"/>
                          <w:bottom w:w="0" w:type="dxa"/>
                          <w:right w:w="0" w:type="dxa"/>
                        </w:tblCellMar>
                      </w:tblPr>
                      <w:tblGrid>
                        <w:gridCol w:w="38"/>
                        <w:gridCol w:w="165"/>
                        <w:gridCol w:w="97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1"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Image159" descr=""/>
                                          <pic:cNvPicPr>
                                            <a:picLocks noChangeAspect="1" noChangeArrowheads="1"/>
                                          </pic:cNvPicPr>
                                        </pic:nvPicPr>
                                        <pic:blipFill>
                                          <a:blip r:embed="rId160"/>
                                          <a:stretch>
                                            <a:fillRect/>
                                          </a:stretch>
                                        </pic:blipFill>
                                        <pic:spPr bwMode="auto">
                                          <a:xfrm>
                                            <a:off x="0" y="0"/>
                                            <a:ext cx="104775" cy="85725"/>
                                          </a:xfrm>
                                          <a:prstGeom prst="rect">
                                            <a:avLst/>
                                          </a:prstGeom>
                                        </pic:spPr>
                                      </pic:pic>
                                    </a:graphicData>
                                  </a:graphic>
                                </wp:inline>
                              </w:drawing>
                            </w:r>
                          </w:p>
                        </w:tc>
                        <w:tc>
                          <w:tcPr>
                            <w:tcW w:w="97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Organic revenue growth for 2022 was 13%, which was the highest organic revenue growth rate that we’ve ever reported</w:t>
                            </w:r>
                          </w:p>
                        </w:tc>
                      </w:tr>
                    </w:tbl>
                    <w:tbl>
                      <w:tblPr>
                        <w:tblW w:w="7048" w:type="dxa"/>
                        <w:jc w:val="left"/>
                        <w:tblInd w:w="0" w:type="dxa"/>
                        <w:tblCellMar>
                          <w:top w:w="0" w:type="dxa"/>
                          <w:left w:w="0" w:type="dxa"/>
                          <w:bottom w:w="0" w:type="dxa"/>
                          <w:right w:w="0" w:type="dxa"/>
                        </w:tblCellMar>
                      </w:tblPr>
                      <w:tblGrid>
                        <w:gridCol w:w="38"/>
                        <w:gridCol w:w="165"/>
                        <w:gridCol w:w="68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2"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Image160" descr=""/>
                                          <pic:cNvPicPr>
                                            <a:picLocks noChangeAspect="1" noChangeArrowheads="1"/>
                                          </pic:cNvPicPr>
                                        </pic:nvPicPr>
                                        <pic:blipFill>
                                          <a:blip r:embed="rId161"/>
                                          <a:stretch>
                                            <a:fillRect/>
                                          </a:stretch>
                                        </pic:blipFill>
                                        <pic:spPr bwMode="auto">
                                          <a:xfrm>
                                            <a:off x="0" y="0"/>
                                            <a:ext cx="104775" cy="85725"/>
                                          </a:xfrm>
                                          <a:prstGeom prst="rect">
                                            <a:avLst/>
                                          </a:prstGeom>
                                        </pic:spPr>
                                      </pic:pic>
                                    </a:graphicData>
                                  </a:graphic>
                                </wp:inline>
                              </w:drawing>
                            </w:r>
                          </w:p>
                        </w:tc>
                        <w:tc>
                          <w:tcPr>
                            <w:tcW w:w="684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2022 sales were up 21% versus 2021, which are the most important driver of growth</w:t>
                            </w:r>
                          </w:p>
                        </w:tc>
                      </w:tr>
                    </w:tbl>
                    <w:tbl>
                      <w:tblPr>
                        <w:tblW w:w="5653" w:type="dxa"/>
                        <w:jc w:val="left"/>
                        <w:tblInd w:w="0" w:type="dxa"/>
                        <w:tblCellMar>
                          <w:top w:w="0" w:type="dxa"/>
                          <w:left w:w="0" w:type="dxa"/>
                          <w:bottom w:w="0" w:type="dxa"/>
                          <w:right w:w="0" w:type="dxa"/>
                        </w:tblCellMar>
                      </w:tblPr>
                      <w:tblGrid>
                        <w:gridCol w:w="38"/>
                        <w:gridCol w:w="165"/>
                        <w:gridCol w:w="54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3"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Image161" descr=""/>
                                          <pic:cNvPicPr>
                                            <a:picLocks noChangeAspect="1" noChangeArrowheads="1"/>
                                          </pic:cNvPicPr>
                                        </pic:nvPicPr>
                                        <pic:blipFill>
                                          <a:blip r:embed="rId162"/>
                                          <a:stretch>
                                            <a:fillRect/>
                                          </a:stretch>
                                        </pic:blipFill>
                                        <pic:spPr bwMode="auto">
                                          <a:xfrm>
                                            <a:off x="0" y="0"/>
                                            <a:ext cx="104775" cy="85725"/>
                                          </a:xfrm>
                                          <a:prstGeom prst="rect">
                                            <a:avLst/>
                                          </a:prstGeom>
                                        </pic:spPr>
                                      </pic:pic>
                                    </a:graphicData>
                                  </a:graphic>
                                </wp:inline>
                              </w:drawing>
                            </w:r>
                          </w:p>
                        </w:tc>
                        <w:tc>
                          <w:tcPr>
                            <w:tcW w:w="54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$1.2 billion of capital deployed for acquisitions and stock buybacks</w:t>
                            </w:r>
                          </w:p>
                        </w:tc>
                      </w:tr>
                    </w:tbl>
                    <w:p>
                      <w:pPr>
                        <w:pStyle w:val="TextBody"/>
                        <w:spacing w:before="0" w:after="283"/>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25">
                <wp:simplePos x="0" y="0"/>
                <wp:positionH relativeFrom="column">
                  <wp:align>right</wp:align>
                </wp:positionH>
                <wp:positionV relativeFrom="line">
                  <wp:posOffset>635</wp:posOffset>
                </wp:positionV>
                <wp:extent cx="3110230" cy="5823585"/>
                <wp:effectExtent l="0" t="0" r="0" b="0"/>
                <wp:wrapSquare wrapText="largest"/>
                <wp:docPr id="304" name="Frame39"/>
                <a:graphic xmlns:a="http://schemas.openxmlformats.org/drawingml/2006/main">
                  <a:graphicData uri="http://schemas.microsoft.com/office/word/2010/wordprocessingShape">
                    <wps:wsp>
                      <wps:cNvSpPr txBox="1"/>
                      <wps:spPr>
                        <a:xfrm>
                          <a:off x="0" y="0"/>
                          <a:ext cx="3110230" cy="5823585"/>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meaningfully advanced our “beyond strategy” in 2022, extending both the product set and served customer segments in each of our major businesses. These beyond extensions increase our TAM, and better position our LOB for long term growth. Some highlights from 2022 include: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5"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Image162" descr=""/>
                                                <pic:cNvPicPr>
                                                  <a:picLocks noChangeAspect="1" noChangeArrowheads="1"/>
                                                </pic:cNvPicPr>
                                              </pic:nvPicPr>
                                              <pic:blipFill>
                                                <a:blip r:embed="rId163"/>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Global Fleet, we significantly advanced our Electric Vehicle (EV) capabilities, and the concept of “defensive” and “offensive” EV initiatives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6"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Image163" descr=""/>
                                                <pic:cNvPicPr>
                                                  <a:picLocks noChangeAspect="1" noChangeArrowheads="1"/>
                                                </pic:cNvPicPr>
                                              </pic:nvPicPr>
                                              <pic:blipFill>
                                                <a:blip r:embed="rId164"/>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Brazil, we expanded our tag fueling solution to more accepting sites and more users, and we launched a new vehicle insurance offering, which enjoyed rapid acceptance</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7"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Image164" descr=""/>
                                                <pic:cNvPicPr>
                                                  <a:picLocks noChangeAspect="1" noChangeArrowheads="1"/>
                                                </pic:cNvPicPr>
                                              </pic:nvPicPr>
                                              <pic:blipFill>
                                                <a:blip r:embed="rId165"/>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Corporate Payments, we added AP automation workflow software to our full AP payment solution, and further scaled our cross-border footprint in Europe</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8"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Image165" descr=""/>
                                                <pic:cNvPicPr>
                                                  <a:picLocks noChangeAspect="1" noChangeArrowheads="1"/>
                                                </pic:cNvPicPr>
                                              </pic:nvPicPr>
                                              <pic:blipFill>
                                                <a:blip r:embed="rId16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Lodging, we further expanded our two new verticals, airlines and insurance, with each reaching almost $100M in revenue</w:t>
                                  </w:r>
                                </w:p>
                              </w:tc>
                            </w:tr>
                          </w:tbl>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are squarely focused on the future, as we’ve captured more of the corporate payments value stream, and potential with our recent acquisitions. Today, Corporate Payments revenue represents 25% of the Company and is growing 20% year-over-year. We expect to capture much more business as the transition to newer, improved AP Automation processes gains steam.</w:t>
                            </w:r>
                          </w:p>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And in EVs; while a small part of our business today, we believe the EV transition provides a big opportunity to expand the fleet business beyond our core, commercial fleet offering. We are the global leader in comprehensive mixed fleet solutions in the UK, and we’re now in market with our 3 in 1 solution for commercial fleet clients. This includes a public EV charging network, at home charging software for EVs, and of course ICE (internal combustion engine) fueling, which are all integrated into one solution.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58.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meaningfully advanced our “beyond strategy” in 2022, extending both the product set and served customer segments in each of our major businesses. These beyond extensions increase our TAM, and better position our LOB for long term growth. Some highlights from 2022 include: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09"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Image162" descr=""/>
                                          <pic:cNvPicPr>
                                            <a:picLocks noChangeAspect="1" noChangeArrowheads="1"/>
                                          </pic:cNvPicPr>
                                        </pic:nvPicPr>
                                        <pic:blipFill>
                                          <a:blip r:embed="rId163"/>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Global Fleet, we significantly advanced our Electric Vehicle (EV) capabilities, and the concept of “defensive” and “offensive” EV initiatives</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0"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Image163" descr=""/>
                                          <pic:cNvPicPr>
                                            <a:picLocks noChangeAspect="1" noChangeArrowheads="1"/>
                                          </pic:cNvPicPr>
                                        </pic:nvPicPr>
                                        <pic:blipFill>
                                          <a:blip r:embed="rId164"/>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Brazil, we expanded our tag fueling solution to more accepting sites and more users, and we launched a new vehicle insurance offering, which enjoyed rapid acceptance</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1"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Image164" descr=""/>
                                          <pic:cNvPicPr>
                                            <a:picLocks noChangeAspect="1" noChangeArrowheads="1"/>
                                          </pic:cNvPicPr>
                                        </pic:nvPicPr>
                                        <pic:blipFill>
                                          <a:blip r:embed="rId165"/>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Corporate Payments, we added AP automation workflow software to our full AP payment solution, and further scaled our cross-border footprint in Europe</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2"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Image165" descr=""/>
                                          <pic:cNvPicPr>
                                            <a:picLocks noChangeAspect="1" noChangeArrowheads="1"/>
                                          </pic:cNvPicPr>
                                        </pic:nvPicPr>
                                        <pic:blipFill>
                                          <a:blip r:embed="rId16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 Lodging, we further expanded our two new verticals, airlines and insurance, with each reaching almost $100M in revenue</w:t>
                            </w:r>
                          </w:p>
                        </w:tc>
                      </w:tr>
                    </w:tbl>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are squarely focused on the future, as we’ve captured more of the corporate payments value stream, and potential with our recent acquisitions. Today, Corporate Payments revenue represents 25% of the Company and is growing 20% year-over-year. We expect to capture much more business as the transition to newer, improved AP Automation processes gains steam.</w:t>
                      </w:r>
                    </w:p>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And in EVs; while a small part of our business today, we believe the EV transition provides a big opportunity to expand the fleet business beyond our core, commercial fleet offering. We are the global leader in comprehensive mixed fleet solutions in the UK, and we’re now in market with our 3 in 1 solution for commercial fleet clients. This includes a public EV charging network, at home charging software for EVs, and of course ICE (internal combustion engine) fueling, which are all integrated into one solution.</w:t>
                      </w:r>
                    </w:p>
                  </w:txbxContent>
                </v:textbox>
                <w10:wrap type="square" side="left"/>
              </v:rect>
            </w:pict>
          </mc:Fallback>
        </mc:AlternateContent>
      </w:r>
    </w:p>
    <w:p>
      <w:pPr>
        <w:pStyle w:val="TextBody"/>
        <w:rPr/>
      </w:pPr>
      <w:r>
        <w:rPr/>
      </w:r>
    </w:p>
    <w:p>
      <w:pPr>
        <w:pStyle w:val="TextBody"/>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27</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EE0027"/>
        </w:rPr>
      </w:pPr>
      <w:r>
        <w:rPr>
          <w:caps w:val="false"/>
          <w:smallCaps w:val="false"/>
          <w:color w:val="EE0027"/>
        </w:rPr>
        <w:t> </w:t>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olumn">
                  <wp:align>right</wp:align>
                </wp:positionH>
                <wp:positionV relativeFrom="line">
                  <wp:posOffset>635</wp:posOffset>
                </wp:positionV>
                <wp:extent cx="3110230" cy="4097020"/>
                <wp:effectExtent l="0" t="0" r="0" b="0"/>
                <wp:wrapSquare wrapText="largest"/>
                <wp:docPr id="313" name="Frame41"/>
                <a:graphic xmlns:a="http://schemas.openxmlformats.org/drawingml/2006/main">
                  <a:graphicData uri="http://schemas.microsoft.com/office/word/2010/wordprocessingShape">
                    <wps:wsp>
                      <wps:cNvSpPr txBox="1"/>
                      <wps:spPr>
                        <a:xfrm>
                          <a:off x="0" y="0"/>
                          <a:ext cx="3110230" cy="409702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2019-2023 CEO Equity Compensation. </w:t>
                            </w:r>
                            <w:r>
                              <w:rPr>
                                <w:rFonts w:ascii="Arial;Helvetica;Sans-Serif" w:hAnsi="Arial;Helvetica;Sans-Serif"/>
                                <w:b w:val="false"/>
                                <w:i w:val="false"/>
                                <w:caps w:val="false"/>
                                <w:smallCaps w:val="false"/>
                                <w:color w:val="58595B"/>
                                <w:sz w:val="18"/>
                              </w:rPr>
                              <w:t>During the five-year period of 2019-2023, Mr. Clarke has been granted two long-term equity awards:</w:t>
                            </w:r>
                          </w:p>
                          <w:p>
                            <w:pPr>
                              <w:pStyle w:val="TextBody"/>
                              <w:spacing w:before="0" w:after="0"/>
                              <w:rPr>
                                <w:caps w:val="false"/>
                                <w:smallCaps w:val="false"/>
                                <w:color w:val="58595B"/>
                              </w:rPr>
                            </w:pPr>
                            <w:r>
                              <w:rPr>
                                <w:caps w:val="false"/>
                                <w:smallCaps w:val="false"/>
                                <w:color w:val="58595B"/>
                              </w:rPr>
                              <w:t> </w:t>
                            </w:r>
                          </w:p>
                          <w:tbl>
                            <w:tblPr>
                              <w:tblW w:w="8218" w:type="dxa"/>
                              <w:jc w:val="left"/>
                              <w:tblInd w:w="0" w:type="dxa"/>
                              <w:tblCellMar>
                                <w:top w:w="0" w:type="dxa"/>
                                <w:left w:w="0" w:type="dxa"/>
                                <w:bottom w:w="0" w:type="dxa"/>
                                <w:right w:w="0" w:type="dxa"/>
                              </w:tblCellMar>
                            </w:tblPr>
                            <w:tblGrid>
                              <w:gridCol w:w="38"/>
                              <w:gridCol w:w="165"/>
                              <w:gridCol w:w="80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4"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Image166" descr=""/>
                                                <pic:cNvPicPr>
                                                  <a:picLocks noChangeAspect="1" noChangeArrowheads="1"/>
                                                </pic:cNvPicPr>
                                              </pic:nvPicPr>
                                              <pic:blipFill>
                                                <a:blip r:embed="rId167"/>
                                                <a:stretch>
                                                  <a:fillRect/>
                                                </a:stretch>
                                              </pic:blipFill>
                                              <pic:spPr bwMode="auto">
                                                <a:xfrm>
                                                  <a:off x="0" y="0"/>
                                                  <a:ext cx="104775" cy="85725"/>
                                                </a:xfrm>
                                                <a:prstGeom prst="rect">
                                                  <a:avLst/>
                                                </a:prstGeom>
                                              </pic:spPr>
                                            </pic:pic>
                                          </a:graphicData>
                                        </a:graphic>
                                      </wp:inline>
                                    </w:drawing>
                                  </w:r>
                                </w:p>
                              </w:tc>
                              <w:tc>
                                <w:tcPr>
                                  <w:tcW w:w="80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 2019, 25,000 restricted stock performance shares with a grant date fair value of $9,473,750; and</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5"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Image167" descr=""/>
                                                <pic:cNvPicPr>
                                                  <a:picLocks noChangeAspect="1" noChangeArrowheads="1"/>
                                                </pic:cNvPicPr>
                                              </pic:nvPicPr>
                                              <pic:blipFill>
                                                <a:blip r:embed="rId168"/>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 2021, 850,000 performance-based stock options with stock price hurdles of $350 and $400, with a grant date fair value of $55,556,000.</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6"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Image168" descr=""/>
                                                <pic:cNvPicPr>
                                                  <a:picLocks noChangeAspect="1" noChangeArrowheads="1"/>
                                                </pic:cNvPicPr>
                                              </pic:nvPicPr>
                                              <pic:blipFill>
                                                <a:blip r:embed="rId169"/>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Mr. Clarke has received no equity grants in 2020 and 2022, and has agreed to receive no long-term equity compensation in 2023.</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of April 17, 2023, Mr. Clarke has not realized any compensation from his 2019 and 2021 equity awards (see table below):</w:t>
                            </w:r>
                          </w:p>
                          <w:p>
                            <w:pPr>
                              <w:pStyle w:val="TextBody"/>
                              <w:spacing w:before="0" w:after="0"/>
                              <w:rPr>
                                <w:caps w:val="false"/>
                                <w:smallCaps w:val="false"/>
                                <w:color w:val="58595B"/>
                              </w:rPr>
                            </w:pPr>
                            <w:r>
                              <w:rPr>
                                <w:caps w:val="false"/>
                                <w:smallCaps w:val="false"/>
                                <w:color w:val="58595B"/>
                              </w:rPr>
                              <w:t> </w:t>
                            </w:r>
                          </w:p>
                          <w:tbl>
                            <w:tblPr>
                              <w:tblW w:w="6058" w:type="dxa"/>
                              <w:jc w:val="left"/>
                              <w:tblInd w:w="0" w:type="dxa"/>
                              <w:tblCellMar>
                                <w:top w:w="0" w:type="dxa"/>
                                <w:left w:w="0" w:type="dxa"/>
                                <w:bottom w:w="0" w:type="dxa"/>
                                <w:right w:w="0" w:type="dxa"/>
                              </w:tblCellMar>
                            </w:tblPr>
                            <w:tblGrid>
                              <w:gridCol w:w="38"/>
                              <w:gridCol w:w="165"/>
                              <w:gridCol w:w="58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7"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Image169" descr=""/>
                                                <pic:cNvPicPr>
                                                  <a:picLocks noChangeAspect="1" noChangeArrowheads="1"/>
                                                </pic:cNvPicPr>
                                              </pic:nvPicPr>
                                              <pic:blipFill>
                                                <a:blip r:embed="rId170"/>
                                                <a:stretch>
                                                  <a:fillRect/>
                                                </a:stretch>
                                              </pic:blipFill>
                                              <pic:spPr bwMode="auto">
                                                <a:xfrm>
                                                  <a:off x="0" y="0"/>
                                                  <a:ext cx="104775" cy="85725"/>
                                                </a:xfrm>
                                                <a:prstGeom prst="rect">
                                                  <a:avLst/>
                                                </a:prstGeom>
                                              </pic:spPr>
                                            </pic:pic>
                                          </a:graphicData>
                                        </a:graphic>
                                      </wp:inline>
                                    </w:drawing>
                                  </w:r>
                                </w:p>
                              </w:tc>
                              <w:tc>
                                <w:tcPr>
                                  <w:tcW w:w="58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The 25,000 performance stock award from 2019 has been forfeited; and</w:t>
                                  </w:r>
                                </w:p>
                              </w:tc>
                            </w:tr>
                          </w:tbl>
                          <w:tbl>
                            <w:tblPr>
                              <w:tblW w:w="6583" w:type="dxa"/>
                              <w:jc w:val="left"/>
                              <w:tblInd w:w="0" w:type="dxa"/>
                              <w:tblCellMar>
                                <w:top w:w="0" w:type="dxa"/>
                                <w:left w:w="0" w:type="dxa"/>
                                <w:bottom w:w="0" w:type="dxa"/>
                                <w:right w:w="0" w:type="dxa"/>
                              </w:tblCellMar>
                            </w:tblPr>
                            <w:tblGrid>
                              <w:gridCol w:w="38"/>
                              <w:gridCol w:w="165"/>
                              <w:gridCol w:w="638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8"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Image170" descr=""/>
                                                <pic:cNvPicPr>
                                                  <a:picLocks noChangeAspect="1" noChangeArrowheads="1"/>
                                                </pic:cNvPicPr>
                                              </pic:nvPicPr>
                                              <pic:blipFill>
                                                <a:blip r:embed="rId171"/>
                                                <a:stretch>
                                                  <a:fillRect/>
                                                </a:stretch>
                                              </pic:blipFill>
                                              <pic:spPr bwMode="auto">
                                                <a:xfrm>
                                                  <a:off x="0" y="0"/>
                                                  <a:ext cx="104775" cy="85725"/>
                                                </a:xfrm>
                                                <a:prstGeom prst="rect">
                                                  <a:avLst/>
                                                </a:prstGeom>
                                              </pic:spPr>
                                            </pic:pic>
                                          </a:graphicData>
                                        </a:graphic>
                                      </wp:inline>
                                    </w:drawing>
                                  </w:r>
                                </w:p>
                              </w:tc>
                              <w:tc>
                                <w:tcPr>
                                  <w:tcW w:w="63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The 850,000 performance stock option award from 2021 is “out-of-the-money”.</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Meanwhile, the profit performance of the Company since 2019 has increased from $11.79 Adjusted EPS to $16.10 in Adjusted EPS for 2022. This suggests significantly better Company profit performance, than “equity compensation realized” for Mr. Clarke under equity awards that were granted during the same five-year period.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2.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2019-2023 CEO Equity Compensation. </w:t>
                      </w:r>
                      <w:r>
                        <w:rPr>
                          <w:rFonts w:ascii="Arial;Helvetica;Sans-Serif" w:hAnsi="Arial;Helvetica;Sans-Serif"/>
                          <w:b w:val="false"/>
                          <w:i w:val="false"/>
                          <w:caps w:val="false"/>
                          <w:smallCaps w:val="false"/>
                          <w:color w:val="58595B"/>
                          <w:sz w:val="18"/>
                        </w:rPr>
                        <w:t>During the five-year period of 2019-2023, Mr. Clarke has been granted two long-term equity awards:</w:t>
                      </w:r>
                    </w:p>
                    <w:p>
                      <w:pPr>
                        <w:pStyle w:val="TextBody"/>
                        <w:spacing w:before="0" w:after="0"/>
                        <w:rPr>
                          <w:caps w:val="false"/>
                          <w:smallCaps w:val="false"/>
                          <w:color w:val="58595B"/>
                        </w:rPr>
                      </w:pPr>
                      <w:r>
                        <w:rPr>
                          <w:caps w:val="false"/>
                          <w:smallCaps w:val="false"/>
                          <w:color w:val="58595B"/>
                        </w:rPr>
                        <w:t> </w:t>
                      </w:r>
                    </w:p>
                    <w:tbl>
                      <w:tblPr>
                        <w:tblW w:w="8218" w:type="dxa"/>
                        <w:jc w:val="left"/>
                        <w:tblInd w:w="0" w:type="dxa"/>
                        <w:tblCellMar>
                          <w:top w:w="0" w:type="dxa"/>
                          <w:left w:w="0" w:type="dxa"/>
                          <w:bottom w:w="0" w:type="dxa"/>
                          <w:right w:w="0" w:type="dxa"/>
                        </w:tblCellMar>
                      </w:tblPr>
                      <w:tblGrid>
                        <w:gridCol w:w="38"/>
                        <w:gridCol w:w="165"/>
                        <w:gridCol w:w="80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19"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Image166" descr=""/>
                                          <pic:cNvPicPr>
                                            <a:picLocks noChangeAspect="1" noChangeArrowheads="1"/>
                                          </pic:cNvPicPr>
                                        </pic:nvPicPr>
                                        <pic:blipFill>
                                          <a:blip r:embed="rId167"/>
                                          <a:stretch>
                                            <a:fillRect/>
                                          </a:stretch>
                                        </pic:blipFill>
                                        <pic:spPr bwMode="auto">
                                          <a:xfrm>
                                            <a:off x="0" y="0"/>
                                            <a:ext cx="104775" cy="85725"/>
                                          </a:xfrm>
                                          <a:prstGeom prst="rect">
                                            <a:avLst/>
                                          </a:prstGeom>
                                        </pic:spPr>
                                      </pic:pic>
                                    </a:graphicData>
                                  </a:graphic>
                                </wp:inline>
                              </w:drawing>
                            </w:r>
                          </w:p>
                        </w:tc>
                        <w:tc>
                          <w:tcPr>
                            <w:tcW w:w="80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 2019, 25,000 restricted stock performance shares with a grant date fair value of $9,473,750; and</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20"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Image167" descr=""/>
                                          <pic:cNvPicPr>
                                            <a:picLocks noChangeAspect="1" noChangeArrowheads="1"/>
                                          </pic:cNvPicPr>
                                        </pic:nvPicPr>
                                        <pic:blipFill>
                                          <a:blip r:embed="rId168"/>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 2021, 850,000 performance-based stock options with stock price hurdles of $350 and $400, with a grant date fair value of $55,556,000.</w:t>
                            </w:r>
                          </w:p>
                        </w:tc>
                      </w:tr>
                    </w:tbl>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21"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Image168" descr=""/>
                                          <pic:cNvPicPr>
                                            <a:picLocks noChangeAspect="1" noChangeArrowheads="1"/>
                                          </pic:cNvPicPr>
                                        </pic:nvPicPr>
                                        <pic:blipFill>
                                          <a:blip r:embed="rId169"/>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Mr. Clarke has received no equity grants in 2020 and 2022, and has agreed to receive no long-term equity compensation in 2023.</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of April 17, 2023, Mr. Clarke has not realized any compensation from his 2019 and 2021 equity awards (see table below):</w:t>
                      </w:r>
                    </w:p>
                    <w:p>
                      <w:pPr>
                        <w:pStyle w:val="TextBody"/>
                        <w:spacing w:before="0" w:after="0"/>
                        <w:rPr>
                          <w:caps w:val="false"/>
                          <w:smallCaps w:val="false"/>
                          <w:color w:val="58595B"/>
                        </w:rPr>
                      </w:pPr>
                      <w:r>
                        <w:rPr>
                          <w:caps w:val="false"/>
                          <w:smallCaps w:val="false"/>
                          <w:color w:val="58595B"/>
                        </w:rPr>
                        <w:t> </w:t>
                      </w:r>
                    </w:p>
                    <w:tbl>
                      <w:tblPr>
                        <w:tblW w:w="6058" w:type="dxa"/>
                        <w:jc w:val="left"/>
                        <w:tblInd w:w="0" w:type="dxa"/>
                        <w:tblCellMar>
                          <w:top w:w="0" w:type="dxa"/>
                          <w:left w:w="0" w:type="dxa"/>
                          <w:bottom w:w="0" w:type="dxa"/>
                          <w:right w:w="0" w:type="dxa"/>
                        </w:tblCellMar>
                      </w:tblPr>
                      <w:tblGrid>
                        <w:gridCol w:w="38"/>
                        <w:gridCol w:w="165"/>
                        <w:gridCol w:w="58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22"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Image169" descr=""/>
                                          <pic:cNvPicPr>
                                            <a:picLocks noChangeAspect="1" noChangeArrowheads="1"/>
                                          </pic:cNvPicPr>
                                        </pic:nvPicPr>
                                        <pic:blipFill>
                                          <a:blip r:embed="rId170"/>
                                          <a:stretch>
                                            <a:fillRect/>
                                          </a:stretch>
                                        </pic:blipFill>
                                        <pic:spPr bwMode="auto">
                                          <a:xfrm>
                                            <a:off x="0" y="0"/>
                                            <a:ext cx="104775" cy="85725"/>
                                          </a:xfrm>
                                          <a:prstGeom prst="rect">
                                            <a:avLst/>
                                          </a:prstGeom>
                                        </pic:spPr>
                                      </pic:pic>
                                    </a:graphicData>
                                  </a:graphic>
                                </wp:inline>
                              </w:drawing>
                            </w:r>
                          </w:p>
                        </w:tc>
                        <w:tc>
                          <w:tcPr>
                            <w:tcW w:w="58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The 25,000 performance stock award from 2019 has been forfeited; and</w:t>
                            </w:r>
                          </w:p>
                        </w:tc>
                      </w:tr>
                    </w:tbl>
                    <w:tbl>
                      <w:tblPr>
                        <w:tblW w:w="6583" w:type="dxa"/>
                        <w:jc w:val="left"/>
                        <w:tblInd w:w="0" w:type="dxa"/>
                        <w:tblCellMar>
                          <w:top w:w="0" w:type="dxa"/>
                          <w:left w:w="0" w:type="dxa"/>
                          <w:bottom w:w="0" w:type="dxa"/>
                          <w:right w:w="0" w:type="dxa"/>
                        </w:tblCellMar>
                      </w:tblPr>
                      <w:tblGrid>
                        <w:gridCol w:w="38"/>
                        <w:gridCol w:w="165"/>
                        <w:gridCol w:w="638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23" name="Image1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Image170" descr=""/>
                                          <pic:cNvPicPr>
                                            <a:picLocks noChangeAspect="1" noChangeArrowheads="1"/>
                                          </pic:cNvPicPr>
                                        </pic:nvPicPr>
                                        <pic:blipFill>
                                          <a:blip r:embed="rId171"/>
                                          <a:stretch>
                                            <a:fillRect/>
                                          </a:stretch>
                                        </pic:blipFill>
                                        <pic:spPr bwMode="auto">
                                          <a:xfrm>
                                            <a:off x="0" y="0"/>
                                            <a:ext cx="104775" cy="85725"/>
                                          </a:xfrm>
                                          <a:prstGeom prst="rect">
                                            <a:avLst/>
                                          </a:prstGeom>
                                        </pic:spPr>
                                      </pic:pic>
                                    </a:graphicData>
                                  </a:graphic>
                                </wp:inline>
                              </w:drawing>
                            </w:r>
                          </w:p>
                        </w:tc>
                        <w:tc>
                          <w:tcPr>
                            <w:tcW w:w="63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The 850,000 performance stock option award from 2021 is “out-of-the-money”.</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Meanwhile, the profit performance of the Company since 2019 has increased from $11.79 Adjusted EPS to $16.10 in Adjusted EPS for 2022. This suggests significantly better Company profit performance, than “equity compensation realized” for Mr. Clarke under equity awards that were granted during the same five-year period.</w:t>
                      </w:r>
                    </w:p>
                  </w:txbxContent>
                </v:textbox>
                <w10:wrap type="square" side="left"/>
              </v:rect>
            </w:pict>
          </mc:Fallback>
        </mc:AlternateContent>
      </w:r>
      <w:r>
        <mc:AlternateContent>
          <mc:Choice Requires="wps">
            <w:drawing>
              <wp:anchor behindDoc="0" distT="0" distB="0" distL="0" distR="0" simplePos="0" locked="0" layoutInCell="1" allowOverlap="1" relativeHeight="185">
                <wp:simplePos x="0" y="0"/>
                <wp:positionH relativeFrom="column">
                  <wp:align>left</wp:align>
                </wp:positionH>
                <wp:positionV relativeFrom="line">
                  <wp:posOffset>635</wp:posOffset>
                </wp:positionV>
                <wp:extent cx="3110230" cy="2731135"/>
                <wp:effectExtent l="0" t="0" r="0" b="0"/>
                <wp:wrapSquare wrapText="largest"/>
                <wp:docPr id="324" name="Frame40"/>
                <a:graphic xmlns:a="http://schemas.openxmlformats.org/drawingml/2006/main">
                  <a:graphicData uri="http://schemas.microsoft.com/office/word/2010/wordprocessingShape">
                    <wps:wsp>
                      <wps:cNvSpPr txBox="1"/>
                      <wps:spPr>
                        <a:xfrm>
                          <a:off x="0" y="0"/>
                          <a:ext cx="3110230" cy="2731135"/>
                        </a:xfrm>
                        <a:prstGeom prst="rect"/>
                      </wps:spPr>
                      <wps:txbx>
                        <w:txbxContent>
                          <w:p>
                            <w:pPr>
                              <w:pStyle w:val="TextBody"/>
                              <w:spacing w:before="0" w:after="0"/>
                              <w:rPr>
                                <w:rFonts w:ascii="Arial;Helvetica;Sans-Serif" w:hAnsi="Arial;Helvetica;Sans-Serif"/>
                                <w:b/>
                                <w:i w:val="false"/>
                                <w:caps w:val="false"/>
                                <w:smallCaps w:val="false"/>
                                <w:color w:val="EE0027"/>
                                <w:sz w:val="20"/>
                              </w:rPr>
                            </w:pPr>
                            <w:bookmarkStart w:id="77" w:name="a043"/>
                            <w:bookmarkEnd w:id="77"/>
                            <w:r>
                              <w:rPr>
                                <w:rFonts w:ascii="Arial;Helvetica;Sans-Serif" w:hAnsi="Arial;Helvetica;Sans-Serif"/>
                                <w:b/>
                                <w:i w:val="false"/>
                                <w:caps w:val="false"/>
                                <w:smallCaps w:val="false"/>
                                <w:color w:val="EE0027"/>
                                <w:sz w:val="20"/>
                              </w:rPr>
                              <w:t>Responsiveness to 2022 Say-On-Pay Vote</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say-on-pay proposal at our 2022 Annual Meeting of Shareholders received approximately 35% approval. During 2022, we undertook engagement efforts to receive shareholder feedback regarding matters of importance to shareholders. Our engagement process included not only representatives of our executive team, but also our compensation committee Chair and additional Board members.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After we mailed our Proxy Statement for the 2022 Annual Meeting of Shareholders, we contacted our largest 10 shareholders as of December 31, 2021 (excluding our CEO) who at that time held approximately 50.3% of our outstanding common shares in the aggregate. Based on our outreach efforts and our review of the recommendations of proxy advisory firms, we have identified a few key areas of concern with respect to our executive compensation program as disclosed in our 2022 Proxy Statement.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5.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EE0027"/>
                          <w:sz w:val="20"/>
                        </w:rPr>
                      </w:pPr>
                      <w:bookmarkStart w:id="78" w:name="a043"/>
                      <w:bookmarkEnd w:id="78"/>
                      <w:r>
                        <w:rPr>
                          <w:rFonts w:ascii="Arial;Helvetica;Sans-Serif" w:hAnsi="Arial;Helvetica;Sans-Serif"/>
                          <w:b/>
                          <w:i w:val="false"/>
                          <w:caps w:val="false"/>
                          <w:smallCaps w:val="false"/>
                          <w:color w:val="EE0027"/>
                          <w:sz w:val="20"/>
                        </w:rPr>
                        <w:t>Responsiveness to 2022 Say-On-Pay Vote</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say-on-pay proposal at our 2022 Annual Meeting of Shareholders received approximately 35% approval. During 2022, we undertook engagement efforts to receive shareholder feedback regarding matters of importance to shareholders. Our engagement process included not only representatives of our executive team, but also our compensation committee Chair and additional Board members.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After we mailed our Proxy Statement for the 2022 Annual Meeting of Shareholders, we contacted our largest 10 shareholders as of December 31, 2021 (excluding our CEO) who at that time held approximately 50.3% of our outstanding common shares in the aggregate. Based on our outreach efforts and our review of the recommendations of proxy advisory firms, we have identified a few key areas of concern with respect to our executive compensation program as disclosed in our 2022 Proxy Statement.</w:t>
                      </w:r>
                    </w:p>
                  </w:txbxContent>
                </v:textbox>
                <w10:wrap type="square" side="righ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CEO Long-Term Equity Awards – 2019 through 2023</w:t>
      </w:r>
    </w:p>
    <w:p>
      <w:pPr>
        <w:pStyle w:val="TextBody"/>
        <w:spacing w:before="0" w:after="0"/>
        <w:rPr>
          <w:caps w:val="false"/>
          <w:smallCaps w:val="false"/>
          <w:color w:val="231F20"/>
        </w:rPr>
      </w:pPr>
      <w:r>
        <w:rPr>
          <w:caps w:val="false"/>
          <w:smallCaps w:val="false"/>
          <w:color w:val="231F20"/>
        </w:rPr>
        <w:t> </w:t>
      </w:r>
    </w:p>
    <w:tbl>
      <w:tblPr>
        <w:tblW w:w="7785" w:type="dxa"/>
        <w:jc w:val="left"/>
        <w:tblInd w:w="0" w:type="dxa"/>
        <w:tblCellMar>
          <w:top w:w="0" w:type="dxa"/>
          <w:left w:w="0" w:type="dxa"/>
          <w:bottom w:w="0" w:type="dxa"/>
          <w:right w:w="0" w:type="dxa"/>
        </w:tblCellMar>
      </w:tblPr>
      <w:tblGrid>
        <w:gridCol w:w="1040"/>
        <w:gridCol w:w="2240"/>
        <w:gridCol w:w="695"/>
        <w:gridCol w:w="1775"/>
        <w:gridCol w:w="1190"/>
        <w:gridCol w:w="845"/>
      </w:tblGrid>
      <w:tr>
        <w:trPr/>
        <w:tc>
          <w:tcPr>
            <w:tcW w:w="1040" w:type="dxa"/>
            <w:tcBorders/>
            <w:shd w:fill="EE0027" w:val="clear"/>
            <w:vAlign w:val="center"/>
          </w:tcPr>
          <w:p>
            <w:pPr>
              <w:pStyle w:val="TableContents"/>
              <w:spacing w:before="0" w:after="0"/>
              <w:jc w:val="left"/>
              <w:rPr>
                <w:rFonts w:ascii="Arial;Helvetica;Sans-Serif" w:hAnsi="Arial;Helvetica;Sans-Serif"/>
                <w:b w:val="false"/>
                <w:i w:val="false"/>
                <w:caps w:val="false"/>
                <w:smallCaps w:val="false"/>
                <w:color w:val="FFFFFF"/>
                <w:sz w:val="18"/>
              </w:rPr>
            </w:pPr>
            <w:r>
              <w:rPr>
                <w:rFonts w:ascii="Arial;Helvetica;Sans-Serif" w:hAnsi="Arial;Helvetica;Sans-Serif"/>
                <w:b/>
                <w:i w:val="false"/>
                <w:caps w:val="false"/>
                <w:smallCaps w:val="false"/>
                <w:color w:val="FFFFFF"/>
                <w:sz w:val="18"/>
              </w:rPr>
              <w:t>Fiscal Year</w:t>
            </w:r>
            <w:r>
              <w:rPr>
                <w:rFonts w:ascii="Arial;Helvetica;Sans-Serif" w:hAnsi="Arial;Helvetica;Sans-Serif"/>
                <w:b w:val="false"/>
                <w:i w:val="false"/>
                <w:caps w:val="false"/>
                <w:smallCaps w:val="false"/>
                <w:color w:val="FFFFFF"/>
                <w:sz w:val="18"/>
              </w:rPr>
              <w:t> </w:t>
            </w:r>
          </w:p>
        </w:tc>
        <w:tc>
          <w:tcPr>
            <w:tcW w:w="224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Award Type</w:t>
            </w:r>
          </w:p>
        </w:tc>
        <w:tc>
          <w:tcPr>
            <w:tcW w:w="69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Target </w:t>
              <w:br/>
              <w:t>Award</w:t>
            </w:r>
          </w:p>
        </w:tc>
        <w:tc>
          <w:tcPr>
            <w:tcW w:w="177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Grant Date Fair </w:t>
              <w:br/>
              <w:t xml:space="preserve">Value Reported </w:t>
              <w:br/>
              <w:t>in Summary</w:t>
            </w:r>
          </w:p>
          <w:p>
            <w:pPr>
              <w:pStyle w:val="TableContents"/>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Compensation Table</w:t>
            </w:r>
          </w:p>
        </w:tc>
        <w:tc>
          <w:tcPr>
            <w:tcW w:w="119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Realized </w:t>
              <w:br/>
              <w:t xml:space="preserve">Value as of </w:t>
              <w:br/>
              <w:t>April 17, 2023</w:t>
            </w:r>
          </w:p>
        </w:tc>
        <w:tc>
          <w:tcPr>
            <w:tcW w:w="84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Adjusted </w:t>
              <w:br/>
              <w:t>EPS</w:t>
            </w:r>
          </w:p>
        </w:tc>
      </w:tr>
      <w:tr>
        <w:trPr/>
        <w:tc>
          <w:tcPr>
            <w:tcW w:w="104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2019</w:t>
            </w:r>
          </w:p>
        </w:tc>
        <w:tc>
          <w:tcPr>
            <w:tcW w:w="224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Performance Shares</w:t>
            </w:r>
          </w:p>
        </w:tc>
        <w:tc>
          <w:tcPr>
            <w:tcW w:w="69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25,000 </w:t>
            </w:r>
          </w:p>
        </w:tc>
        <w:tc>
          <w:tcPr>
            <w:tcW w:w="177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$9,473,750</w:t>
            </w:r>
          </w:p>
        </w:tc>
        <w:tc>
          <w:tcPr>
            <w:tcW w:w="119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$0</w:t>
            </w:r>
          </w:p>
        </w:tc>
        <w:tc>
          <w:tcPr>
            <w:tcW w:w="84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$11.79</w:t>
            </w:r>
          </w:p>
        </w:tc>
      </w:tr>
      <w:tr>
        <w:trPr/>
        <w:tc>
          <w:tcPr>
            <w:tcW w:w="104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2020</w:t>
            </w:r>
          </w:p>
        </w:tc>
        <w:tc>
          <w:tcPr>
            <w:tcW w:w="224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NONE</w:t>
            </w:r>
          </w:p>
        </w:tc>
        <w:tc>
          <w:tcPr>
            <w:tcW w:w="695" w:type="dxa"/>
            <w:tcBorders/>
            <w:shd w:fill="DCDDDE"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1775" w:type="dxa"/>
            <w:tcBorders/>
            <w:shd w:fill="DCDDDE"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1190" w:type="dxa"/>
            <w:tcBorders/>
            <w:shd w:fill="DCDDDE"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84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$11.09</w:t>
            </w:r>
          </w:p>
        </w:tc>
      </w:tr>
      <w:tr>
        <w:trPr/>
        <w:tc>
          <w:tcPr>
            <w:tcW w:w="104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2021</w:t>
            </w:r>
          </w:p>
        </w:tc>
        <w:tc>
          <w:tcPr>
            <w:tcW w:w="224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Performance Stock Options</w:t>
            </w:r>
          </w:p>
        </w:tc>
        <w:tc>
          <w:tcPr>
            <w:tcW w:w="695"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850,000</w:t>
            </w:r>
          </w:p>
        </w:tc>
        <w:tc>
          <w:tcPr>
            <w:tcW w:w="177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$55,556,000</w:t>
            </w:r>
          </w:p>
        </w:tc>
        <w:tc>
          <w:tcPr>
            <w:tcW w:w="119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$0</w:t>
            </w:r>
          </w:p>
        </w:tc>
        <w:tc>
          <w:tcPr>
            <w:tcW w:w="84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$13.21</w:t>
            </w:r>
          </w:p>
        </w:tc>
      </w:tr>
      <w:tr>
        <w:trPr/>
        <w:tc>
          <w:tcPr>
            <w:tcW w:w="104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2022</w:t>
            </w:r>
          </w:p>
        </w:tc>
        <w:tc>
          <w:tcPr>
            <w:tcW w:w="224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NONE</w:t>
            </w:r>
          </w:p>
        </w:tc>
        <w:tc>
          <w:tcPr>
            <w:tcW w:w="695" w:type="dxa"/>
            <w:tcBorders/>
            <w:shd w:fill="DCDDDE"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1775" w:type="dxa"/>
            <w:tcBorders/>
            <w:shd w:fill="DCDDDE"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1190" w:type="dxa"/>
            <w:tcBorders/>
            <w:shd w:fill="DCDDDE"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84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$16.10</w:t>
            </w:r>
          </w:p>
        </w:tc>
      </w:tr>
      <w:tr>
        <w:trPr/>
        <w:tc>
          <w:tcPr>
            <w:tcW w:w="104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2023</w:t>
            </w:r>
          </w:p>
        </w:tc>
        <w:tc>
          <w:tcPr>
            <w:tcW w:w="224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NONE</w:t>
            </w:r>
          </w:p>
        </w:tc>
        <w:tc>
          <w:tcPr>
            <w:tcW w:w="695"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1775"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1190"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84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TBD</w:t>
            </w:r>
          </w:p>
        </w:tc>
      </w:tr>
      <w:tr>
        <w:trPr/>
        <w:tc>
          <w:tcPr>
            <w:tcW w:w="1040" w:type="dxa"/>
            <w:tcBorders/>
            <w:shd w:fill="DCDDDE" w:val="clear"/>
            <w:vAlign w:val="center"/>
          </w:tcPr>
          <w:p>
            <w:pPr>
              <w:pStyle w:val="TableContents"/>
              <w:spacing w:before="0" w:after="0"/>
              <w:jc w:val="right"/>
              <w:rPr>
                <w:caps w:val="false"/>
                <w:smallCaps w:val="false"/>
                <w:color w:val="231F20"/>
              </w:rPr>
            </w:pPr>
            <w:r>
              <w:rPr>
                <w:caps w:val="false"/>
                <w:smallCaps w:val="false"/>
                <w:color w:val="231F20"/>
              </w:rPr>
              <w:t> </w:t>
            </w:r>
          </w:p>
        </w:tc>
        <w:tc>
          <w:tcPr>
            <w:tcW w:w="2935" w:type="dxa"/>
            <w:gridSpan w:val="2"/>
            <w:tcBorders/>
            <w:shd w:fill="DCDDDE" w:val="clear"/>
            <w:vAlign w:val="center"/>
          </w:tcPr>
          <w:p>
            <w:pPr>
              <w:pStyle w:val="TableContents"/>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18"/>
              </w:rPr>
              <w:t xml:space="preserve">Total for Five-Year Period </w:t>
              <w:br/>
              <w:t>(2019-2023) as of April</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color w:val="231F20"/>
                <w:sz w:val="18"/>
              </w:rPr>
              <w:t>17, 2023:</w:t>
            </w:r>
          </w:p>
        </w:tc>
        <w:tc>
          <w:tcPr>
            <w:tcW w:w="1775" w:type="dxa"/>
            <w:tcBorders/>
            <w:shd w:fill="DCDDDE" w:val="clear"/>
            <w:vAlign w:val="center"/>
          </w:tcPr>
          <w:p>
            <w:pPr>
              <w:pStyle w:val="TableContents"/>
              <w:spacing w:before="0" w:after="283"/>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$65,029,750</w:t>
            </w:r>
          </w:p>
        </w:tc>
        <w:tc>
          <w:tcPr>
            <w:tcW w:w="1190" w:type="dxa"/>
            <w:tcBorders/>
            <w:shd w:fill="DCDDDE" w:val="clear"/>
            <w:vAlign w:val="center"/>
          </w:tcPr>
          <w:p>
            <w:pPr>
              <w:pStyle w:val="TableContents"/>
              <w:spacing w:before="0" w:after="283"/>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$0</w:t>
            </w:r>
          </w:p>
        </w:tc>
        <w:tc>
          <w:tcPr>
            <w:tcW w:w="845" w:type="dxa"/>
            <w:tcBorders/>
            <w:shd w:fill="DCDDDE"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jc w:val="right"/>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28</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olumn">
                  <wp:align>right</wp:align>
                </wp:positionH>
                <wp:positionV relativeFrom="line">
                  <wp:posOffset>635</wp:posOffset>
                </wp:positionV>
                <wp:extent cx="3110230" cy="6355715"/>
                <wp:effectExtent l="0" t="0" r="0" b="0"/>
                <wp:wrapSquare wrapText="largest"/>
                <wp:docPr id="325" name="Frame43"/>
                <a:graphic xmlns:a="http://schemas.openxmlformats.org/drawingml/2006/main">
                  <a:graphicData uri="http://schemas.microsoft.com/office/word/2010/wordprocessingShape">
                    <wps:wsp>
                      <wps:cNvSpPr txBox="1"/>
                      <wps:spPr>
                        <a:xfrm>
                          <a:off x="0" y="0"/>
                          <a:ext cx="3110230" cy="6355715"/>
                        </a:xfrm>
                        <a:prstGeom prst="rect"/>
                      </wps:spPr>
                      <wps:txbx>
                        <w:txbxContent>
                          <w:p>
                            <w:pPr>
                              <w:pStyle w:val="TextBody"/>
                              <w:spacing w:before="0" w:after="0"/>
                              <w:rPr>
                                <w:rFonts w:ascii="Arial;Helvetica;Sans-Serif" w:hAnsi="Arial;Helvetica;Sans-Serif"/>
                                <w:b/>
                                <w:i w:val="false"/>
                                <w:caps w:val="false"/>
                                <w:smallCaps w:val="false"/>
                                <w:color w:val="EE0027"/>
                                <w:sz w:val="20"/>
                              </w:rPr>
                            </w:pPr>
                            <w:bookmarkStart w:id="79" w:name="a045"/>
                            <w:bookmarkEnd w:id="79"/>
                            <w:r>
                              <w:rPr>
                                <w:rFonts w:ascii="Arial;Helvetica;Sans-Serif" w:hAnsi="Arial;Helvetica;Sans-Serif"/>
                                <w:b/>
                                <w:i w:val="false"/>
                                <w:caps w:val="false"/>
                                <w:smallCaps w:val="false"/>
                                <w:color w:val="EE0027"/>
                                <w:sz w:val="20"/>
                              </w:rPr>
                              <w:t>Forward-Leaning Compensation Practices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has embraced best practices in our compensation programs, which strongly support our pay-for-performance philosophy and culture:</w:t>
                            </w:r>
                          </w:p>
                          <w:p>
                            <w:pPr>
                              <w:pStyle w:val="TextBody"/>
                              <w:spacing w:before="0" w:after="0"/>
                              <w:rPr>
                                <w:caps w:val="false"/>
                                <w:smallCaps w:val="false"/>
                                <w:color w:val="58595B"/>
                              </w:rPr>
                            </w:pPr>
                            <w:r>
                              <w:rPr>
                                <w:caps w:val="false"/>
                                <w:smallCaps w:val="false"/>
                                <w:color w:val="58595B"/>
                              </w:rPr>
                              <w:t> </w:t>
                            </w:r>
                          </w:p>
                          <w:tbl>
                            <w:tblPr>
                              <w:tblW w:w="7048" w:type="dxa"/>
                              <w:jc w:val="left"/>
                              <w:tblInd w:w="0" w:type="dxa"/>
                              <w:tblCellMar>
                                <w:top w:w="0" w:type="dxa"/>
                                <w:left w:w="0" w:type="dxa"/>
                                <w:bottom w:w="0" w:type="dxa"/>
                                <w:right w:w="0" w:type="dxa"/>
                              </w:tblCellMar>
                            </w:tblPr>
                            <w:tblGrid>
                              <w:gridCol w:w="38"/>
                              <w:gridCol w:w="165"/>
                              <w:gridCol w:w="68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26"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71" descr=""/>
                                                <pic:cNvPicPr>
                                                  <a:picLocks noChangeAspect="1" noChangeArrowheads="1"/>
                                                </pic:cNvPicPr>
                                              </pic:nvPicPr>
                                              <pic:blipFill>
                                                <a:blip r:embed="rId172"/>
                                                <a:stretch>
                                                  <a:fillRect/>
                                                </a:stretch>
                                              </pic:blipFill>
                                              <pic:spPr bwMode="auto">
                                                <a:xfrm>
                                                  <a:off x="0" y="0"/>
                                                  <a:ext cx="104775" cy="85725"/>
                                                </a:xfrm>
                                                <a:prstGeom prst="rect">
                                                  <a:avLst/>
                                                </a:prstGeom>
                                              </pic:spPr>
                                            </pic:pic>
                                          </a:graphicData>
                                        </a:graphic>
                                      </wp:inline>
                                    </w:drawing>
                                  </w:r>
                                </w:p>
                              </w:tc>
                              <w:tc>
                                <w:tcPr>
                                  <w:tcW w:w="68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NEO compensation aligned with Company and, as applicable, division performance</w:t>
                                  </w:r>
                                </w:p>
                              </w:tc>
                            </w:tr>
                          </w:tbl>
                          <w:tbl>
                            <w:tblPr>
                              <w:tblW w:w="4558" w:type="dxa"/>
                              <w:jc w:val="left"/>
                              <w:tblInd w:w="0" w:type="dxa"/>
                              <w:tblCellMar>
                                <w:top w:w="0" w:type="dxa"/>
                                <w:left w:w="0" w:type="dxa"/>
                                <w:bottom w:w="0" w:type="dxa"/>
                                <w:right w:w="0" w:type="dxa"/>
                              </w:tblCellMar>
                            </w:tblPr>
                            <w:tblGrid>
                              <w:gridCol w:w="38"/>
                              <w:gridCol w:w="165"/>
                              <w:gridCol w:w="43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27"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Image172" descr=""/>
                                                <pic:cNvPicPr>
                                                  <a:picLocks noChangeAspect="1" noChangeArrowheads="1"/>
                                                </pic:cNvPicPr>
                                              </pic:nvPicPr>
                                              <pic:blipFill>
                                                <a:blip r:embed="rId173"/>
                                                <a:stretch>
                                                  <a:fillRect/>
                                                </a:stretch>
                                              </pic:blipFill>
                                              <pic:spPr bwMode="auto">
                                                <a:xfrm>
                                                  <a:off x="0" y="0"/>
                                                  <a:ext cx="104775" cy="85725"/>
                                                </a:xfrm>
                                                <a:prstGeom prst="rect">
                                                  <a:avLst/>
                                                </a:prstGeom>
                                              </pic:spPr>
                                            </pic:pic>
                                          </a:graphicData>
                                        </a:graphic>
                                      </wp:inline>
                                    </w:drawing>
                                  </w:r>
                                </w:p>
                              </w:tc>
                              <w:tc>
                                <w:tcPr>
                                  <w:tcW w:w="43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Base salary levels generally at or below peer median</w:t>
                                  </w:r>
                                </w:p>
                              </w:tc>
                            </w:tr>
                          </w:tbl>
                          <w:tbl>
                            <w:tblPr>
                              <w:tblW w:w="5518" w:type="dxa"/>
                              <w:jc w:val="left"/>
                              <w:tblInd w:w="0" w:type="dxa"/>
                              <w:tblCellMar>
                                <w:top w:w="0" w:type="dxa"/>
                                <w:left w:w="0" w:type="dxa"/>
                                <w:bottom w:w="0" w:type="dxa"/>
                                <w:right w:w="0" w:type="dxa"/>
                              </w:tblCellMar>
                            </w:tblPr>
                            <w:tblGrid>
                              <w:gridCol w:w="38"/>
                              <w:gridCol w:w="165"/>
                              <w:gridCol w:w="53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28"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73" descr=""/>
                                                <pic:cNvPicPr>
                                                  <a:picLocks noChangeAspect="1" noChangeArrowheads="1"/>
                                                </pic:cNvPicPr>
                                              </pic:nvPicPr>
                                              <pic:blipFill>
                                                <a:blip r:embed="rId174"/>
                                                <a:stretch>
                                                  <a:fillRect/>
                                                </a:stretch>
                                              </pic:blipFill>
                                              <pic:spPr bwMode="auto">
                                                <a:xfrm>
                                                  <a:off x="0" y="0"/>
                                                  <a:ext cx="104775" cy="85725"/>
                                                </a:xfrm>
                                                <a:prstGeom prst="rect">
                                                  <a:avLst/>
                                                </a:prstGeom>
                                              </pic:spPr>
                                            </pic:pic>
                                          </a:graphicData>
                                        </a:graphic>
                                      </wp:inline>
                                    </w:drawing>
                                  </w:r>
                                </w:p>
                              </w:tc>
                              <w:tc>
                                <w:tcPr>
                                  <w:tcW w:w="53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Target annual cash incentives generally at or below peer median</w:t>
                                  </w:r>
                                </w:p>
                              </w:tc>
                            </w:tr>
                          </w:tbl>
                          <w:tbl>
                            <w:tblPr>
                              <w:tblW w:w="8008" w:type="dxa"/>
                              <w:jc w:val="left"/>
                              <w:tblInd w:w="0" w:type="dxa"/>
                              <w:tblCellMar>
                                <w:top w:w="0" w:type="dxa"/>
                                <w:left w:w="0" w:type="dxa"/>
                                <w:bottom w:w="0" w:type="dxa"/>
                                <w:right w:w="0" w:type="dxa"/>
                              </w:tblCellMar>
                            </w:tblPr>
                            <w:tblGrid>
                              <w:gridCol w:w="38"/>
                              <w:gridCol w:w="165"/>
                              <w:gridCol w:w="780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29"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 name="Image174" descr=""/>
                                                <pic:cNvPicPr>
                                                  <a:picLocks noChangeAspect="1" noChangeArrowheads="1"/>
                                                </pic:cNvPicPr>
                                              </pic:nvPicPr>
                                              <pic:blipFill>
                                                <a:blip r:embed="rId175"/>
                                                <a:stretch>
                                                  <a:fillRect/>
                                                </a:stretch>
                                              </pic:blipFill>
                                              <pic:spPr bwMode="auto">
                                                <a:xfrm>
                                                  <a:off x="0" y="0"/>
                                                  <a:ext cx="104775" cy="85725"/>
                                                </a:xfrm>
                                                <a:prstGeom prst="rect">
                                                  <a:avLst/>
                                                </a:prstGeom>
                                              </pic:spPr>
                                            </pic:pic>
                                          </a:graphicData>
                                        </a:graphic>
                                      </wp:inline>
                                    </w:drawing>
                                  </w:r>
                                </w:p>
                              </w:tc>
                              <w:tc>
                                <w:tcPr>
                                  <w:tcW w:w="780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Significant portion of NEO compensation generally delivered in the form of equity-based awards</w:t>
                                  </w:r>
                                </w:p>
                              </w:tc>
                            </w:tr>
                          </w:tbl>
                          <w:tbl>
                            <w:tblPr>
                              <w:tblW w:w="5848" w:type="dxa"/>
                              <w:jc w:val="left"/>
                              <w:tblInd w:w="0" w:type="dxa"/>
                              <w:tblCellMar>
                                <w:top w:w="0" w:type="dxa"/>
                                <w:left w:w="0" w:type="dxa"/>
                                <w:bottom w:w="0" w:type="dxa"/>
                                <w:right w:w="0" w:type="dxa"/>
                              </w:tblCellMar>
                            </w:tblPr>
                            <w:tblGrid>
                              <w:gridCol w:w="38"/>
                              <w:gridCol w:w="165"/>
                              <w:gridCol w:w="56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0"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75" descr=""/>
                                                <pic:cNvPicPr>
                                                  <a:picLocks noChangeAspect="1" noChangeArrowheads="1"/>
                                                </pic:cNvPicPr>
                                              </pic:nvPicPr>
                                              <pic:blipFill>
                                                <a:blip r:embed="rId176"/>
                                                <a:stretch>
                                                  <a:fillRect/>
                                                </a:stretch>
                                              </pic:blipFill>
                                              <pic:spPr bwMode="auto">
                                                <a:xfrm>
                                                  <a:off x="0" y="0"/>
                                                  <a:ext cx="104775" cy="85725"/>
                                                </a:xfrm>
                                                <a:prstGeom prst="rect">
                                                  <a:avLst/>
                                                </a:prstGeom>
                                              </pic:spPr>
                                            </pic:pic>
                                          </a:graphicData>
                                        </a:graphic>
                                      </wp:inline>
                                    </w:drawing>
                                  </w:r>
                                </w:p>
                              </w:tc>
                              <w:tc>
                                <w:tcPr>
                                  <w:tcW w:w="56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Different performance metrics for different compensation components</w:t>
                                  </w:r>
                                </w:p>
                              </w:tc>
                            </w:tr>
                          </w:tbl>
                          <w:tbl>
                            <w:tblPr>
                              <w:tblW w:w="6778" w:type="dxa"/>
                              <w:jc w:val="left"/>
                              <w:tblInd w:w="0" w:type="dxa"/>
                              <w:tblCellMar>
                                <w:top w:w="0" w:type="dxa"/>
                                <w:left w:w="0" w:type="dxa"/>
                                <w:bottom w:w="0" w:type="dxa"/>
                                <w:right w:w="0" w:type="dxa"/>
                              </w:tblCellMar>
                            </w:tblPr>
                            <w:tblGrid>
                              <w:gridCol w:w="38"/>
                              <w:gridCol w:w="165"/>
                              <w:gridCol w:w="65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1"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Image176" descr=""/>
                                                <pic:cNvPicPr>
                                                  <a:picLocks noChangeAspect="1" noChangeArrowheads="1"/>
                                                </pic:cNvPicPr>
                                              </pic:nvPicPr>
                                              <pic:blipFill>
                                                <a:blip r:embed="rId177"/>
                                                <a:stretch>
                                                  <a:fillRect/>
                                                </a:stretch>
                                              </pic:blipFill>
                                              <pic:spPr bwMode="auto">
                                                <a:xfrm>
                                                  <a:off x="0" y="0"/>
                                                  <a:ext cx="104775" cy="85725"/>
                                                </a:xfrm>
                                                <a:prstGeom prst="rect">
                                                  <a:avLst/>
                                                </a:prstGeom>
                                              </pic:spPr>
                                            </pic:pic>
                                          </a:graphicData>
                                        </a:graphic>
                                      </wp:inline>
                                    </w:drawing>
                                  </w:r>
                                </w:p>
                              </w:tc>
                              <w:tc>
                                <w:tcPr>
                                  <w:tcW w:w="65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Incentive payouts tied closely to achieving published guidance where applicable</w:t>
                                  </w:r>
                                </w:p>
                              </w:tc>
                            </w:tr>
                          </w:tbl>
                          <w:tbl>
                            <w:tblPr>
                              <w:tblW w:w="3583" w:type="dxa"/>
                              <w:jc w:val="left"/>
                              <w:tblInd w:w="0" w:type="dxa"/>
                              <w:tblCellMar>
                                <w:top w:w="0" w:type="dxa"/>
                                <w:left w:w="0" w:type="dxa"/>
                                <w:bottom w:w="0" w:type="dxa"/>
                                <w:right w:w="0" w:type="dxa"/>
                              </w:tblCellMar>
                            </w:tblPr>
                            <w:tblGrid>
                              <w:gridCol w:w="38"/>
                              <w:gridCol w:w="165"/>
                              <w:gridCol w:w="338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2"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77" descr=""/>
                                                <pic:cNvPicPr>
                                                  <a:picLocks noChangeAspect="1" noChangeArrowheads="1"/>
                                                </pic:cNvPicPr>
                                              </pic:nvPicPr>
                                              <pic:blipFill>
                                                <a:blip r:embed="rId178"/>
                                                <a:stretch>
                                                  <a:fillRect/>
                                                </a:stretch>
                                              </pic:blipFill>
                                              <pic:spPr bwMode="auto">
                                                <a:xfrm>
                                                  <a:off x="0" y="0"/>
                                                  <a:ext cx="104775" cy="85725"/>
                                                </a:xfrm>
                                                <a:prstGeom prst="rect">
                                                  <a:avLst/>
                                                </a:prstGeom>
                                              </pic:spPr>
                                            </pic:pic>
                                          </a:graphicData>
                                        </a:graphic>
                                      </wp:inline>
                                    </w:drawing>
                                  </w:r>
                                </w:p>
                              </w:tc>
                              <w:tc>
                                <w:tcPr>
                                  <w:tcW w:w="33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Significant stock ownership requirements</w:t>
                                  </w:r>
                                </w:p>
                              </w:tc>
                            </w:tr>
                          </w:tbl>
                          <w:tbl>
                            <w:tblPr>
                              <w:tblW w:w="6958" w:type="dxa"/>
                              <w:jc w:val="left"/>
                              <w:tblInd w:w="0" w:type="dxa"/>
                              <w:tblCellMar>
                                <w:top w:w="0" w:type="dxa"/>
                                <w:left w:w="0" w:type="dxa"/>
                                <w:bottom w:w="0" w:type="dxa"/>
                                <w:right w:w="0" w:type="dxa"/>
                              </w:tblCellMar>
                            </w:tblPr>
                            <w:tblGrid>
                              <w:gridCol w:w="38"/>
                              <w:gridCol w:w="165"/>
                              <w:gridCol w:w="67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3"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Image178" descr=""/>
                                                <pic:cNvPicPr>
                                                  <a:picLocks noChangeAspect="1" noChangeArrowheads="1"/>
                                                </pic:cNvPicPr>
                                              </pic:nvPicPr>
                                              <pic:blipFill>
                                                <a:blip r:embed="rId179"/>
                                                <a:stretch>
                                                  <a:fillRect/>
                                                </a:stretch>
                                              </pic:blipFill>
                                              <pic:spPr bwMode="auto">
                                                <a:xfrm>
                                                  <a:off x="0" y="0"/>
                                                  <a:ext cx="104775" cy="85725"/>
                                                </a:xfrm>
                                                <a:prstGeom prst="rect">
                                                  <a:avLst/>
                                                </a:prstGeom>
                                              </pic:spPr>
                                            </pic:pic>
                                          </a:graphicData>
                                        </a:graphic>
                                      </wp:inline>
                                    </w:drawing>
                                  </w:r>
                                </w:p>
                              </w:tc>
                              <w:tc>
                                <w:tcPr>
                                  <w:tcW w:w="67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No repricing or cashing out of underwater stock options or stock appreciation rights</w:t>
                                  </w:r>
                                </w:p>
                              </w:tc>
                            </w:tr>
                          </w:tbl>
                          <w:tbl>
                            <w:tblPr>
                              <w:tblW w:w="3718" w:type="dxa"/>
                              <w:jc w:val="left"/>
                              <w:tblInd w:w="0" w:type="dxa"/>
                              <w:tblCellMar>
                                <w:top w:w="0" w:type="dxa"/>
                                <w:left w:w="0" w:type="dxa"/>
                                <w:bottom w:w="0" w:type="dxa"/>
                                <w:right w:w="0" w:type="dxa"/>
                              </w:tblCellMar>
                            </w:tblPr>
                            <w:tblGrid>
                              <w:gridCol w:w="38"/>
                              <w:gridCol w:w="165"/>
                              <w:gridCol w:w="35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4"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79" descr=""/>
                                                <pic:cNvPicPr>
                                                  <a:picLocks noChangeAspect="1" noChangeArrowheads="1"/>
                                                </pic:cNvPicPr>
                                              </pic:nvPicPr>
                                              <pic:blipFill>
                                                <a:blip r:embed="rId180"/>
                                                <a:stretch>
                                                  <a:fillRect/>
                                                </a:stretch>
                                              </pic:blipFill>
                                              <pic:spPr bwMode="auto">
                                                <a:xfrm>
                                                  <a:off x="0" y="0"/>
                                                  <a:ext cx="104775" cy="85725"/>
                                                </a:xfrm>
                                                <a:prstGeom prst="rect">
                                                  <a:avLst/>
                                                </a:prstGeom>
                                              </pic:spPr>
                                            </pic:pic>
                                          </a:graphicData>
                                        </a:graphic>
                                      </wp:inline>
                                    </w:drawing>
                                  </w:r>
                                </w:p>
                              </w:tc>
                              <w:tc>
                                <w:tcPr>
                                  <w:tcW w:w="35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No hedging or pledging of common shares</w:t>
                                  </w:r>
                                </w:p>
                              </w:tc>
                            </w:tr>
                          </w:tbl>
                          <w:tbl>
                            <w:tblPr>
                              <w:tblW w:w="2188" w:type="dxa"/>
                              <w:jc w:val="left"/>
                              <w:tblInd w:w="0" w:type="dxa"/>
                              <w:tblCellMar>
                                <w:top w:w="0" w:type="dxa"/>
                                <w:left w:w="0" w:type="dxa"/>
                                <w:bottom w:w="0" w:type="dxa"/>
                                <w:right w:w="0" w:type="dxa"/>
                              </w:tblCellMar>
                            </w:tblPr>
                            <w:tblGrid>
                              <w:gridCol w:w="38"/>
                              <w:gridCol w:w="165"/>
                              <w:gridCol w:w="19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5"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Image180" descr=""/>
                                                <pic:cNvPicPr>
                                                  <a:picLocks noChangeAspect="1" noChangeArrowheads="1"/>
                                                </pic:cNvPicPr>
                                              </pic:nvPicPr>
                                              <pic:blipFill>
                                                <a:blip r:embed="rId181"/>
                                                <a:stretch>
                                                  <a:fillRect/>
                                                </a:stretch>
                                              </pic:blipFill>
                                              <pic:spPr bwMode="auto">
                                                <a:xfrm>
                                                  <a:off x="0" y="0"/>
                                                  <a:ext cx="104775" cy="85725"/>
                                                </a:xfrm>
                                                <a:prstGeom prst="rect">
                                                  <a:avLst/>
                                                </a:prstGeom>
                                              </pic:spPr>
                                            </pic:pic>
                                          </a:graphicData>
                                        </a:graphic>
                                      </wp:inline>
                                    </w:drawing>
                                  </w:r>
                                </w:p>
                              </w:tc>
                              <w:tc>
                                <w:tcPr>
                                  <w:tcW w:w="198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No excise tax gross-ups</w:t>
                                  </w:r>
                                </w:p>
                              </w:tc>
                            </w:tr>
                          </w:tbl>
                          <w:tbl>
                            <w:tblPr>
                              <w:tblW w:w="2278" w:type="dxa"/>
                              <w:jc w:val="left"/>
                              <w:tblInd w:w="0" w:type="dxa"/>
                              <w:tblCellMar>
                                <w:top w:w="0" w:type="dxa"/>
                                <w:left w:w="0" w:type="dxa"/>
                                <w:bottom w:w="0" w:type="dxa"/>
                                <w:right w:w="0" w:type="dxa"/>
                              </w:tblCellMar>
                            </w:tblPr>
                            <w:tblGrid>
                              <w:gridCol w:w="38"/>
                              <w:gridCol w:w="165"/>
                              <w:gridCol w:w="20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6"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81" descr=""/>
                                                <pic:cNvPicPr>
                                                  <a:picLocks noChangeAspect="1" noChangeArrowheads="1"/>
                                                </pic:cNvPicPr>
                                              </pic:nvPicPr>
                                              <pic:blipFill>
                                                <a:blip r:embed="rId182"/>
                                                <a:stretch>
                                                  <a:fillRect/>
                                                </a:stretch>
                                              </pic:blipFill>
                                              <pic:spPr bwMode="auto">
                                                <a:xfrm>
                                                  <a:off x="0" y="0"/>
                                                  <a:ext cx="104775" cy="85725"/>
                                                </a:xfrm>
                                                <a:prstGeom prst="rect">
                                                  <a:avLst/>
                                                </a:prstGeom>
                                              </pic:spPr>
                                            </pic:pic>
                                          </a:graphicData>
                                        </a:graphic>
                                      </wp:inline>
                                    </w:drawing>
                                  </w:r>
                                </w:p>
                              </w:tc>
                              <w:tc>
                                <w:tcPr>
                                  <w:tcW w:w="20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No excessive perquisites</w:t>
                                  </w:r>
                                </w:p>
                              </w:tc>
                            </w:tr>
                          </w:tbl>
                          <w:tbl>
                            <w:tblPr>
                              <w:tblW w:w="3628" w:type="dxa"/>
                              <w:jc w:val="left"/>
                              <w:tblInd w:w="0" w:type="dxa"/>
                              <w:tblCellMar>
                                <w:top w:w="0" w:type="dxa"/>
                                <w:left w:w="0" w:type="dxa"/>
                                <w:bottom w:w="0" w:type="dxa"/>
                                <w:right w:w="0" w:type="dxa"/>
                              </w:tblCellMar>
                            </w:tblPr>
                            <w:tblGrid>
                              <w:gridCol w:w="38"/>
                              <w:gridCol w:w="165"/>
                              <w:gridCol w:w="34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7"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Image182" descr=""/>
                                                <pic:cNvPicPr>
                                                  <a:picLocks noChangeAspect="1" noChangeArrowheads="1"/>
                                                </pic:cNvPicPr>
                                              </pic:nvPicPr>
                                              <pic:blipFill>
                                                <a:blip r:embed="rId183"/>
                                                <a:stretch>
                                                  <a:fillRect/>
                                                </a:stretch>
                                              </pic:blipFill>
                                              <pic:spPr bwMode="auto">
                                                <a:xfrm>
                                                  <a:off x="0" y="0"/>
                                                  <a:ext cx="104775" cy="85725"/>
                                                </a:xfrm>
                                                <a:prstGeom prst="rect">
                                                  <a:avLst/>
                                                </a:prstGeom>
                                              </pic:spPr>
                                            </pic:pic>
                                          </a:graphicData>
                                        </a:graphic>
                                      </wp:inline>
                                    </w:drawing>
                                  </w:r>
                                </w:p>
                              </w:tc>
                              <w:tc>
                                <w:tcPr>
                                  <w:tcW w:w="342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Maintain a compensation clawback policy</w:t>
                                  </w:r>
                                </w:p>
                              </w:tc>
                            </w:tr>
                          </w:tbl>
                          <w:tbl>
                            <w:tblPr>
                              <w:tblW w:w="3763" w:type="dxa"/>
                              <w:jc w:val="left"/>
                              <w:tblInd w:w="0" w:type="dxa"/>
                              <w:tblCellMar>
                                <w:top w:w="0" w:type="dxa"/>
                                <w:left w:w="0" w:type="dxa"/>
                                <w:bottom w:w="0" w:type="dxa"/>
                                <w:right w:w="0" w:type="dxa"/>
                              </w:tblCellMar>
                            </w:tblPr>
                            <w:tblGrid>
                              <w:gridCol w:w="38"/>
                              <w:gridCol w:w="16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8"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83" descr=""/>
                                                <pic:cNvPicPr>
                                                  <a:picLocks noChangeAspect="1" noChangeArrowheads="1"/>
                                                </pic:cNvPicPr>
                                              </pic:nvPicPr>
                                              <pic:blipFill>
                                                <a:blip r:embed="rId184"/>
                                                <a:stretch>
                                                  <a:fillRect/>
                                                </a:stretch>
                                              </pic:blipFill>
                                              <pic:spPr bwMode="auto">
                                                <a:xfrm>
                                                  <a:off x="0" y="0"/>
                                                  <a:ext cx="104775" cy="85725"/>
                                                </a:xfrm>
                                                <a:prstGeom prst="rect">
                                                  <a:avLst/>
                                                </a:prstGeom>
                                              </pic:spPr>
                                            </pic:pic>
                                          </a:graphicData>
                                        </a:graphic>
                                      </wp:inline>
                                    </w:drawing>
                                  </w:r>
                                </w:p>
                              </w:tc>
                              <w:tc>
                                <w:tcPr>
                                  <w:tcW w:w="35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Double-trigger change of control provisions</w:t>
                                  </w:r>
                                </w:p>
                              </w:tc>
                            </w:tr>
                          </w:tbl>
                          <w:tbl>
                            <w:tblPr>
                              <w:tblW w:w="3073" w:type="dxa"/>
                              <w:jc w:val="left"/>
                              <w:tblInd w:w="0" w:type="dxa"/>
                              <w:tblCellMar>
                                <w:top w:w="0" w:type="dxa"/>
                                <w:left w:w="0" w:type="dxa"/>
                                <w:bottom w:w="0" w:type="dxa"/>
                                <w:right w:w="0" w:type="dxa"/>
                              </w:tblCellMar>
                            </w:tblPr>
                            <w:tblGrid>
                              <w:gridCol w:w="38"/>
                              <w:gridCol w:w="165"/>
                              <w:gridCol w:w="28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39"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 name="Image184" descr=""/>
                                                <pic:cNvPicPr>
                                                  <a:picLocks noChangeAspect="1" noChangeArrowheads="1"/>
                                                </pic:cNvPicPr>
                                              </pic:nvPicPr>
                                              <pic:blipFill>
                                                <a:blip r:embed="rId185"/>
                                                <a:stretch>
                                                  <a:fillRect/>
                                                </a:stretch>
                                              </pic:blipFill>
                                              <pic:spPr bwMode="auto">
                                                <a:xfrm>
                                                  <a:off x="0" y="0"/>
                                                  <a:ext cx="104775" cy="85725"/>
                                                </a:xfrm>
                                                <a:prstGeom prst="rect">
                                                  <a:avLst/>
                                                </a:prstGeom>
                                              </pic:spPr>
                                            </pic:pic>
                                          </a:graphicData>
                                        </a:graphic>
                                      </wp:inline>
                                    </w:drawing>
                                  </w:r>
                                </w:p>
                              </w:tc>
                              <w:tc>
                                <w:tcPr>
                                  <w:tcW w:w="287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Below-market severance coverage</w:t>
                                  </w:r>
                                </w:p>
                              </w:tc>
                            </w:tr>
                          </w:tbl>
                          <w:tbl>
                            <w:tblPr>
                              <w:tblW w:w="9208" w:type="dxa"/>
                              <w:jc w:val="left"/>
                              <w:tblInd w:w="0" w:type="dxa"/>
                              <w:tblCellMar>
                                <w:top w:w="0" w:type="dxa"/>
                                <w:left w:w="0" w:type="dxa"/>
                                <w:bottom w:w="0" w:type="dxa"/>
                                <w:right w:w="0" w:type="dxa"/>
                              </w:tblCellMar>
                            </w:tblPr>
                            <w:tblGrid>
                              <w:gridCol w:w="38"/>
                              <w:gridCol w:w="165"/>
                              <w:gridCol w:w="900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0"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85" descr=""/>
                                                <pic:cNvPicPr>
                                                  <a:picLocks noChangeAspect="1" noChangeArrowheads="1"/>
                                                </pic:cNvPicPr>
                                              </pic:nvPicPr>
                                              <pic:blipFill>
                                                <a:blip r:embed="rId186"/>
                                                <a:stretch>
                                                  <a:fillRect/>
                                                </a:stretch>
                                              </pic:blipFill>
                                              <pic:spPr bwMode="auto">
                                                <a:xfrm>
                                                  <a:off x="0" y="0"/>
                                                  <a:ext cx="104775" cy="85725"/>
                                                </a:xfrm>
                                                <a:prstGeom prst="rect">
                                                  <a:avLst/>
                                                </a:prstGeom>
                                              </pic:spPr>
                                            </pic:pic>
                                          </a:graphicData>
                                        </a:graphic>
                                      </wp:inline>
                                    </w:drawing>
                                  </w:r>
                                </w:p>
                              </w:tc>
                              <w:tc>
                                <w:tcPr>
                                  <w:tcW w:w="900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Shareholder engagement includes governance committee Chair, additional Board members and management</w:t>
                                  </w:r>
                                </w:p>
                              </w:tc>
                            </w:tr>
                          </w:tbl>
                          <w:tbl>
                            <w:tblPr>
                              <w:tblW w:w="3703" w:type="dxa"/>
                              <w:jc w:val="left"/>
                              <w:tblInd w:w="0" w:type="dxa"/>
                              <w:tblCellMar>
                                <w:top w:w="0" w:type="dxa"/>
                                <w:left w:w="0" w:type="dxa"/>
                                <w:bottom w:w="0" w:type="dxa"/>
                                <w:right w:w="0" w:type="dxa"/>
                              </w:tblCellMar>
                            </w:tblPr>
                            <w:tblGrid>
                              <w:gridCol w:w="38"/>
                              <w:gridCol w:w="165"/>
                              <w:gridCol w:w="350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1"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Image186" descr=""/>
                                                <pic:cNvPicPr>
                                                  <a:picLocks noChangeAspect="1" noChangeArrowheads="1"/>
                                                </pic:cNvPicPr>
                                              </pic:nvPicPr>
                                              <pic:blipFill>
                                                <a:blip r:embed="rId187"/>
                                                <a:stretch>
                                                  <a:fillRect/>
                                                </a:stretch>
                                              </pic:blipFill>
                                              <pic:spPr bwMode="auto">
                                                <a:xfrm>
                                                  <a:off x="0" y="0"/>
                                                  <a:ext cx="104775" cy="85725"/>
                                                </a:xfrm>
                                                <a:prstGeom prst="rect">
                                                  <a:avLst/>
                                                </a:prstGeom>
                                              </pic:spPr>
                                            </pic:pic>
                                          </a:graphicData>
                                        </a:graphic>
                                      </wp:inline>
                                    </w:drawing>
                                  </w:r>
                                </w:p>
                              </w:tc>
                              <w:tc>
                                <w:tcPr>
                                  <w:tcW w:w="350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Regular review of compensation programs</w:t>
                                  </w:r>
                                </w:p>
                              </w:tc>
                            </w:tr>
                          </w:tbl>
                          <w:tbl>
                            <w:tblPr>
                              <w:tblW w:w="4168" w:type="dxa"/>
                              <w:jc w:val="left"/>
                              <w:tblInd w:w="0" w:type="dxa"/>
                              <w:tblCellMar>
                                <w:top w:w="0" w:type="dxa"/>
                                <w:left w:w="0" w:type="dxa"/>
                                <w:bottom w:w="0" w:type="dxa"/>
                                <w:right w:w="0" w:type="dxa"/>
                              </w:tblCellMar>
                            </w:tblPr>
                            <w:tblGrid>
                              <w:gridCol w:w="38"/>
                              <w:gridCol w:w="165"/>
                              <w:gridCol w:w="3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2"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87" descr=""/>
                                                <pic:cNvPicPr>
                                                  <a:picLocks noChangeAspect="1" noChangeArrowheads="1"/>
                                                </pic:cNvPicPr>
                                              </pic:nvPicPr>
                                              <pic:blipFill>
                                                <a:blip r:embed="rId188"/>
                                                <a:stretch>
                                                  <a:fillRect/>
                                                </a:stretch>
                                              </pic:blipFill>
                                              <pic:spPr bwMode="auto">
                                                <a:xfrm>
                                                  <a:off x="0" y="0"/>
                                                  <a:ext cx="104775" cy="85725"/>
                                                </a:xfrm>
                                                <a:prstGeom prst="rect">
                                                  <a:avLst/>
                                                </a:prstGeom>
                                              </pic:spPr>
                                            </pic:pic>
                                          </a:graphicData>
                                        </a:graphic>
                                      </wp:inline>
                                    </w:drawing>
                                  </w:r>
                                </w:p>
                              </w:tc>
                              <w:tc>
                                <w:tcPr>
                                  <w:tcW w:w="396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Utilize an independent compensation consultant</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0.4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i w:val="false"/>
                          <w:caps w:val="false"/>
                          <w:smallCaps w:val="false"/>
                          <w:color w:val="EE0027"/>
                          <w:sz w:val="20"/>
                        </w:rPr>
                      </w:pPr>
                      <w:bookmarkStart w:id="80" w:name="a045"/>
                      <w:bookmarkEnd w:id="80"/>
                      <w:r>
                        <w:rPr>
                          <w:rFonts w:ascii="Arial;Helvetica;Sans-Serif" w:hAnsi="Arial;Helvetica;Sans-Serif"/>
                          <w:b/>
                          <w:i w:val="false"/>
                          <w:caps w:val="false"/>
                          <w:smallCaps w:val="false"/>
                          <w:color w:val="EE0027"/>
                          <w:sz w:val="20"/>
                        </w:rPr>
                        <w:t>Forward-Leaning Compensation Practices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FLEETCOR has embraced best practices in our compensation programs, which strongly support our pay-for-performance philosophy and culture:</w:t>
                      </w:r>
                    </w:p>
                    <w:p>
                      <w:pPr>
                        <w:pStyle w:val="TextBody"/>
                        <w:spacing w:before="0" w:after="0"/>
                        <w:rPr>
                          <w:caps w:val="false"/>
                          <w:smallCaps w:val="false"/>
                          <w:color w:val="58595B"/>
                        </w:rPr>
                      </w:pPr>
                      <w:r>
                        <w:rPr>
                          <w:caps w:val="false"/>
                          <w:smallCaps w:val="false"/>
                          <w:color w:val="58595B"/>
                        </w:rPr>
                        <w:t> </w:t>
                      </w:r>
                    </w:p>
                    <w:tbl>
                      <w:tblPr>
                        <w:tblW w:w="7048" w:type="dxa"/>
                        <w:jc w:val="left"/>
                        <w:tblInd w:w="0" w:type="dxa"/>
                        <w:tblCellMar>
                          <w:top w:w="0" w:type="dxa"/>
                          <w:left w:w="0" w:type="dxa"/>
                          <w:bottom w:w="0" w:type="dxa"/>
                          <w:right w:w="0" w:type="dxa"/>
                        </w:tblCellMar>
                      </w:tblPr>
                      <w:tblGrid>
                        <w:gridCol w:w="38"/>
                        <w:gridCol w:w="165"/>
                        <w:gridCol w:w="68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3" name="Image1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 name="Image171" descr=""/>
                                          <pic:cNvPicPr>
                                            <a:picLocks noChangeAspect="1" noChangeArrowheads="1"/>
                                          </pic:cNvPicPr>
                                        </pic:nvPicPr>
                                        <pic:blipFill>
                                          <a:blip r:embed="rId172"/>
                                          <a:stretch>
                                            <a:fillRect/>
                                          </a:stretch>
                                        </pic:blipFill>
                                        <pic:spPr bwMode="auto">
                                          <a:xfrm>
                                            <a:off x="0" y="0"/>
                                            <a:ext cx="104775" cy="85725"/>
                                          </a:xfrm>
                                          <a:prstGeom prst="rect">
                                            <a:avLst/>
                                          </a:prstGeom>
                                        </pic:spPr>
                                      </pic:pic>
                                    </a:graphicData>
                                  </a:graphic>
                                </wp:inline>
                              </w:drawing>
                            </w:r>
                          </w:p>
                        </w:tc>
                        <w:tc>
                          <w:tcPr>
                            <w:tcW w:w="68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NEO compensation aligned with Company and, as applicable, division performance</w:t>
                            </w:r>
                          </w:p>
                        </w:tc>
                      </w:tr>
                    </w:tbl>
                    <w:tbl>
                      <w:tblPr>
                        <w:tblW w:w="4558" w:type="dxa"/>
                        <w:jc w:val="left"/>
                        <w:tblInd w:w="0" w:type="dxa"/>
                        <w:tblCellMar>
                          <w:top w:w="0" w:type="dxa"/>
                          <w:left w:w="0" w:type="dxa"/>
                          <w:bottom w:w="0" w:type="dxa"/>
                          <w:right w:w="0" w:type="dxa"/>
                        </w:tblCellMar>
                      </w:tblPr>
                      <w:tblGrid>
                        <w:gridCol w:w="38"/>
                        <w:gridCol w:w="165"/>
                        <w:gridCol w:w="43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4" name="Image1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72" descr=""/>
                                          <pic:cNvPicPr>
                                            <a:picLocks noChangeAspect="1" noChangeArrowheads="1"/>
                                          </pic:cNvPicPr>
                                        </pic:nvPicPr>
                                        <pic:blipFill>
                                          <a:blip r:embed="rId173"/>
                                          <a:stretch>
                                            <a:fillRect/>
                                          </a:stretch>
                                        </pic:blipFill>
                                        <pic:spPr bwMode="auto">
                                          <a:xfrm>
                                            <a:off x="0" y="0"/>
                                            <a:ext cx="104775" cy="85725"/>
                                          </a:xfrm>
                                          <a:prstGeom prst="rect">
                                            <a:avLst/>
                                          </a:prstGeom>
                                        </pic:spPr>
                                      </pic:pic>
                                    </a:graphicData>
                                  </a:graphic>
                                </wp:inline>
                              </w:drawing>
                            </w:r>
                          </w:p>
                        </w:tc>
                        <w:tc>
                          <w:tcPr>
                            <w:tcW w:w="43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Base salary levels generally at or below peer median</w:t>
                            </w:r>
                          </w:p>
                        </w:tc>
                      </w:tr>
                    </w:tbl>
                    <w:tbl>
                      <w:tblPr>
                        <w:tblW w:w="5518" w:type="dxa"/>
                        <w:jc w:val="left"/>
                        <w:tblInd w:w="0" w:type="dxa"/>
                        <w:tblCellMar>
                          <w:top w:w="0" w:type="dxa"/>
                          <w:left w:w="0" w:type="dxa"/>
                          <w:bottom w:w="0" w:type="dxa"/>
                          <w:right w:w="0" w:type="dxa"/>
                        </w:tblCellMar>
                      </w:tblPr>
                      <w:tblGrid>
                        <w:gridCol w:w="38"/>
                        <w:gridCol w:w="165"/>
                        <w:gridCol w:w="53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5" name="Image1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Image173" descr=""/>
                                          <pic:cNvPicPr>
                                            <a:picLocks noChangeAspect="1" noChangeArrowheads="1"/>
                                          </pic:cNvPicPr>
                                        </pic:nvPicPr>
                                        <pic:blipFill>
                                          <a:blip r:embed="rId174"/>
                                          <a:stretch>
                                            <a:fillRect/>
                                          </a:stretch>
                                        </pic:blipFill>
                                        <pic:spPr bwMode="auto">
                                          <a:xfrm>
                                            <a:off x="0" y="0"/>
                                            <a:ext cx="104775" cy="85725"/>
                                          </a:xfrm>
                                          <a:prstGeom prst="rect">
                                            <a:avLst/>
                                          </a:prstGeom>
                                        </pic:spPr>
                                      </pic:pic>
                                    </a:graphicData>
                                  </a:graphic>
                                </wp:inline>
                              </w:drawing>
                            </w:r>
                          </w:p>
                        </w:tc>
                        <w:tc>
                          <w:tcPr>
                            <w:tcW w:w="53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Target annual cash incentives generally at or below peer median</w:t>
                            </w:r>
                          </w:p>
                        </w:tc>
                      </w:tr>
                    </w:tbl>
                    <w:tbl>
                      <w:tblPr>
                        <w:tblW w:w="8008" w:type="dxa"/>
                        <w:jc w:val="left"/>
                        <w:tblInd w:w="0" w:type="dxa"/>
                        <w:tblCellMar>
                          <w:top w:w="0" w:type="dxa"/>
                          <w:left w:w="0" w:type="dxa"/>
                          <w:bottom w:w="0" w:type="dxa"/>
                          <w:right w:w="0" w:type="dxa"/>
                        </w:tblCellMar>
                      </w:tblPr>
                      <w:tblGrid>
                        <w:gridCol w:w="38"/>
                        <w:gridCol w:w="165"/>
                        <w:gridCol w:w="780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6" name="Image1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74" descr=""/>
                                          <pic:cNvPicPr>
                                            <a:picLocks noChangeAspect="1" noChangeArrowheads="1"/>
                                          </pic:cNvPicPr>
                                        </pic:nvPicPr>
                                        <pic:blipFill>
                                          <a:blip r:embed="rId175"/>
                                          <a:stretch>
                                            <a:fillRect/>
                                          </a:stretch>
                                        </pic:blipFill>
                                        <pic:spPr bwMode="auto">
                                          <a:xfrm>
                                            <a:off x="0" y="0"/>
                                            <a:ext cx="104775" cy="85725"/>
                                          </a:xfrm>
                                          <a:prstGeom prst="rect">
                                            <a:avLst/>
                                          </a:prstGeom>
                                        </pic:spPr>
                                      </pic:pic>
                                    </a:graphicData>
                                  </a:graphic>
                                </wp:inline>
                              </w:drawing>
                            </w:r>
                          </w:p>
                        </w:tc>
                        <w:tc>
                          <w:tcPr>
                            <w:tcW w:w="780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Significant portion of NEO compensation generally delivered in the form of equity-based awards</w:t>
                            </w:r>
                          </w:p>
                        </w:tc>
                      </w:tr>
                    </w:tbl>
                    <w:tbl>
                      <w:tblPr>
                        <w:tblW w:w="5848" w:type="dxa"/>
                        <w:jc w:val="left"/>
                        <w:tblInd w:w="0" w:type="dxa"/>
                        <w:tblCellMar>
                          <w:top w:w="0" w:type="dxa"/>
                          <w:left w:w="0" w:type="dxa"/>
                          <w:bottom w:w="0" w:type="dxa"/>
                          <w:right w:w="0" w:type="dxa"/>
                        </w:tblCellMar>
                      </w:tblPr>
                      <w:tblGrid>
                        <w:gridCol w:w="38"/>
                        <w:gridCol w:w="165"/>
                        <w:gridCol w:w="564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7" name="Image1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Image175" descr=""/>
                                          <pic:cNvPicPr>
                                            <a:picLocks noChangeAspect="1" noChangeArrowheads="1"/>
                                          </pic:cNvPicPr>
                                        </pic:nvPicPr>
                                        <pic:blipFill>
                                          <a:blip r:embed="rId176"/>
                                          <a:stretch>
                                            <a:fillRect/>
                                          </a:stretch>
                                        </pic:blipFill>
                                        <pic:spPr bwMode="auto">
                                          <a:xfrm>
                                            <a:off x="0" y="0"/>
                                            <a:ext cx="104775" cy="85725"/>
                                          </a:xfrm>
                                          <a:prstGeom prst="rect">
                                            <a:avLst/>
                                          </a:prstGeom>
                                        </pic:spPr>
                                      </pic:pic>
                                    </a:graphicData>
                                  </a:graphic>
                                </wp:inline>
                              </w:drawing>
                            </w:r>
                          </w:p>
                        </w:tc>
                        <w:tc>
                          <w:tcPr>
                            <w:tcW w:w="56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Different performance metrics for different compensation components</w:t>
                            </w:r>
                          </w:p>
                        </w:tc>
                      </w:tr>
                    </w:tbl>
                    <w:tbl>
                      <w:tblPr>
                        <w:tblW w:w="6778" w:type="dxa"/>
                        <w:jc w:val="left"/>
                        <w:tblInd w:w="0" w:type="dxa"/>
                        <w:tblCellMar>
                          <w:top w:w="0" w:type="dxa"/>
                          <w:left w:w="0" w:type="dxa"/>
                          <w:bottom w:w="0" w:type="dxa"/>
                          <w:right w:w="0" w:type="dxa"/>
                        </w:tblCellMar>
                      </w:tblPr>
                      <w:tblGrid>
                        <w:gridCol w:w="38"/>
                        <w:gridCol w:w="165"/>
                        <w:gridCol w:w="65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8" name="Image1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76" descr=""/>
                                          <pic:cNvPicPr>
                                            <a:picLocks noChangeAspect="1" noChangeArrowheads="1"/>
                                          </pic:cNvPicPr>
                                        </pic:nvPicPr>
                                        <pic:blipFill>
                                          <a:blip r:embed="rId177"/>
                                          <a:stretch>
                                            <a:fillRect/>
                                          </a:stretch>
                                        </pic:blipFill>
                                        <pic:spPr bwMode="auto">
                                          <a:xfrm>
                                            <a:off x="0" y="0"/>
                                            <a:ext cx="104775" cy="85725"/>
                                          </a:xfrm>
                                          <a:prstGeom prst="rect">
                                            <a:avLst/>
                                          </a:prstGeom>
                                        </pic:spPr>
                                      </pic:pic>
                                    </a:graphicData>
                                  </a:graphic>
                                </wp:inline>
                              </w:drawing>
                            </w:r>
                          </w:p>
                        </w:tc>
                        <w:tc>
                          <w:tcPr>
                            <w:tcW w:w="65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Incentive payouts tied closely to achieving published guidance where applicable</w:t>
                            </w:r>
                          </w:p>
                        </w:tc>
                      </w:tr>
                    </w:tbl>
                    <w:tbl>
                      <w:tblPr>
                        <w:tblW w:w="3583" w:type="dxa"/>
                        <w:jc w:val="left"/>
                        <w:tblInd w:w="0" w:type="dxa"/>
                        <w:tblCellMar>
                          <w:top w:w="0" w:type="dxa"/>
                          <w:left w:w="0" w:type="dxa"/>
                          <w:bottom w:w="0" w:type="dxa"/>
                          <w:right w:w="0" w:type="dxa"/>
                        </w:tblCellMar>
                      </w:tblPr>
                      <w:tblGrid>
                        <w:gridCol w:w="38"/>
                        <w:gridCol w:w="165"/>
                        <w:gridCol w:w="338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49" name="Image1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Image177" descr=""/>
                                          <pic:cNvPicPr>
                                            <a:picLocks noChangeAspect="1" noChangeArrowheads="1"/>
                                          </pic:cNvPicPr>
                                        </pic:nvPicPr>
                                        <pic:blipFill>
                                          <a:blip r:embed="rId178"/>
                                          <a:stretch>
                                            <a:fillRect/>
                                          </a:stretch>
                                        </pic:blipFill>
                                        <pic:spPr bwMode="auto">
                                          <a:xfrm>
                                            <a:off x="0" y="0"/>
                                            <a:ext cx="104775" cy="85725"/>
                                          </a:xfrm>
                                          <a:prstGeom prst="rect">
                                            <a:avLst/>
                                          </a:prstGeom>
                                        </pic:spPr>
                                      </pic:pic>
                                    </a:graphicData>
                                  </a:graphic>
                                </wp:inline>
                              </w:drawing>
                            </w:r>
                          </w:p>
                        </w:tc>
                        <w:tc>
                          <w:tcPr>
                            <w:tcW w:w="33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Significant stock ownership requirements</w:t>
                            </w:r>
                          </w:p>
                        </w:tc>
                      </w:tr>
                    </w:tbl>
                    <w:tbl>
                      <w:tblPr>
                        <w:tblW w:w="6958" w:type="dxa"/>
                        <w:jc w:val="left"/>
                        <w:tblInd w:w="0" w:type="dxa"/>
                        <w:tblCellMar>
                          <w:top w:w="0" w:type="dxa"/>
                          <w:left w:w="0" w:type="dxa"/>
                          <w:bottom w:w="0" w:type="dxa"/>
                          <w:right w:w="0" w:type="dxa"/>
                        </w:tblCellMar>
                      </w:tblPr>
                      <w:tblGrid>
                        <w:gridCol w:w="38"/>
                        <w:gridCol w:w="165"/>
                        <w:gridCol w:w="675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0" name="Image1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78" descr=""/>
                                          <pic:cNvPicPr>
                                            <a:picLocks noChangeAspect="1" noChangeArrowheads="1"/>
                                          </pic:cNvPicPr>
                                        </pic:nvPicPr>
                                        <pic:blipFill>
                                          <a:blip r:embed="rId179"/>
                                          <a:stretch>
                                            <a:fillRect/>
                                          </a:stretch>
                                        </pic:blipFill>
                                        <pic:spPr bwMode="auto">
                                          <a:xfrm>
                                            <a:off x="0" y="0"/>
                                            <a:ext cx="104775" cy="85725"/>
                                          </a:xfrm>
                                          <a:prstGeom prst="rect">
                                            <a:avLst/>
                                          </a:prstGeom>
                                        </pic:spPr>
                                      </pic:pic>
                                    </a:graphicData>
                                  </a:graphic>
                                </wp:inline>
                              </w:drawing>
                            </w:r>
                          </w:p>
                        </w:tc>
                        <w:tc>
                          <w:tcPr>
                            <w:tcW w:w="67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No repricing or cashing out of underwater stock options or stock appreciation rights</w:t>
                            </w:r>
                          </w:p>
                        </w:tc>
                      </w:tr>
                    </w:tbl>
                    <w:tbl>
                      <w:tblPr>
                        <w:tblW w:w="3718" w:type="dxa"/>
                        <w:jc w:val="left"/>
                        <w:tblInd w:w="0" w:type="dxa"/>
                        <w:tblCellMar>
                          <w:top w:w="0" w:type="dxa"/>
                          <w:left w:w="0" w:type="dxa"/>
                          <w:bottom w:w="0" w:type="dxa"/>
                          <w:right w:w="0" w:type="dxa"/>
                        </w:tblCellMar>
                      </w:tblPr>
                      <w:tblGrid>
                        <w:gridCol w:w="38"/>
                        <w:gridCol w:w="165"/>
                        <w:gridCol w:w="351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1" name="Image1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Image179" descr=""/>
                                          <pic:cNvPicPr>
                                            <a:picLocks noChangeAspect="1" noChangeArrowheads="1"/>
                                          </pic:cNvPicPr>
                                        </pic:nvPicPr>
                                        <pic:blipFill>
                                          <a:blip r:embed="rId180"/>
                                          <a:stretch>
                                            <a:fillRect/>
                                          </a:stretch>
                                        </pic:blipFill>
                                        <pic:spPr bwMode="auto">
                                          <a:xfrm>
                                            <a:off x="0" y="0"/>
                                            <a:ext cx="104775" cy="85725"/>
                                          </a:xfrm>
                                          <a:prstGeom prst="rect">
                                            <a:avLst/>
                                          </a:prstGeom>
                                        </pic:spPr>
                                      </pic:pic>
                                    </a:graphicData>
                                  </a:graphic>
                                </wp:inline>
                              </w:drawing>
                            </w:r>
                          </w:p>
                        </w:tc>
                        <w:tc>
                          <w:tcPr>
                            <w:tcW w:w="351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No hedging or pledging of common shares</w:t>
                            </w:r>
                          </w:p>
                        </w:tc>
                      </w:tr>
                    </w:tbl>
                    <w:tbl>
                      <w:tblPr>
                        <w:tblW w:w="2188" w:type="dxa"/>
                        <w:jc w:val="left"/>
                        <w:tblInd w:w="0" w:type="dxa"/>
                        <w:tblCellMar>
                          <w:top w:w="0" w:type="dxa"/>
                          <w:left w:w="0" w:type="dxa"/>
                          <w:bottom w:w="0" w:type="dxa"/>
                          <w:right w:w="0" w:type="dxa"/>
                        </w:tblCellMar>
                      </w:tblPr>
                      <w:tblGrid>
                        <w:gridCol w:w="38"/>
                        <w:gridCol w:w="165"/>
                        <w:gridCol w:w="198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2" name="Image1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80" descr=""/>
                                          <pic:cNvPicPr>
                                            <a:picLocks noChangeAspect="1" noChangeArrowheads="1"/>
                                          </pic:cNvPicPr>
                                        </pic:nvPicPr>
                                        <pic:blipFill>
                                          <a:blip r:embed="rId181"/>
                                          <a:stretch>
                                            <a:fillRect/>
                                          </a:stretch>
                                        </pic:blipFill>
                                        <pic:spPr bwMode="auto">
                                          <a:xfrm>
                                            <a:off x="0" y="0"/>
                                            <a:ext cx="104775" cy="85725"/>
                                          </a:xfrm>
                                          <a:prstGeom prst="rect">
                                            <a:avLst/>
                                          </a:prstGeom>
                                        </pic:spPr>
                                      </pic:pic>
                                    </a:graphicData>
                                  </a:graphic>
                                </wp:inline>
                              </w:drawing>
                            </w:r>
                          </w:p>
                        </w:tc>
                        <w:tc>
                          <w:tcPr>
                            <w:tcW w:w="198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No excise tax gross-ups</w:t>
                            </w:r>
                          </w:p>
                        </w:tc>
                      </w:tr>
                    </w:tbl>
                    <w:tbl>
                      <w:tblPr>
                        <w:tblW w:w="2278" w:type="dxa"/>
                        <w:jc w:val="left"/>
                        <w:tblInd w:w="0" w:type="dxa"/>
                        <w:tblCellMar>
                          <w:top w:w="0" w:type="dxa"/>
                          <w:left w:w="0" w:type="dxa"/>
                          <w:bottom w:w="0" w:type="dxa"/>
                          <w:right w:w="0" w:type="dxa"/>
                        </w:tblCellMar>
                      </w:tblPr>
                      <w:tblGrid>
                        <w:gridCol w:w="38"/>
                        <w:gridCol w:w="165"/>
                        <w:gridCol w:w="20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3" name="Image1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Image181" descr=""/>
                                          <pic:cNvPicPr>
                                            <a:picLocks noChangeAspect="1" noChangeArrowheads="1"/>
                                          </pic:cNvPicPr>
                                        </pic:nvPicPr>
                                        <pic:blipFill>
                                          <a:blip r:embed="rId182"/>
                                          <a:stretch>
                                            <a:fillRect/>
                                          </a:stretch>
                                        </pic:blipFill>
                                        <pic:spPr bwMode="auto">
                                          <a:xfrm>
                                            <a:off x="0" y="0"/>
                                            <a:ext cx="104775" cy="85725"/>
                                          </a:xfrm>
                                          <a:prstGeom prst="rect">
                                            <a:avLst/>
                                          </a:prstGeom>
                                        </pic:spPr>
                                      </pic:pic>
                                    </a:graphicData>
                                  </a:graphic>
                                </wp:inline>
                              </w:drawing>
                            </w:r>
                          </w:p>
                        </w:tc>
                        <w:tc>
                          <w:tcPr>
                            <w:tcW w:w="20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No excessive perquisites</w:t>
                            </w:r>
                          </w:p>
                        </w:tc>
                      </w:tr>
                    </w:tbl>
                    <w:tbl>
                      <w:tblPr>
                        <w:tblW w:w="3628" w:type="dxa"/>
                        <w:jc w:val="left"/>
                        <w:tblInd w:w="0" w:type="dxa"/>
                        <w:tblCellMar>
                          <w:top w:w="0" w:type="dxa"/>
                          <w:left w:w="0" w:type="dxa"/>
                          <w:bottom w:w="0" w:type="dxa"/>
                          <w:right w:w="0" w:type="dxa"/>
                        </w:tblCellMar>
                      </w:tblPr>
                      <w:tblGrid>
                        <w:gridCol w:w="38"/>
                        <w:gridCol w:w="165"/>
                        <w:gridCol w:w="342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4" name="Image1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82" descr=""/>
                                          <pic:cNvPicPr>
                                            <a:picLocks noChangeAspect="1" noChangeArrowheads="1"/>
                                          </pic:cNvPicPr>
                                        </pic:nvPicPr>
                                        <pic:blipFill>
                                          <a:blip r:embed="rId183"/>
                                          <a:stretch>
                                            <a:fillRect/>
                                          </a:stretch>
                                        </pic:blipFill>
                                        <pic:spPr bwMode="auto">
                                          <a:xfrm>
                                            <a:off x="0" y="0"/>
                                            <a:ext cx="104775" cy="85725"/>
                                          </a:xfrm>
                                          <a:prstGeom prst="rect">
                                            <a:avLst/>
                                          </a:prstGeom>
                                        </pic:spPr>
                                      </pic:pic>
                                    </a:graphicData>
                                  </a:graphic>
                                </wp:inline>
                              </w:drawing>
                            </w:r>
                          </w:p>
                        </w:tc>
                        <w:tc>
                          <w:tcPr>
                            <w:tcW w:w="342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Maintain a compensation clawback policy</w:t>
                            </w:r>
                          </w:p>
                        </w:tc>
                      </w:tr>
                    </w:tbl>
                    <w:tbl>
                      <w:tblPr>
                        <w:tblW w:w="3763" w:type="dxa"/>
                        <w:jc w:val="left"/>
                        <w:tblInd w:w="0" w:type="dxa"/>
                        <w:tblCellMar>
                          <w:top w:w="0" w:type="dxa"/>
                          <w:left w:w="0" w:type="dxa"/>
                          <w:bottom w:w="0" w:type="dxa"/>
                          <w:right w:w="0" w:type="dxa"/>
                        </w:tblCellMar>
                      </w:tblPr>
                      <w:tblGrid>
                        <w:gridCol w:w="38"/>
                        <w:gridCol w:w="165"/>
                        <w:gridCol w:w="356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5" name="Image1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Image183" descr=""/>
                                          <pic:cNvPicPr>
                                            <a:picLocks noChangeAspect="1" noChangeArrowheads="1"/>
                                          </pic:cNvPicPr>
                                        </pic:nvPicPr>
                                        <pic:blipFill>
                                          <a:blip r:embed="rId184"/>
                                          <a:stretch>
                                            <a:fillRect/>
                                          </a:stretch>
                                        </pic:blipFill>
                                        <pic:spPr bwMode="auto">
                                          <a:xfrm>
                                            <a:off x="0" y="0"/>
                                            <a:ext cx="104775" cy="85725"/>
                                          </a:xfrm>
                                          <a:prstGeom prst="rect">
                                            <a:avLst/>
                                          </a:prstGeom>
                                        </pic:spPr>
                                      </pic:pic>
                                    </a:graphicData>
                                  </a:graphic>
                                </wp:inline>
                              </w:drawing>
                            </w:r>
                          </w:p>
                        </w:tc>
                        <w:tc>
                          <w:tcPr>
                            <w:tcW w:w="35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Double-trigger change of control provisions</w:t>
                            </w:r>
                          </w:p>
                        </w:tc>
                      </w:tr>
                    </w:tbl>
                    <w:tbl>
                      <w:tblPr>
                        <w:tblW w:w="3073" w:type="dxa"/>
                        <w:jc w:val="left"/>
                        <w:tblInd w:w="0" w:type="dxa"/>
                        <w:tblCellMar>
                          <w:top w:w="0" w:type="dxa"/>
                          <w:left w:w="0" w:type="dxa"/>
                          <w:bottom w:w="0" w:type="dxa"/>
                          <w:right w:w="0" w:type="dxa"/>
                        </w:tblCellMar>
                      </w:tblPr>
                      <w:tblGrid>
                        <w:gridCol w:w="38"/>
                        <w:gridCol w:w="165"/>
                        <w:gridCol w:w="28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6" name="Image1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84" descr=""/>
                                          <pic:cNvPicPr>
                                            <a:picLocks noChangeAspect="1" noChangeArrowheads="1"/>
                                          </pic:cNvPicPr>
                                        </pic:nvPicPr>
                                        <pic:blipFill>
                                          <a:blip r:embed="rId185"/>
                                          <a:stretch>
                                            <a:fillRect/>
                                          </a:stretch>
                                        </pic:blipFill>
                                        <pic:spPr bwMode="auto">
                                          <a:xfrm>
                                            <a:off x="0" y="0"/>
                                            <a:ext cx="104775" cy="85725"/>
                                          </a:xfrm>
                                          <a:prstGeom prst="rect">
                                            <a:avLst/>
                                          </a:prstGeom>
                                        </pic:spPr>
                                      </pic:pic>
                                    </a:graphicData>
                                  </a:graphic>
                                </wp:inline>
                              </w:drawing>
                            </w:r>
                          </w:p>
                        </w:tc>
                        <w:tc>
                          <w:tcPr>
                            <w:tcW w:w="287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Below-market severance coverage</w:t>
                            </w:r>
                          </w:p>
                        </w:tc>
                      </w:tr>
                    </w:tbl>
                    <w:tbl>
                      <w:tblPr>
                        <w:tblW w:w="9208" w:type="dxa"/>
                        <w:jc w:val="left"/>
                        <w:tblInd w:w="0" w:type="dxa"/>
                        <w:tblCellMar>
                          <w:top w:w="0" w:type="dxa"/>
                          <w:left w:w="0" w:type="dxa"/>
                          <w:bottom w:w="0" w:type="dxa"/>
                          <w:right w:w="0" w:type="dxa"/>
                        </w:tblCellMar>
                      </w:tblPr>
                      <w:tblGrid>
                        <w:gridCol w:w="38"/>
                        <w:gridCol w:w="165"/>
                        <w:gridCol w:w="900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7" name="Image1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 name="Image185" descr=""/>
                                          <pic:cNvPicPr>
                                            <a:picLocks noChangeAspect="1" noChangeArrowheads="1"/>
                                          </pic:cNvPicPr>
                                        </pic:nvPicPr>
                                        <pic:blipFill>
                                          <a:blip r:embed="rId186"/>
                                          <a:stretch>
                                            <a:fillRect/>
                                          </a:stretch>
                                        </pic:blipFill>
                                        <pic:spPr bwMode="auto">
                                          <a:xfrm>
                                            <a:off x="0" y="0"/>
                                            <a:ext cx="104775" cy="85725"/>
                                          </a:xfrm>
                                          <a:prstGeom prst="rect">
                                            <a:avLst/>
                                          </a:prstGeom>
                                        </pic:spPr>
                                      </pic:pic>
                                    </a:graphicData>
                                  </a:graphic>
                                </wp:inline>
                              </w:drawing>
                            </w:r>
                          </w:p>
                        </w:tc>
                        <w:tc>
                          <w:tcPr>
                            <w:tcW w:w="900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Shareholder engagement includes governance committee Chair, additional Board members and management</w:t>
                            </w:r>
                          </w:p>
                        </w:tc>
                      </w:tr>
                    </w:tbl>
                    <w:tbl>
                      <w:tblPr>
                        <w:tblW w:w="3703" w:type="dxa"/>
                        <w:jc w:val="left"/>
                        <w:tblInd w:w="0" w:type="dxa"/>
                        <w:tblCellMar>
                          <w:top w:w="0" w:type="dxa"/>
                          <w:left w:w="0" w:type="dxa"/>
                          <w:bottom w:w="0" w:type="dxa"/>
                          <w:right w:w="0" w:type="dxa"/>
                        </w:tblCellMar>
                      </w:tblPr>
                      <w:tblGrid>
                        <w:gridCol w:w="38"/>
                        <w:gridCol w:w="165"/>
                        <w:gridCol w:w="350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8" name="Image1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86" descr=""/>
                                          <pic:cNvPicPr>
                                            <a:picLocks noChangeAspect="1" noChangeArrowheads="1"/>
                                          </pic:cNvPicPr>
                                        </pic:nvPicPr>
                                        <pic:blipFill>
                                          <a:blip r:embed="rId187"/>
                                          <a:stretch>
                                            <a:fillRect/>
                                          </a:stretch>
                                        </pic:blipFill>
                                        <pic:spPr bwMode="auto">
                                          <a:xfrm>
                                            <a:off x="0" y="0"/>
                                            <a:ext cx="104775" cy="85725"/>
                                          </a:xfrm>
                                          <a:prstGeom prst="rect">
                                            <a:avLst/>
                                          </a:prstGeom>
                                        </pic:spPr>
                                      </pic:pic>
                                    </a:graphicData>
                                  </a:graphic>
                                </wp:inline>
                              </w:drawing>
                            </w:r>
                          </w:p>
                        </w:tc>
                        <w:tc>
                          <w:tcPr>
                            <w:tcW w:w="350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Regular review of compensation programs</w:t>
                            </w:r>
                          </w:p>
                        </w:tc>
                      </w:tr>
                    </w:tbl>
                    <w:tbl>
                      <w:tblPr>
                        <w:tblW w:w="4168" w:type="dxa"/>
                        <w:jc w:val="left"/>
                        <w:tblInd w:w="0" w:type="dxa"/>
                        <w:tblCellMar>
                          <w:top w:w="0" w:type="dxa"/>
                          <w:left w:w="0" w:type="dxa"/>
                          <w:bottom w:w="0" w:type="dxa"/>
                          <w:right w:w="0" w:type="dxa"/>
                        </w:tblCellMar>
                      </w:tblPr>
                      <w:tblGrid>
                        <w:gridCol w:w="38"/>
                        <w:gridCol w:w="165"/>
                        <w:gridCol w:w="396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359" name="Image1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Image187" descr=""/>
                                          <pic:cNvPicPr>
                                            <a:picLocks noChangeAspect="1" noChangeArrowheads="1"/>
                                          </pic:cNvPicPr>
                                        </pic:nvPicPr>
                                        <pic:blipFill>
                                          <a:blip r:embed="rId188"/>
                                          <a:stretch>
                                            <a:fillRect/>
                                          </a:stretch>
                                        </pic:blipFill>
                                        <pic:spPr bwMode="auto">
                                          <a:xfrm>
                                            <a:off x="0" y="0"/>
                                            <a:ext cx="104775" cy="85725"/>
                                          </a:xfrm>
                                          <a:prstGeom prst="rect">
                                            <a:avLst/>
                                          </a:prstGeom>
                                        </pic:spPr>
                                      </pic:pic>
                                    </a:graphicData>
                                  </a:graphic>
                                </wp:inline>
                              </w:drawing>
                            </w:r>
                          </w:p>
                        </w:tc>
                        <w:tc>
                          <w:tcPr>
                            <w:tcW w:w="396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Utilize an independent compensation consultant</w:t>
                            </w:r>
                          </w:p>
                        </w:tc>
                      </w:tr>
                    </w:tbl>
                    <w:p>
                      <w:pPr>
                        <w:pStyle w:val="TextBody"/>
                        <w:spacing w:before="0" w:after="283"/>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186">
                <wp:simplePos x="0" y="0"/>
                <wp:positionH relativeFrom="column">
                  <wp:align>left</wp:align>
                </wp:positionH>
                <wp:positionV relativeFrom="line">
                  <wp:posOffset>635</wp:posOffset>
                </wp:positionV>
                <wp:extent cx="3110230" cy="3300730"/>
                <wp:effectExtent l="0" t="0" r="0" b="0"/>
                <wp:wrapSquare wrapText="largest"/>
                <wp:docPr id="360" name="Frame42"/>
                <a:graphic xmlns:a="http://schemas.openxmlformats.org/drawingml/2006/main">
                  <a:graphicData uri="http://schemas.microsoft.com/office/word/2010/wordprocessingShape">
                    <wps:wsp>
                      <wps:cNvSpPr txBox="1"/>
                      <wps:spPr>
                        <a:xfrm>
                          <a:off x="0" y="0"/>
                          <a:ext cx="3110230" cy="330073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Performance Period for Non-CEO Equity Awards. </w:t>
                            </w:r>
                            <w:r>
                              <w:rPr>
                                <w:rFonts w:ascii="Arial;Helvetica;Sans-Serif" w:hAnsi="Arial;Helvetica;Sans-Serif"/>
                                <w:b w:val="false"/>
                                <w:i w:val="false"/>
                                <w:caps w:val="false"/>
                                <w:smallCaps w:val="false"/>
                                <w:color w:val="58595B"/>
                                <w:sz w:val="18"/>
                              </w:rPr>
                              <w:t>We continue to grant performance-based equity compensation awards to our NEOs other than Mr. Clarke that are scored based on performance achievement over one-year performance measurement periods. Our performance-based restricted stock unit awards, to the extent earned, are subject to ratable vesting over a three-year service period, which we believe enhances our ability to retain talented executives.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Disclosure of Performance Targets. </w:t>
                            </w:r>
                            <w:r>
                              <w:rPr>
                                <w:rFonts w:ascii="Arial;Helvetica;Sans-Serif" w:hAnsi="Arial;Helvetica;Sans-Serif"/>
                                <w:b w:val="false"/>
                                <w:i w:val="false"/>
                                <w:caps w:val="false"/>
                                <w:smallCaps w:val="false"/>
                                <w:color w:val="58595B"/>
                                <w:sz w:val="18"/>
                              </w:rPr>
                              <w:t>We continue to believe that the disclosure of certain goal levels for our NEOs’ annual cash incentive and equity awards would cause us competitive harm.</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81" w:name="a044"/>
                            <w:bookmarkEnd w:id="81"/>
                            <w:r>
                              <w:rPr>
                                <w:rFonts w:ascii="Arial;Helvetica;Sans-Serif" w:hAnsi="Arial;Helvetica;Sans-Serif"/>
                                <w:b/>
                                <w:i w:val="false"/>
                                <w:caps w:val="false"/>
                                <w:smallCaps w:val="false"/>
                                <w:color w:val="EE0027"/>
                                <w:sz w:val="20"/>
                              </w:rPr>
                              <w:t>Shareholder Outreach Generally</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and management have taken a long-term view toward shareholder engagement and recognize that solicitation and consideration of shareholder feedback is critical to driving growth and creating shareholder value. As a result, we regularly engage with our shareholders throughout the year in multiple forms — calls and in-person meetings with members of the management team, and shareholder conferences — to encourage ongoing, meaningful dialogue.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9.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Performance Period for Non-CEO Equity Awards. </w:t>
                      </w:r>
                      <w:r>
                        <w:rPr>
                          <w:rFonts w:ascii="Arial;Helvetica;Sans-Serif" w:hAnsi="Arial;Helvetica;Sans-Serif"/>
                          <w:b w:val="false"/>
                          <w:i w:val="false"/>
                          <w:caps w:val="false"/>
                          <w:smallCaps w:val="false"/>
                          <w:color w:val="58595B"/>
                          <w:sz w:val="18"/>
                        </w:rPr>
                        <w:t>We continue to grant performance-based equity compensation awards to our NEOs other than Mr. Clarke that are scored based on performance achievement over one-year performance measurement periods. Our performance-based restricted stock unit awards, to the extent earned, are subject to ratable vesting over a three-year service period, which we believe enhances our ability to retain talented executives.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Disclosure of Performance Targets. </w:t>
                      </w:r>
                      <w:r>
                        <w:rPr>
                          <w:rFonts w:ascii="Arial;Helvetica;Sans-Serif" w:hAnsi="Arial;Helvetica;Sans-Serif"/>
                          <w:b w:val="false"/>
                          <w:i w:val="false"/>
                          <w:caps w:val="false"/>
                          <w:smallCaps w:val="false"/>
                          <w:color w:val="58595B"/>
                          <w:sz w:val="18"/>
                        </w:rPr>
                        <w:t>We continue to believe that the disclosure of certain goal levels for our NEOs’ annual cash incentive and equity awards would cause us competitive harm.</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82" w:name="a044"/>
                      <w:bookmarkEnd w:id="82"/>
                      <w:r>
                        <w:rPr>
                          <w:rFonts w:ascii="Arial;Helvetica;Sans-Serif" w:hAnsi="Arial;Helvetica;Sans-Serif"/>
                          <w:b/>
                          <w:i w:val="false"/>
                          <w:caps w:val="false"/>
                          <w:smallCaps w:val="false"/>
                          <w:color w:val="EE0027"/>
                          <w:sz w:val="20"/>
                        </w:rPr>
                        <w:t>Shareholder Outreach Generally</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and management have taken a long-term view toward shareholder engagement and recognize that solicitation and consideration of shareholder feedback is critical to driving growth and creating shareholder value. As a result, we regularly engage with our shareholders throughout the year in multiple forms — calls and in-person meetings with members of the management team, and shareholder conferences — to encourage ongoing, meaningful dialogue.</w:t>
                      </w:r>
                    </w:p>
                  </w:txbxContent>
                </v:textbox>
                <w10:wrap type="square" side="right"/>
              </v:rect>
            </w:pict>
          </mc:Fallback>
        </mc:AlternateContent>
      </w:r>
    </w:p>
    <w:p>
      <w:pPr>
        <w:pStyle w:val="TextBody"/>
        <w:rPr/>
      </w:pPr>
      <w:r>
        <w:rPr/>
      </w:r>
    </w:p>
    <w:p>
      <w:pPr>
        <w:pStyle w:val="TextBody"/>
        <w:spacing w:before="0" w:after="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29</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We structure our executive compensation program to incorporate, on an ongoing basis, sound practices that are favored by shareholders, while avoiding practices that we do not believe are in shareholders’ best interests. The table below highlights the compensation practices we embrace and those that we do not follow:</w:t>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6256"/>
        <w:gridCol w:w="3949"/>
      </w:tblGrid>
      <w:tr>
        <w:trPr/>
        <w:tc>
          <w:tcPr>
            <w:tcW w:w="6256" w:type="dxa"/>
            <w:tcBorders/>
            <w:shd w:fill="EE0027" w:val="clear"/>
            <w:vAlign w:val="center"/>
          </w:tcPr>
          <w:p>
            <w:pPr>
              <w:pStyle w:val="TableContents"/>
              <w:spacing w:before="0" w:after="283"/>
              <w:ind w:left="0" w:right="0" w:hanging="288"/>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Things We Do</w:t>
            </w:r>
          </w:p>
        </w:tc>
        <w:tc>
          <w:tcPr>
            <w:tcW w:w="3949"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Things We Do Not Do</w:t>
            </w:r>
          </w:p>
        </w:tc>
      </w:tr>
      <w:tr>
        <w:trPr/>
        <w:tc>
          <w:tcPr>
            <w:tcW w:w="6256" w:type="dxa"/>
            <w:tcBorders/>
            <w:shd w:fill="DFDFDF" w:val="clear"/>
            <w:vAlign w:val="center"/>
          </w:tcPr>
          <w:p>
            <w:pPr>
              <w:pStyle w:val="TableContents"/>
              <w:spacing w:before="0" w:after="0"/>
              <w:ind w:left="720" w:right="0" w:hanging="288"/>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NEO incentive pay is tied to multiple financial performance conditions, and equity-based incentives are denominated in common shares</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Significant portion of NEO pay is tied to performance objectives that align with our business strategy</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Annual equity run rate and overhang are consistent with typical practices among similarly situated companies</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All change in control protections are “double-trigger”</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NEO incentives are tied to Company-wide initiatives and/or division objectives within such NEOs’ control</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Severance benefit levels for executives are well below general market practices</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caps w:val="false"/>
                <w:smallCaps w:val="false"/>
                <w:color w:val="58595B"/>
              </w:rPr>
            </w:pPr>
            <w:r>
              <w:rPr>
                <w:caps w:val="false"/>
                <w:smallCaps w:val="false"/>
                <w:color w:val="58595B"/>
              </w:rPr>
              <w:t>√   </w:t>
            </w:r>
            <w:r>
              <w:rPr>
                <w:rFonts w:ascii="Arial;Helvetica;Sans-Serif" w:hAnsi="Arial;Helvetica;Sans-Serif"/>
                <w:b w:val="false"/>
                <w:i w:val="false"/>
                <w:caps w:val="false"/>
                <w:smallCaps w:val="false"/>
                <w:color w:val="58595B"/>
                <w:sz w:val="18"/>
              </w:rPr>
              <w:t>We monitor and build risk-mitigation features into our compensation programs</w:t>
            </w:r>
          </w:p>
          <w:p>
            <w:pPr>
              <w:pStyle w:val="TableContents"/>
              <w:spacing w:before="0" w:after="0"/>
              <w:ind w:left="720" w:right="0" w:hanging="288"/>
              <w:rPr>
                <w:caps w:val="false"/>
                <w:smallCaps w:val="false"/>
                <w:color w:val="58595B"/>
              </w:rPr>
            </w:pPr>
            <w:r>
              <w:rPr>
                <w:caps w:val="false"/>
                <w:smallCaps w:val="false"/>
                <w:color w:val="58595B"/>
              </w:rPr>
              <w:t> </w:t>
            </w:r>
          </w:p>
        </w:tc>
        <w:tc>
          <w:tcPr>
            <w:tcW w:w="3949" w:type="dxa"/>
            <w:tcBorders/>
            <w:shd w:fill="DFDFDF" w:val="clear"/>
            <w:vAlign w:val="center"/>
          </w:tcPr>
          <w:p>
            <w:pPr>
              <w:pStyle w:val="TableContents"/>
              <w:spacing w:before="0" w:after="0"/>
              <w:ind w:left="720" w:right="0" w:hanging="288"/>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X   </w:t>
            </w:r>
            <w:r>
              <w:rPr>
                <w:rFonts w:ascii="Arial;Helvetica;Sans-Serif" w:hAnsi="Arial;Helvetica;Sans-Serif"/>
                <w:b w:val="false"/>
                <w:i w:val="false"/>
                <w:caps w:val="false"/>
                <w:smallCaps w:val="false"/>
                <w:color w:val="58595B"/>
                <w:sz w:val="18"/>
              </w:rPr>
              <w:t>Directors and executives are prohibited from hedging or pledging common shares</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X   </w:t>
            </w:r>
            <w:r>
              <w:rPr>
                <w:rFonts w:ascii="Arial;Helvetica;Sans-Serif" w:hAnsi="Arial;Helvetica;Sans-Serif"/>
                <w:b w:val="false"/>
                <w:i w:val="false"/>
                <w:caps w:val="false"/>
                <w:smallCaps w:val="false"/>
                <w:color w:val="58595B"/>
                <w:sz w:val="18"/>
              </w:rPr>
              <w:t>No repricing or cashing-out of underwater stock options or stock appreciation rights</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X   </w:t>
            </w:r>
            <w:r>
              <w:rPr>
                <w:rFonts w:ascii="Arial;Helvetica;Sans-Serif" w:hAnsi="Arial;Helvetica;Sans-Serif"/>
                <w:b w:val="false"/>
                <w:i w:val="false"/>
                <w:caps w:val="false"/>
                <w:smallCaps w:val="false"/>
                <w:color w:val="58595B"/>
                <w:sz w:val="18"/>
              </w:rPr>
              <w:t>No excise tax gross-ups</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X   </w:t>
            </w:r>
            <w:r>
              <w:rPr>
                <w:rFonts w:ascii="Arial;Helvetica;Sans-Serif" w:hAnsi="Arial;Helvetica;Sans-Serif"/>
                <w:b w:val="false"/>
                <w:i w:val="false"/>
                <w:caps w:val="false"/>
                <w:smallCaps w:val="false"/>
                <w:color w:val="58595B"/>
                <w:sz w:val="18"/>
              </w:rPr>
              <w:t>No current payment of dividends on unvested equity awards</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X   </w:t>
            </w:r>
            <w:r>
              <w:rPr>
                <w:rFonts w:ascii="Arial;Helvetica;Sans-Serif" w:hAnsi="Arial;Helvetica;Sans-Serif"/>
                <w:b w:val="false"/>
                <w:i w:val="false"/>
                <w:caps w:val="false"/>
                <w:smallCaps w:val="false"/>
                <w:color w:val="58595B"/>
                <w:sz w:val="18"/>
              </w:rPr>
              <w:t>No excessive perquisites</w:t>
            </w:r>
          </w:p>
          <w:p>
            <w:pPr>
              <w:pStyle w:val="TableContents"/>
              <w:spacing w:before="0" w:after="0"/>
              <w:ind w:left="720" w:right="0" w:hanging="288"/>
              <w:rPr>
                <w:caps w:val="false"/>
                <w:smallCaps w:val="false"/>
                <w:color w:val="58595B"/>
              </w:rPr>
            </w:pPr>
            <w:r>
              <w:rPr>
                <w:caps w:val="false"/>
                <w:smallCaps w:val="false"/>
                <w:color w:val="58595B"/>
              </w:rPr>
              <w:t> </w:t>
            </w:r>
          </w:p>
          <w:p>
            <w:pPr>
              <w:pStyle w:val="TableContents"/>
              <w:spacing w:before="0" w:after="0"/>
              <w:ind w:left="720" w:right="0" w:hanging="288"/>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X   </w:t>
            </w:r>
            <w:r>
              <w:rPr>
                <w:rFonts w:ascii="Arial;Helvetica;Sans-Serif" w:hAnsi="Arial;Helvetica;Sans-Serif"/>
                <w:b w:val="false"/>
                <w:i w:val="false"/>
                <w:caps w:val="false"/>
                <w:smallCaps w:val="false"/>
                <w:color w:val="58595B"/>
                <w:sz w:val="18"/>
              </w:rPr>
              <w:t>No “single trigger” change in control provisions</w:t>
            </w:r>
          </w:p>
          <w:p>
            <w:pPr>
              <w:pStyle w:val="TableContents"/>
              <w:spacing w:before="0" w:after="0"/>
              <w:ind w:left="720" w:right="0" w:hanging="288"/>
              <w:rPr>
                <w:caps w:val="false"/>
                <w:smallCaps w:val="false"/>
                <w:color w:val="58595B"/>
              </w:rPr>
            </w:pPr>
            <w:r>
              <w:rPr>
                <w:caps w:val="false"/>
                <w:smallCaps w:val="false"/>
                <w:color w:val="58595B"/>
              </w:rPr>
              <w:t> </w:t>
            </w:r>
          </w:p>
        </w:tc>
      </w:tr>
    </w:tbl>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EE0027"/>
          <w:sz w:val="20"/>
        </w:rPr>
      </w:pPr>
      <w:bookmarkStart w:id="83" w:name="a046"/>
      <w:bookmarkEnd w:id="83"/>
      <w:r>
        <w:rPr>
          <w:rFonts w:ascii="Arial;Helvetica;Sans-Serif" w:hAnsi="Arial;Helvetica;Sans-Serif"/>
          <w:b/>
          <w:i w:val="false"/>
          <w:caps w:val="false"/>
          <w:smallCaps w:val="false"/>
          <w:color w:val="EE0027"/>
          <w:sz w:val="20"/>
        </w:rPr>
        <w:t>Components of Compensation and Target Direct Compensation Mix</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The following table sets forth the key elements of our 2022 NEO compensation programs:</w:t>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1359"/>
        <w:gridCol w:w="4299"/>
        <w:gridCol w:w="4547"/>
      </w:tblGrid>
      <w:tr>
        <w:trPr/>
        <w:tc>
          <w:tcPr>
            <w:tcW w:w="1359"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What We Pay</w:t>
            </w:r>
          </w:p>
        </w:tc>
        <w:tc>
          <w:tcPr>
            <w:tcW w:w="4299"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Why We Pay It</w:t>
            </w:r>
          </w:p>
        </w:tc>
        <w:tc>
          <w:tcPr>
            <w:tcW w:w="4547"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Key Features</w:t>
            </w:r>
          </w:p>
        </w:tc>
      </w:tr>
      <w:tr>
        <w:trPr/>
        <w:tc>
          <w:tcPr>
            <w:tcW w:w="1359"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20"/>
              </w:rPr>
            </w:pPr>
            <w:r>
              <w:rPr>
                <w:rFonts w:ascii="Arial;Helvetica;Sans-Serif" w:hAnsi="Arial;Helvetica;Sans-Serif"/>
                <w:b/>
                <w:i w:val="false"/>
                <w:caps w:val="false"/>
                <w:smallCaps w:val="false"/>
                <w:color w:val="231F20"/>
                <w:sz w:val="20"/>
              </w:rPr>
              <w:t>Base Salary</w:t>
            </w:r>
          </w:p>
        </w:tc>
        <w:tc>
          <w:tcPr>
            <w:tcW w:w="4299"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Attract and retain high-performing executives by providing a secure and appropriate level of base pay</w:t>
            </w:r>
          </w:p>
        </w:tc>
        <w:tc>
          <w:tcPr>
            <w:tcW w:w="4547"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Established after consideration of peer practices and internal parity; reviewed annually and subject to adjustment</w:t>
            </w:r>
          </w:p>
        </w:tc>
      </w:tr>
      <w:tr>
        <w:trPr/>
        <w:tc>
          <w:tcPr>
            <w:tcW w:w="1359"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20"/>
              </w:rPr>
            </w:pPr>
            <w:r>
              <w:rPr>
                <w:rFonts w:ascii="Arial;Helvetica;Sans-Serif" w:hAnsi="Arial;Helvetica;Sans-Serif"/>
                <w:b/>
                <w:i w:val="false"/>
                <w:caps w:val="false"/>
                <w:smallCaps w:val="false"/>
                <w:color w:val="231F20"/>
                <w:sz w:val="20"/>
              </w:rPr>
              <w:t>Annual Cash Incentive</w:t>
            </w:r>
          </w:p>
        </w:tc>
        <w:tc>
          <w:tcPr>
            <w:tcW w:w="4299"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Encourage and reward accomplishment of annual operating plan and individual objectives</w:t>
            </w:r>
          </w:p>
        </w:tc>
        <w:tc>
          <w:tcPr>
            <w:tcW w:w="4547"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Generally only earned if we meet performance goals tied to our operating budget and strategic initiatives</w:t>
            </w:r>
          </w:p>
          <w:p>
            <w:pPr>
              <w:pStyle w:val="TableContents"/>
              <w:spacing w:before="0" w:after="0"/>
              <w:rPr>
                <w:caps w:val="false"/>
                <w:smallCaps w:val="false"/>
                <w:color w:val="58595B"/>
              </w:rPr>
            </w:pPr>
            <w:r>
              <w:rPr>
                <w:caps w:val="false"/>
                <w:smallCaps w:val="false"/>
                <w:color w:val="58595B"/>
              </w:rPr>
              <w:t> </w:t>
            </w:r>
          </w:p>
        </w:tc>
      </w:tr>
    </w:tbl>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30</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1606"/>
        <w:gridCol w:w="3469"/>
        <w:gridCol w:w="5130"/>
      </w:tblGrid>
      <w:tr>
        <w:trPr/>
        <w:tc>
          <w:tcPr>
            <w:tcW w:w="1606"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What We Pay</w:t>
            </w:r>
          </w:p>
        </w:tc>
        <w:tc>
          <w:tcPr>
            <w:tcW w:w="3469"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Why We Pay It</w:t>
            </w:r>
          </w:p>
        </w:tc>
        <w:tc>
          <w:tcPr>
            <w:tcW w:w="5130" w:type="dxa"/>
            <w:tcBorders/>
            <w:shd w:fill="EE0027" w:val="clear"/>
            <w:vAlign w:val="center"/>
          </w:tcPr>
          <w:p>
            <w:pPr>
              <w:pStyle w:val="TableContents"/>
              <w:spacing w:before="0" w:after="0"/>
              <w:ind w:left="360" w:right="0" w:hanging="36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Key Features</w:t>
            </w:r>
          </w:p>
        </w:tc>
      </w:tr>
      <w:tr>
        <w:trPr/>
        <w:tc>
          <w:tcPr>
            <w:tcW w:w="1606"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Equity-Based Awards</w:t>
            </w:r>
          </w:p>
        </w:tc>
        <w:tc>
          <w:tcPr>
            <w:tcW w:w="3469"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Motivate performance and align a significant portion of NEO compensation with our ongoing success and with shareholder returns</w:t>
            </w:r>
          </w:p>
        </w:tc>
        <w:tc>
          <w:tcPr>
            <w:tcW w:w="5130" w:type="dxa"/>
            <w:tcBorders/>
            <w:shd w:fill="auto" w:val="clear"/>
            <w:vAlign w:val="center"/>
          </w:tcPr>
          <w:p>
            <w:pPr>
              <w:pStyle w:val="TableContents"/>
              <w:spacing w:before="0" w:after="0"/>
              <w:ind w:left="360" w:right="0" w:hanging="360"/>
              <w:jc w:val="left"/>
              <w:rPr>
                <w:caps w:val="false"/>
                <w:smallCaps w:val="false"/>
              </w:rPr>
            </w:pPr>
            <w:r>
              <w:rPr>
                <w:caps w:val="false"/>
                <w:smallCaps w:val="false"/>
                <w:color w:val="EE0027"/>
              </w:rPr>
              <w:t> </w:t>
            </w:r>
            <w:r>
              <w:rPr>
                <w:caps w:val="false"/>
                <w:smallCaps w:val="false"/>
                <w:color w:val="EE0027"/>
              </w:rPr>
              <w:drawing>
                <wp:inline distT="0" distB="0" distL="0" distR="0">
                  <wp:extent cx="104775" cy="85725"/>
                  <wp:effectExtent l="0" t="0" r="0" b="0"/>
                  <wp:docPr id="361" name="Image1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Image188" descr=""/>
                          <pic:cNvPicPr>
                            <a:picLocks noChangeAspect="1" noChangeArrowheads="1"/>
                          </pic:cNvPicPr>
                        </pic:nvPicPr>
                        <pic:blipFill>
                          <a:blip r:embed="rId189"/>
                          <a:stretch>
                            <a:fillRect/>
                          </a:stretch>
                        </pic:blipFill>
                        <pic:spPr bwMode="auto">
                          <a:xfrm>
                            <a:off x="0" y="0"/>
                            <a:ext cx="104775" cy="85725"/>
                          </a:xfrm>
                          <a:prstGeom prst="rect">
                            <a:avLst/>
                          </a:prstGeom>
                        </pic:spPr>
                      </pic:pic>
                    </a:graphicData>
                  </a:graphic>
                </wp:inline>
              </w:drawing>
            </w:r>
            <w:r>
              <w:rPr>
                <w:caps w:val="false"/>
                <w:smallCaps w:val="false"/>
                <w:color w:val="EE0027"/>
              </w:rPr>
              <w:t>   </w:t>
            </w:r>
            <w:r>
              <w:rPr>
                <w:rFonts w:ascii="Arial;Helvetica;Sans-Serif" w:hAnsi="Arial;Helvetica;Sans-Serif"/>
                <w:b w:val="false"/>
                <w:i w:val="false"/>
                <w:caps w:val="false"/>
                <w:smallCaps w:val="false"/>
                <w:color w:val="58595B"/>
                <w:sz w:val="18"/>
              </w:rPr>
              <w:t>NEOs’ equity awards granted in Performance Shares, performance-based restricted stock units (“Performance-Based RSUs”) and stock options</w:t>
            </w:r>
            <w:r>
              <w:rPr>
                <w:rFonts w:ascii="Arial;Helvetica;Sans-Serif" w:hAnsi="Arial;Helvetica;Sans-Serif"/>
                <w:b w:val="false"/>
                <w:i w:val="false"/>
                <w:caps w:val="false"/>
                <w:smallCaps w:val="false"/>
                <w:sz w:val="20"/>
              </w:rPr>
              <w:t> </w:t>
            </w:r>
          </w:p>
          <w:p>
            <w:pPr>
              <w:pStyle w:val="TableContents"/>
              <w:spacing w:before="0" w:after="0"/>
              <w:ind w:left="360" w:right="0" w:hanging="360"/>
              <w:jc w:val="left"/>
              <w:rPr>
                <w:caps w:val="false"/>
                <w:smallCaps w:val="false"/>
              </w:rPr>
            </w:pPr>
            <w:r>
              <w:rPr>
                <w:caps w:val="false"/>
                <w:smallCaps w:val="false"/>
                <w:color w:val="EE0027"/>
              </w:rPr>
              <w:t> </w:t>
            </w:r>
            <w:r>
              <w:rPr>
                <w:caps w:val="false"/>
                <w:smallCaps w:val="false"/>
              </w:rPr>
              <w:drawing>
                <wp:inline distT="0" distB="0" distL="0" distR="0">
                  <wp:extent cx="104775" cy="85725"/>
                  <wp:effectExtent l="0" t="0" r="0" b="0"/>
                  <wp:docPr id="362" name="Image1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89" descr=""/>
                          <pic:cNvPicPr>
                            <a:picLocks noChangeAspect="1" noChangeArrowheads="1"/>
                          </pic:cNvPicPr>
                        </pic:nvPicPr>
                        <pic:blipFill>
                          <a:blip r:embed="rId190"/>
                          <a:stretch>
                            <a:fillRect/>
                          </a:stretch>
                        </pic:blipFill>
                        <pic:spPr bwMode="auto">
                          <a:xfrm>
                            <a:off x="0" y="0"/>
                            <a:ext cx="104775" cy="85725"/>
                          </a:xfrm>
                          <a:prstGeom prst="rect">
                            <a:avLst/>
                          </a:prstGeom>
                        </pic:spPr>
                      </pic:pic>
                    </a:graphicData>
                  </a:graphic>
                </wp:inline>
              </w:drawing>
            </w:r>
            <w:r>
              <w:rPr>
                <w:caps w:val="false"/>
                <w:smallCaps w:val="false"/>
                <w:color w:val="EE0027"/>
              </w:rPr>
              <w:t> </w:t>
            </w:r>
            <w:r>
              <w:rPr>
                <w:caps w:val="false"/>
                <w:smallCaps w:val="false"/>
                <w:color w:val="58595B"/>
              </w:rPr>
              <w:t>  </w:t>
            </w:r>
            <w:r>
              <w:rPr>
                <w:rFonts w:ascii="Arial;Helvetica;Sans-Serif" w:hAnsi="Arial;Helvetica;Sans-Serif"/>
                <w:b w:val="false"/>
                <w:i w:val="false"/>
                <w:caps w:val="false"/>
                <w:smallCaps w:val="false"/>
                <w:color w:val="58595B"/>
                <w:sz w:val="18"/>
              </w:rPr>
              <w:t>Performance-based equity awards generally only have value to our NEOs to the extent the pre-established corporate and/or business unit goals established by the compensation committee are achieved</w:t>
            </w:r>
            <w:r>
              <w:rPr>
                <w:rFonts w:ascii="Arial;Helvetica;Sans-Serif" w:hAnsi="Arial;Helvetica;Sans-Serif"/>
                <w:b w:val="false"/>
                <w:i w:val="false"/>
                <w:caps w:val="false"/>
                <w:smallCaps w:val="false"/>
                <w:sz w:val="20"/>
              </w:rPr>
              <w:t> </w:t>
            </w:r>
          </w:p>
          <w:p>
            <w:pPr>
              <w:pStyle w:val="TableContents"/>
              <w:spacing w:before="0" w:after="0"/>
              <w:ind w:left="360" w:right="0" w:hanging="360"/>
              <w:jc w:val="left"/>
              <w:rPr>
                <w:caps w:val="false"/>
                <w:smallCaps w:val="false"/>
              </w:rPr>
            </w:pPr>
            <w:r>
              <w:rPr>
                <w:caps w:val="false"/>
                <w:smallCaps w:val="false"/>
                <w:color w:val="EE0027"/>
              </w:rPr>
              <w:t> </w:t>
            </w:r>
            <w:r>
              <w:rPr>
                <w:caps w:val="false"/>
                <w:smallCaps w:val="false"/>
              </w:rPr>
              <w:drawing>
                <wp:inline distT="0" distB="0" distL="0" distR="0">
                  <wp:extent cx="104775" cy="85725"/>
                  <wp:effectExtent l="0" t="0" r="0" b="0"/>
                  <wp:docPr id="363" name="Image1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Image190" descr=""/>
                          <pic:cNvPicPr>
                            <a:picLocks noChangeAspect="1" noChangeArrowheads="1"/>
                          </pic:cNvPicPr>
                        </pic:nvPicPr>
                        <pic:blipFill>
                          <a:blip r:embed="rId191"/>
                          <a:stretch>
                            <a:fillRect/>
                          </a:stretch>
                        </pic:blipFill>
                        <pic:spPr bwMode="auto">
                          <a:xfrm>
                            <a:off x="0" y="0"/>
                            <a:ext cx="104775" cy="85725"/>
                          </a:xfrm>
                          <a:prstGeom prst="rect">
                            <a:avLst/>
                          </a:prstGeom>
                        </pic:spPr>
                      </pic:pic>
                    </a:graphicData>
                  </a:graphic>
                </wp:inline>
              </w:drawing>
            </w:r>
            <w:r>
              <w:rPr>
                <w:caps w:val="false"/>
                <w:smallCaps w:val="false"/>
                <w:color w:val="EE0027"/>
              </w:rPr>
              <w:t>  </w:t>
            </w:r>
            <w:r>
              <w:rPr>
                <w:caps w:val="false"/>
                <w:smallCaps w:val="false"/>
                <w:color w:val="58595B"/>
              </w:rPr>
              <w:t> </w:t>
            </w:r>
            <w:r>
              <w:rPr>
                <w:rFonts w:ascii="Arial;Helvetica;Sans-Serif" w:hAnsi="Arial;Helvetica;Sans-Serif"/>
                <w:b w:val="false"/>
                <w:i w:val="false"/>
                <w:caps w:val="false"/>
                <w:smallCaps w:val="false"/>
                <w:color w:val="58595B"/>
                <w:sz w:val="18"/>
              </w:rPr>
              <w:t>Stock options have value for our NEOs only if our stock price increases</w:t>
            </w:r>
          </w:p>
        </w:tc>
      </w:tr>
      <w:tr>
        <w:trPr/>
        <w:tc>
          <w:tcPr>
            <w:tcW w:w="1606"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Employee Benefits and Perquisites</w:t>
            </w:r>
          </w:p>
        </w:tc>
        <w:tc>
          <w:tcPr>
            <w:tcW w:w="3469"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Attract and retain executive talent</w:t>
            </w:r>
          </w:p>
        </w:tc>
        <w:tc>
          <w:tcPr>
            <w:tcW w:w="5130" w:type="dxa"/>
            <w:tcBorders/>
            <w:shd w:fill="DCDDDE" w:val="clear"/>
            <w:vAlign w:val="center"/>
          </w:tcPr>
          <w:p>
            <w:pPr>
              <w:pStyle w:val="TableContents"/>
              <w:spacing w:before="0" w:after="0"/>
              <w:ind w:left="360" w:right="0" w:hanging="360"/>
              <w:jc w:val="left"/>
              <w:rPr>
                <w:caps w:val="false"/>
                <w:smallCaps w:val="false"/>
              </w:rPr>
            </w:pPr>
            <w:r>
              <w:rPr>
                <w:caps w:val="false"/>
                <w:smallCaps w:val="false"/>
                <w:color w:val="EE0027"/>
              </w:rPr>
              <w:t> </w:t>
            </w:r>
            <w:r>
              <w:rPr>
                <w:caps w:val="false"/>
                <w:smallCaps w:val="false"/>
                <w:color w:val="EE0027"/>
              </w:rPr>
              <w:drawing>
                <wp:inline distT="0" distB="0" distL="0" distR="0">
                  <wp:extent cx="104775" cy="95250"/>
                  <wp:effectExtent l="0" t="0" r="0" b="0"/>
                  <wp:docPr id="364" name="Image1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91" descr=""/>
                          <pic:cNvPicPr>
                            <a:picLocks noChangeAspect="1" noChangeArrowheads="1"/>
                          </pic:cNvPicPr>
                        </pic:nvPicPr>
                        <pic:blipFill>
                          <a:blip r:embed="rId192"/>
                          <a:stretch>
                            <a:fillRect/>
                          </a:stretch>
                        </pic:blipFill>
                        <pic:spPr bwMode="auto">
                          <a:xfrm>
                            <a:off x="0" y="0"/>
                            <a:ext cx="104775" cy="95250"/>
                          </a:xfrm>
                          <a:prstGeom prst="rect">
                            <a:avLst/>
                          </a:prstGeom>
                        </pic:spPr>
                      </pic:pic>
                    </a:graphicData>
                  </a:graphic>
                </wp:inline>
              </w:drawing>
            </w:r>
            <w:r>
              <w:rPr>
                <w:caps w:val="false"/>
                <w:smallCaps w:val="false"/>
                <w:color w:val="EE0027"/>
              </w:rPr>
              <w:t>   </w:t>
            </w:r>
            <w:r>
              <w:rPr>
                <w:rFonts w:ascii="Arial;Helvetica;Sans-Serif" w:hAnsi="Arial;Helvetica;Sans-Serif"/>
                <w:b w:val="false"/>
                <w:i w:val="false"/>
                <w:caps w:val="false"/>
                <w:smallCaps w:val="false"/>
                <w:color w:val="58595B"/>
                <w:sz w:val="18"/>
              </w:rPr>
              <w:t>Customary retirement and health and welfare benefits to all of our salaried employees, including our NEOs</w:t>
            </w:r>
            <w:r>
              <w:rPr>
                <w:rFonts w:ascii="Arial;Helvetica;Sans-Serif" w:hAnsi="Arial;Helvetica;Sans-Serif"/>
                <w:b w:val="false"/>
                <w:i w:val="false"/>
                <w:caps w:val="false"/>
                <w:smallCaps w:val="false"/>
                <w:sz w:val="20"/>
              </w:rPr>
              <w:t> </w:t>
            </w:r>
          </w:p>
          <w:p>
            <w:pPr>
              <w:pStyle w:val="TableContents"/>
              <w:spacing w:before="0" w:after="0"/>
              <w:ind w:left="360" w:right="0" w:hanging="360"/>
              <w:jc w:val="left"/>
              <w:rPr>
                <w:caps w:val="false"/>
                <w:smallCaps w:val="false"/>
              </w:rPr>
            </w:pPr>
            <w:r>
              <w:rPr>
                <w:caps w:val="false"/>
                <w:smallCaps w:val="false"/>
              </w:rPr>
              <w:t> </w:t>
            </w:r>
            <w:r>
              <w:rPr>
                <w:caps w:val="false"/>
                <w:smallCaps w:val="false"/>
                <w:color w:val="EE0027"/>
              </w:rPr>
              <w:drawing>
                <wp:inline distT="0" distB="0" distL="0" distR="0">
                  <wp:extent cx="104775" cy="95250"/>
                  <wp:effectExtent l="0" t="0" r="0" b="0"/>
                  <wp:docPr id="365" name="Image1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 name="Image192" descr=""/>
                          <pic:cNvPicPr>
                            <a:picLocks noChangeAspect="1" noChangeArrowheads="1"/>
                          </pic:cNvPicPr>
                        </pic:nvPicPr>
                        <pic:blipFill>
                          <a:blip r:embed="rId193"/>
                          <a:stretch>
                            <a:fillRect/>
                          </a:stretch>
                        </pic:blipFill>
                        <pic:spPr bwMode="auto">
                          <a:xfrm>
                            <a:off x="0" y="0"/>
                            <a:ext cx="104775" cy="95250"/>
                          </a:xfrm>
                          <a:prstGeom prst="rect">
                            <a:avLst/>
                          </a:prstGeom>
                        </pic:spPr>
                      </pic:pic>
                    </a:graphicData>
                  </a:graphic>
                </wp:inline>
              </w:drawing>
            </w:r>
            <w:r>
              <w:rPr>
                <w:caps w:val="false"/>
                <w:smallCaps w:val="false"/>
                <w:color w:val="EE0027"/>
              </w:rPr>
              <w:t>   </w:t>
            </w:r>
            <w:r>
              <w:rPr>
                <w:rFonts w:ascii="Arial;Helvetica;Sans-Serif" w:hAnsi="Arial;Helvetica;Sans-Serif"/>
                <w:b w:val="false"/>
                <w:i w:val="false"/>
                <w:caps w:val="false"/>
                <w:smallCaps w:val="false"/>
                <w:color w:val="58595B"/>
                <w:sz w:val="18"/>
              </w:rPr>
              <w:t>No nonqualified deferred compensation plans or defined benefit pension plans</w:t>
            </w:r>
            <w:r>
              <w:rPr>
                <w:rFonts w:ascii="Arial;Helvetica;Sans-Serif" w:hAnsi="Arial;Helvetica;Sans-Serif"/>
                <w:b w:val="false"/>
                <w:i w:val="false"/>
                <w:caps w:val="false"/>
                <w:smallCaps w:val="false"/>
                <w:sz w:val="20"/>
              </w:rPr>
              <w:t> </w:t>
            </w:r>
          </w:p>
          <w:p>
            <w:pPr>
              <w:pStyle w:val="TableContents"/>
              <w:spacing w:before="0" w:after="0"/>
              <w:ind w:left="360" w:right="0" w:hanging="360"/>
              <w:jc w:val="left"/>
              <w:rPr>
                <w:caps w:val="false"/>
                <w:smallCaps w:val="false"/>
              </w:rPr>
            </w:pPr>
            <w:r>
              <w:rPr>
                <w:caps w:val="false"/>
                <w:smallCaps w:val="false"/>
                <w:color w:val="EE0027"/>
              </w:rPr>
              <w:t> </w:t>
            </w:r>
            <w:r>
              <w:rPr>
                <w:caps w:val="false"/>
                <w:smallCaps w:val="false"/>
                <w:color w:val="EE0027"/>
              </w:rPr>
              <w:drawing>
                <wp:inline distT="0" distB="0" distL="0" distR="0">
                  <wp:extent cx="104775" cy="95250"/>
                  <wp:effectExtent l="0" t="0" r="0" b="0"/>
                  <wp:docPr id="366" name="Image1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93" descr=""/>
                          <pic:cNvPicPr>
                            <a:picLocks noChangeAspect="1" noChangeArrowheads="1"/>
                          </pic:cNvPicPr>
                        </pic:nvPicPr>
                        <pic:blipFill>
                          <a:blip r:embed="rId194"/>
                          <a:stretch>
                            <a:fillRect/>
                          </a:stretch>
                        </pic:blipFill>
                        <pic:spPr bwMode="auto">
                          <a:xfrm>
                            <a:off x="0" y="0"/>
                            <a:ext cx="104775" cy="95250"/>
                          </a:xfrm>
                          <a:prstGeom prst="rect">
                            <a:avLst/>
                          </a:prstGeom>
                        </pic:spPr>
                      </pic:pic>
                    </a:graphicData>
                  </a:graphic>
                </wp:inline>
              </w:drawing>
            </w:r>
            <w:r>
              <w:rPr>
                <w:caps w:val="false"/>
                <w:smallCaps w:val="false"/>
                <w:color w:val="EE0027"/>
              </w:rPr>
              <w:t>   </w:t>
            </w:r>
            <w:r>
              <w:rPr>
                <w:caps w:val="false"/>
                <w:smallCaps w:val="false"/>
                <w:color w:val="58595B"/>
              </w:rPr>
              <w:t> </w:t>
            </w:r>
            <w:r>
              <w:rPr>
                <w:rFonts w:ascii="Arial;Helvetica;Sans-Serif" w:hAnsi="Arial;Helvetica;Sans-Serif"/>
                <w:b w:val="false"/>
                <w:i w:val="false"/>
                <w:caps w:val="false"/>
                <w:smallCaps w:val="false"/>
                <w:color w:val="58595B"/>
                <w:sz w:val="18"/>
              </w:rPr>
              <w:t>No excessive perquisites</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187">
                <wp:simplePos x="0" y="0"/>
                <wp:positionH relativeFrom="column">
                  <wp:align>left</wp:align>
                </wp:positionH>
                <wp:positionV relativeFrom="line">
                  <wp:posOffset>635</wp:posOffset>
                </wp:positionV>
                <wp:extent cx="3110230" cy="2585085"/>
                <wp:effectExtent l="0" t="0" r="0" b="0"/>
                <wp:wrapSquare wrapText="largest"/>
                <wp:docPr id="367" name="Frame44"/>
                <a:graphic xmlns:a="http://schemas.openxmlformats.org/drawingml/2006/main">
                  <a:graphicData uri="http://schemas.microsoft.com/office/word/2010/wordprocessingShape">
                    <wps:wsp>
                      <wps:cNvSpPr txBox="1"/>
                      <wps:spPr>
                        <a:xfrm>
                          <a:off x="0" y="0"/>
                          <a:ext cx="3110230" cy="258508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mix of compensation elements is designed to reinforce business and strategic objectives, recognize and reward performance, motivate long-term value creation, and align our NEOs’ interests with those of our shareholders. We generally achieve this through a combination of cash and equity awards.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Company is responsible for allocating capital in a manner that is in the best interest of its shareholders in line with the stated objective of growing Adjusted EPS between 15%-20% per year over the mid-term. Some portion of this growth is contingent on effective capital allocation in the form of acquisitions and/or share buybacks as a use for our free cash flow.</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part of our existing stock repurchase program, the Company has regularly repurchased shares that it viewed as undervalued, and thus would provide a better return to shareholders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mix of compensation elements is designed to reinforce business and strategic objectives, recognize and reward performance, motivate long-term value creation, and align our NEOs’ interests with those of our shareholders. We generally achieve this through a combination of cash and equity awards.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Company is responsible for allocating capital in a manner that is in the best interest of its shareholders in line with the stated objective of growing Adjusted EPS between 15%-20% per year over the mid-term. Some portion of this growth is contingent on effective capital allocation in the form of acquisitions and/or share buybacks as a use for our free cash flow.</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part of our existing stock repurchase program, the Company has regularly repurchased shares that it viewed as undervalued, and thus would provide a better return to shareholders</w:t>
                      </w:r>
                    </w:p>
                  </w:txbxContent>
                </v:textbox>
                <w10:wrap type="square" side="right"/>
              </v:rect>
            </w:pict>
          </mc:Fallback>
        </mc:AlternateContent>
      </w:r>
      <w:r>
        <mc:AlternateContent>
          <mc:Choice Requires="wps">
            <w:drawing>
              <wp:anchor behindDoc="0" distT="0" distB="0" distL="0" distR="0" simplePos="0" locked="0" layoutInCell="1" allowOverlap="1" relativeHeight="188">
                <wp:simplePos x="0" y="0"/>
                <wp:positionH relativeFrom="column">
                  <wp:align>right</wp:align>
                </wp:positionH>
                <wp:positionV relativeFrom="line">
                  <wp:posOffset>635</wp:posOffset>
                </wp:positionV>
                <wp:extent cx="3110230" cy="2278380"/>
                <wp:effectExtent l="0" t="0" r="0" b="0"/>
                <wp:wrapSquare wrapText="largest"/>
                <wp:docPr id="368" name="Frame45"/>
                <a:graphic xmlns:a="http://schemas.openxmlformats.org/drawingml/2006/main">
                  <a:graphicData uri="http://schemas.microsoft.com/office/word/2010/wordprocessingShape">
                    <wps:wsp>
                      <wps:cNvSpPr txBox="1"/>
                      <wps:spPr>
                        <a:xfrm>
                          <a:off x="0" y="0"/>
                          <a:ext cx="3110230" cy="227838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compared with other alternatives at the time. Also, repurchases are used to offset the dilutive effect of the issuance of shares to executives under equity compensation plans, including the exercise price of options, and the use of shares in acquisitions.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Company aligns its executive compensation arrangements with its overall capital allocation strategy that maximizes shareholders’ interests, and share repurchases are accordingly not excluded from our performance metrics. The compensation committee is keenly aware of the Company’s stock repurchase approach under outstanding authorizations, and historical stock repurchases when setting performance metrics for executive compensation awards. Because we intend to use free cash for either repurchases or acquisitions, the Board does not exclude repurchases from the final determination of performance achievement.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9.4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compared with other alternatives at the time. Also, repurchases are used to offset the dilutive effect of the issuance of shares to executives under equity compensation plans, including the exercise price of options, and the use of shares in acquisitions.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Company aligns its executive compensation arrangements with its overall capital allocation strategy that maximizes shareholders’ interests, and share repurchases are accordingly not excluded from our performance metrics. The compensation committee is keenly aware of the Company’s stock repurchase approach under outstanding authorizations, and historical stock repurchases when setting performance metrics for executive compensation awards. Because we intend to use free cash for either repurchases or acquisitions, the Board does not exclude repurchases from the final determination of performance achievement.</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31</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231F20"/>
        </w:rPr>
      </w:pPr>
      <w:r>
        <w:rPr>
          <w:caps w:val="false"/>
          <w:smallCaps w:val="false"/>
          <w:color w:val="231F20"/>
        </w:rPr>
        <w:t> </w:t>
      </w:r>
    </w:p>
    <w:p>
      <w:pPr>
        <w:pStyle w:val="TextBody"/>
        <w:spacing w:before="0" w:after="0"/>
        <w:rPr/>
      </w:pPr>
      <w:r>
        <w:rPr/>
      </w:r>
      <w:r>
        <mc:AlternateContent>
          <mc:Choice Requires="wps">
            <w:drawing>
              <wp:anchor behindDoc="0" distT="0" distB="0" distL="0" distR="0" simplePos="0" locked="0" layoutInCell="1" allowOverlap="1" relativeHeight="166">
                <wp:simplePos x="0" y="0"/>
                <wp:positionH relativeFrom="column">
                  <wp:align>right</wp:align>
                </wp:positionH>
                <wp:positionV relativeFrom="line">
                  <wp:posOffset>635</wp:posOffset>
                </wp:positionV>
                <wp:extent cx="3110230" cy="7825740"/>
                <wp:effectExtent l="0" t="0" r="0" b="0"/>
                <wp:wrapSquare wrapText="largest"/>
                <wp:docPr id="369" name="Frame47"/>
                <a:graphic xmlns:a="http://schemas.openxmlformats.org/drawingml/2006/main">
                  <a:graphicData uri="http://schemas.microsoft.com/office/word/2010/wordprocessingShape">
                    <wps:wsp>
                      <wps:cNvSpPr txBox="1"/>
                      <wps:spPr>
                        <a:xfrm>
                          <a:off x="0" y="0"/>
                          <a:ext cx="3110230" cy="782574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charts below illustrate the 2022 total target direct compensation mix for our CEO and our continuing NEOs other than the CEO (on average), consisting of base salary, target annual cash incentives, and target equity-based incentives. As discussed in more detail below, in 2022 our CEO was not granted any equity compensation awards, because the 2021 CEO Performance Option was intended to serve as the long-term equity incentive portion of his total compensation for the period from 2020 through 2023. Therefore, the compensation mix for our CEO in the applicable chart below includes a quarter of the total target value of the performance-based stock option award we granted to Mr. Clarke in 2021 (the “2021 CEO Performance Option”), even though such award was granted in 2021. The compensation of Messrs. Freund, Gavrilenya and Coughlin is not factored into the “Non-CEO NEOs” chart below because such individuals ceased serving in their officer positions during 2022.</w:t>
                            </w:r>
                          </w:p>
                          <w:p>
                            <w:pPr>
                              <w:pStyle w:val="TextBody"/>
                              <w:spacing w:before="0" w:after="0"/>
                              <w:rPr>
                                <w:caps w:val="false"/>
                                <w:smallCaps w:val="false"/>
                                <w:color w:val="58595B"/>
                              </w:rPr>
                            </w:pPr>
                            <w:r>
                              <w:rPr>
                                <w:caps w:val="false"/>
                                <w:smallCaps w:val="false"/>
                                <w:color w:val="58595B"/>
                              </w:rPr>
                              <w:t> </w:t>
                            </w:r>
                          </w:p>
                          <w:p>
                            <w:pPr>
                              <w:pStyle w:val="TextBody"/>
                              <w:spacing w:before="0" w:after="0"/>
                              <w:jc w:val="center"/>
                              <w:rPr>
                                <w:caps w:val="false"/>
                                <w:smallCaps w:val="false"/>
                                <w:color w:val="58595B"/>
                              </w:rPr>
                            </w:pPr>
                            <w:r>
                              <w:rPr>
                                <w:caps w:val="false"/>
                                <w:smallCaps w:val="false"/>
                                <w:color w:val="58595B"/>
                              </w:rPr>
                              <w:drawing>
                                <wp:inline distT="0" distB="0" distL="0" distR="0">
                                  <wp:extent cx="3333750" cy="2428875"/>
                                  <wp:effectExtent l="0" t="0" r="0" b="0"/>
                                  <wp:docPr id="370"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 name="Image194" descr=""/>
                                          <pic:cNvPicPr>
                                            <a:picLocks noChangeAspect="1" noChangeArrowheads="1"/>
                                          </pic:cNvPicPr>
                                        </pic:nvPicPr>
                                        <pic:blipFill>
                                          <a:blip r:embed="rId195"/>
                                          <a:stretch>
                                            <a:fillRect/>
                                          </a:stretch>
                                        </pic:blipFill>
                                        <pic:spPr bwMode="auto">
                                          <a:xfrm>
                                            <a:off x="0" y="0"/>
                                            <a:ext cx="3333750" cy="2428875"/>
                                          </a:xfrm>
                                          <a:prstGeom prst="rect">
                                            <a:avLst/>
                                          </a:prstGeom>
                                        </pic:spPr>
                                      </pic:pic>
                                    </a:graphicData>
                                  </a:graphic>
                                </wp:inline>
                              </w:drawing>
                            </w:r>
                          </w:p>
                          <w:p>
                            <w:pPr>
                              <w:pStyle w:val="TextBody"/>
                              <w:spacing w:before="0" w:after="0"/>
                              <w:jc w:val="center"/>
                              <w:rPr>
                                <w:caps w:val="false"/>
                                <w:smallCaps w:val="false"/>
                                <w:color w:val="58595B"/>
                              </w:rPr>
                            </w:pPr>
                            <w:r>
                              <w:rPr>
                                <w:caps w:val="false"/>
                                <w:smallCaps w:val="false"/>
                                <w:color w:val="58595B"/>
                              </w:rPr>
                              <w:t> </w:t>
                            </w:r>
                          </w:p>
                          <w:p>
                            <w:pPr>
                              <w:pStyle w:val="TextBody"/>
                              <w:spacing w:before="0" w:after="0"/>
                              <w:jc w:val="center"/>
                              <w:rPr>
                                <w:caps w:val="false"/>
                                <w:smallCaps w:val="false"/>
                                <w:color w:val="58595B"/>
                              </w:rPr>
                            </w:pPr>
                            <w:r>
                              <w:rPr>
                                <w:caps w:val="false"/>
                                <w:smallCaps w:val="false"/>
                                <w:color w:val="58595B"/>
                              </w:rPr>
                              <w:t> </w:t>
                            </w:r>
                          </w:p>
                          <w:p>
                            <w:pPr>
                              <w:pStyle w:val="TextBody"/>
                              <w:spacing w:before="0" w:after="0"/>
                              <w:jc w:val="center"/>
                              <w:rPr>
                                <w:caps w:val="false"/>
                                <w:smallCaps w:val="false"/>
                                <w:color w:val="58595B"/>
                              </w:rPr>
                            </w:pPr>
                            <w:r>
                              <w:rPr>
                                <w:caps w:val="false"/>
                                <w:smallCaps w:val="false"/>
                                <w:color w:val="58595B"/>
                              </w:rPr>
                              <w:drawing>
                                <wp:inline distT="0" distB="0" distL="0" distR="0">
                                  <wp:extent cx="3333750" cy="2505075"/>
                                  <wp:effectExtent l="0" t="0" r="0" b="0"/>
                                  <wp:docPr id="371"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Image195" descr=""/>
                                          <pic:cNvPicPr>
                                            <a:picLocks noChangeAspect="1" noChangeArrowheads="1"/>
                                          </pic:cNvPicPr>
                                        </pic:nvPicPr>
                                        <pic:blipFill>
                                          <a:blip r:embed="rId196"/>
                                          <a:stretch>
                                            <a:fillRect/>
                                          </a:stretch>
                                        </pic:blipFill>
                                        <pic:spPr bwMode="auto">
                                          <a:xfrm>
                                            <a:off x="0" y="0"/>
                                            <a:ext cx="3333750" cy="2505075"/>
                                          </a:xfrm>
                                          <a:prstGeom prst="rect">
                                            <a:avLst/>
                                          </a:prstGeom>
                                        </pic:spPr>
                                      </pic:pic>
                                    </a:graphicData>
                                  </a:graphic>
                                </wp:inline>
                              </w:drawing>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16.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charts below illustrate the 2022 total target direct compensation mix for our CEO and our continuing NEOs other than the CEO (on average), consisting of base salary, target annual cash incentives, and target equity-based incentives. As discussed in more detail below, in 2022 our CEO was not granted any equity compensation awards, because the 2021 CEO Performance Option was intended to serve as the long-term equity incentive portion of his total compensation for the period from 2020 through 2023. Therefore, the compensation mix for our CEO in the applicable chart below includes a quarter of the total target value of the performance-based stock option award we granted to Mr. Clarke in 2021 (the “2021 CEO Performance Option”), even though such award was granted in 2021. The compensation of Messrs. Freund, Gavrilenya and Coughlin is not factored into the “Non-CEO NEOs” chart below because such individuals ceased serving in their officer positions during 2022.</w:t>
                      </w:r>
                    </w:p>
                    <w:p>
                      <w:pPr>
                        <w:pStyle w:val="TextBody"/>
                        <w:spacing w:before="0" w:after="0"/>
                        <w:rPr>
                          <w:caps w:val="false"/>
                          <w:smallCaps w:val="false"/>
                          <w:color w:val="58595B"/>
                        </w:rPr>
                      </w:pPr>
                      <w:r>
                        <w:rPr>
                          <w:caps w:val="false"/>
                          <w:smallCaps w:val="false"/>
                          <w:color w:val="58595B"/>
                        </w:rPr>
                        <w:t> </w:t>
                      </w:r>
                    </w:p>
                    <w:p>
                      <w:pPr>
                        <w:pStyle w:val="TextBody"/>
                        <w:spacing w:before="0" w:after="0"/>
                        <w:jc w:val="center"/>
                        <w:rPr>
                          <w:caps w:val="false"/>
                          <w:smallCaps w:val="false"/>
                          <w:color w:val="58595B"/>
                        </w:rPr>
                      </w:pPr>
                      <w:r>
                        <w:rPr>
                          <w:caps w:val="false"/>
                          <w:smallCaps w:val="false"/>
                          <w:color w:val="58595B"/>
                        </w:rPr>
                        <w:drawing>
                          <wp:inline distT="0" distB="0" distL="0" distR="0">
                            <wp:extent cx="3333750" cy="2428875"/>
                            <wp:effectExtent l="0" t="0" r="0" b="0"/>
                            <wp:docPr id="372" name="Image1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 name="Image194" descr=""/>
                                    <pic:cNvPicPr>
                                      <a:picLocks noChangeAspect="1" noChangeArrowheads="1"/>
                                    </pic:cNvPicPr>
                                  </pic:nvPicPr>
                                  <pic:blipFill>
                                    <a:blip r:embed="rId195"/>
                                    <a:stretch>
                                      <a:fillRect/>
                                    </a:stretch>
                                  </pic:blipFill>
                                  <pic:spPr bwMode="auto">
                                    <a:xfrm>
                                      <a:off x="0" y="0"/>
                                      <a:ext cx="3333750" cy="2428875"/>
                                    </a:xfrm>
                                    <a:prstGeom prst="rect">
                                      <a:avLst/>
                                    </a:prstGeom>
                                  </pic:spPr>
                                </pic:pic>
                              </a:graphicData>
                            </a:graphic>
                          </wp:inline>
                        </w:drawing>
                      </w:r>
                    </w:p>
                    <w:p>
                      <w:pPr>
                        <w:pStyle w:val="TextBody"/>
                        <w:spacing w:before="0" w:after="0"/>
                        <w:jc w:val="center"/>
                        <w:rPr>
                          <w:caps w:val="false"/>
                          <w:smallCaps w:val="false"/>
                          <w:color w:val="58595B"/>
                        </w:rPr>
                      </w:pPr>
                      <w:r>
                        <w:rPr>
                          <w:caps w:val="false"/>
                          <w:smallCaps w:val="false"/>
                          <w:color w:val="58595B"/>
                        </w:rPr>
                        <w:t> </w:t>
                      </w:r>
                    </w:p>
                    <w:p>
                      <w:pPr>
                        <w:pStyle w:val="TextBody"/>
                        <w:spacing w:before="0" w:after="0"/>
                        <w:jc w:val="center"/>
                        <w:rPr>
                          <w:caps w:val="false"/>
                          <w:smallCaps w:val="false"/>
                          <w:color w:val="58595B"/>
                        </w:rPr>
                      </w:pPr>
                      <w:r>
                        <w:rPr>
                          <w:caps w:val="false"/>
                          <w:smallCaps w:val="false"/>
                          <w:color w:val="58595B"/>
                        </w:rPr>
                        <w:t> </w:t>
                      </w:r>
                    </w:p>
                    <w:p>
                      <w:pPr>
                        <w:pStyle w:val="TextBody"/>
                        <w:spacing w:before="0" w:after="0"/>
                        <w:jc w:val="center"/>
                        <w:rPr>
                          <w:caps w:val="false"/>
                          <w:smallCaps w:val="false"/>
                          <w:color w:val="58595B"/>
                        </w:rPr>
                      </w:pPr>
                      <w:r>
                        <w:rPr>
                          <w:caps w:val="false"/>
                          <w:smallCaps w:val="false"/>
                          <w:color w:val="58595B"/>
                        </w:rPr>
                        <w:drawing>
                          <wp:inline distT="0" distB="0" distL="0" distR="0">
                            <wp:extent cx="3333750" cy="2505075"/>
                            <wp:effectExtent l="0" t="0" r="0" b="0"/>
                            <wp:docPr id="373" name="Image1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195" descr=""/>
                                    <pic:cNvPicPr>
                                      <a:picLocks noChangeAspect="1" noChangeArrowheads="1"/>
                                    </pic:cNvPicPr>
                                  </pic:nvPicPr>
                                  <pic:blipFill>
                                    <a:blip r:embed="rId196"/>
                                    <a:stretch>
                                      <a:fillRect/>
                                    </a:stretch>
                                  </pic:blipFill>
                                  <pic:spPr bwMode="auto">
                                    <a:xfrm>
                                      <a:off x="0" y="0"/>
                                      <a:ext cx="3333750" cy="2505075"/>
                                    </a:xfrm>
                                    <a:prstGeom prst="rect">
                                      <a:avLst/>
                                    </a:prstGeom>
                                  </pic:spPr>
                                </pic:pic>
                              </a:graphicData>
                            </a:graphic>
                          </wp:inline>
                        </w:drawing>
                      </w:r>
                    </w:p>
                  </w:txbxContent>
                </v:textbox>
                <w10:wrap type="square" side="left"/>
              </v:rect>
            </w:pict>
          </mc:Fallback>
        </mc:AlternateContent>
      </w:r>
      <w:r>
        <mc:AlternateContent>
          <mc:Choice Requires="wps">
            <w:drawing>
              <wp:anchor behindDoc="0" distT="0" distB="0" distL="0" distR="0" simplePos="0" locked="0" layoutInCell="1" allowOverlap="1" relativeHeight="189">
                <wp:simplePos x="0" y="0"/>
                <wp:positionH relativeFrom="column">
                  <wp:align>left</wp:align>
                </wp:positionH>
                <wp:positionV relativeFrom="line">
                  <wp:posOffset>635</wp:posOffset>
                </wp:positionV>
                <wp:extent cx="3110230" cy="6309360"/>
                <wp:effectExtent l="0" t="0" r="0" b="0"/>
                <wp:wrapSquare wrapText="largest"/>
                <wp:docPr id="374" name="Frame46"/>
                <a:graphic xmlns:a="http://schemas.openxmlformats.org/drawingml/2006/main">
                  <a:graphicData uri="http://schemas.microsoft.com/office/word/2010/wordprocessingShape">
                    <wps:wsp>
                      <wps:cNvSpPr txBox="1"/>
                      <wps:spPr>
                        <a:xfrm>
                          <a:off x="0" y="0"/>
                          <a:ext cx="3110230" cy="6309360"/>
                        </a:xfrm>
                        <a:prstGeom prst="rect"/>
                      </wps:spPr>
                      <wps:txbx>
                        <w:txbxContent>
                          <w:p>
                            <w:pPr>
                              <w:pStyle w:val="TextBody"/>
                              <w:spacing w:before="0" w:after="0"/>
                              <w:rPr>
                                <w:rFonts w:ascii="Arial;Helvetica;Sans-Serif" w:hAnsi="Arial;Helvetica;Sans-Serif"/>
                                <w:b/>
                                <w:i w:val="false"/>
                                <w:caps w:val="false"/>
                                <w:smallCaps w:val="false"/>
                                <w:color w:val="231F20"/>
                                <w:sz w:val="18"/>
                              </w:rPr>
                            </w:pPr>
                            <w:bookmarkStart w:id="84" w:name="a047"/>
                            <w:bookmarkEnd w:id="84"/>
                            <w:r>
                              <w:rPr>
                                <w:rFonts w:ascii="Arial;Helvetica;Sans-Serif" w:hAnsi="Arial;Helvetica;Sans-Serif"/>
                                <w:b/>
                                <w:i w:val="false"/>
                                <w:caps w:val="false"/>
                                <w:smallCaps w:val="false"/>
                                <w:color w:val="231F20"/>
                                <w:sz w:val="18"/>
                              </w:rPr>
                              <w:t>Target Mix of Compensation</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strives to achieve an appropriate mix between fixed versus variable pay and cash versus equity- based compensation awards in order to meet our compensation objectives. Our compensation committee does not have a rigid policy for allocating compensation between short-and long-term compensation and cash and non-cash compensation. We believe the most important indicator of whether our compensation objectives are being met is our ability to motivate our NEOs to deliver superior shareholder return and retain them to continue their careers with us on a cost-effective basis. For NEOs other than the CEO, our compensation committee generally references cash-based components of compensation below market levels and equity-based components of compensation (based on target levels) at market levels, resulting in total target compensation that is generally below the peer median for our NEOs other than the CEO. For our CEO, the compensation committee references cash-based components below the peer median, and equity-based components above the peer median, resulting in total compensation that is generally at or above the peer median. Although the compensation committee includes this market data and its general understanding of current compensation practices in the market in the overall mix of factors it considers in assessing NEO compensation, it does not target a mathematically precise market position for total compensation or any individual element of compensation.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ultimate compensation levels reflect the application of these policies to the varying responsibilities of the NEOs. In a typical year, it is expected that the greater the responsibility of the executive and the greater the potential impact of the executive on the Company’s financial performance, the higher the proportion of compensation that can be earned by the executive in the form of performance-based compensation.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CEO has the greatest responsibility in managing and driving the performance of our Company. He joined our Company in 2000, and has managed our significant growth through a combination of organic initiatives, product and service innovation and acquisitions of businesses and commercial account portfolios, and has overseen the growth of our revenue from $33.0 million in 2000 to approximately $3.4 billion in 2022.</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9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231F20"/>
                          <w:sz w:val="18"/>
                        </w:rPr>
                      </w:pPr>
                      <w:bookmarkStart w:id="85" w:name="a047"/>
                      <w:bookmarkEnd w:id="85"/>
                      <w:r>
                        <w:rPr>
                          <w:rFonts w:ascii="Arial;Helvetica;Sans-Serif" w:hAnsi="Arial;Helvetica;Sans-Serif"/>
                          <w:b/>
                          <w:i w:val="false"/>
                          <w:caps w:val="false"/>
                          <w:smallCaps w:val="false"/>
                          <w:color w:val="231F20"/>
                          <w:sz w:val="18"/>
                        </w:rPr>
                        <w:t>Target Mix of Compensation</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strives to achieve an appropriate mix between fixed versus variable pay and cash versus equity- based compensation awards in order to meet our compensation objectives. Our compensation committee does not have a rigid policy for allocating compensation between short-and long-term compensation and cash and non-cash compensation. We believe the most important indicator of whether our compensation objectives are being met is our ability to motivate our NEOs to deliver superior shareholder return and retain them to continue their careers with us on a cost-effective basis. For NEOs other than the CEO, our compensation committee generally references cash-based components of compensation below market levels and equity-based components of compensation (based on target levels) at market levels, resulting in total target compensation that is generally below the peer median for our NEOs other than the CEO. For our CEO, the compensation committee references cash-based components below the peer median, and equity-based components above the peer median, resulting in total compensation that is generally at or above the peer median. Although the compensation committee includes this market data and its general understanding of current compensation practices in the market in the overall mix of factors it considers in assessing NEO compensation, it does not target a mathematically precise market position for total compensation or any individual element of compensation.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ultimate compensation levels reflect the application of these policies to the varying responsibilities of the NEOs. In a typical year, it is expected that the greater the responsibility of the executive and the greater the potential impact of the executive on the Company’s financial performance, the higher the proportion of compensation that can be earned by the executive in the form of performance-based compensation.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CEO has the greatest responsibility in managing and driving the performance of our Company. He joined our Company in 2000, and has managed our significant growth through a combination of organic initiatives, product and service innovation and acquisitions of businesses and commercial account portfolios, and has overseen the growth of our revenue from $33.0 million in 2000 to approximately $3.4 billion in 2022.</w:t>
                      </w:r>
                    </w:p>
                  </w:txbxContent>
                </v:textbox>
                <w10:wrap type="square" side="righ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32</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58595B"/>
        </w:rPr>
      </w:pPr>
      <w:r>
        <w:rPr>
          <w:caps w:val="false"/>
          <w:smallCaps w:val="false"/>
          <w:color w:val="58595B"/>
        </w:rPr>
        <w:t> </w:t>
      </w:r>
      <w:r>
        <mc:AlternateContent>
          <mc:Choice Requires="wps">
            <w:drawing>
              <wp:anchor behindDoc="0" distT="0" distB="0" distL="0" distR="0" simplePos="0" locked="0" layoutInCell="1" allowOverlap="1" relativeHeight="190">
                <wp:simplePos x="0" y="0"/>
                <wp:positionH relativeFrom="column">
                  <wp:align>left</wp:align>
                </wp:positionH>
                <wp:positionV relativeFrom="line">
                  <wp:posOffset>635</wp:posOffset>
                </wp:positionV>
                <wp:extent cx="3110230" cy="4074795"/>
                <wp:effectExtent l="0" t="0" r="0" b="0"/>
                <wp:wrapSquare wrapText="largest"/>
                <wp:docPr id="375" name="Frame48"/>
                <a:graphic xmlns:a="http://schemas.openxmlformats.org/drawingml/2006/main">
                  <a:graphicData uri="http://schemas.microsoft.com/office/word/2010/wordprocessingShape">
                    <wps:wsp>
                      <wps:cNvSpPr txBox="1"/>
                      <wps:spPr>
                        <a:xfrm>
                          <a:off x="0" y="0"/>
                          <a:ext cx="3110230" cy="4074795"/>
                        </a:xfrm>
                        <a:prstGeom prst="rect"/>
                      </wps:spPr>
                      <wps:txbx>
                        <w:txbxContent>
                          <w:p>
                            <w:pPr>
                              <w:pStyle w:val="TextBody"/>
                              <w:spacing w:before="0" w:after="0"/>
                              <w:rPr>
                                <w:rFonts w:ascii="Arial;Helvetica;Sans-Serif" w:hAnsi="Arial;Helvetica;Sans-Serif"/>
                                <w:b/>
                                <w:i w:val="false"/>
                                <w:caps w:val="false"/>
                                <w:smallCaps w:val="false"/>
                                <w:color w:val="231F20"/>
                                <w:sz w:val="18"/>
                              </w:rPr>
                            </w:pPr>
                            <w:bookmarkStart w:id="86" w:name="a048"/>
                            <w:bookmarkEnd w:id="86"/>
                            <w:r>
                              <w:rPr>
                                <w:rFonts w:ascii="Arial;Helvetica;Sans-Serif" w:hAnsi="Arial;Helvetica;Sans-Serif"/>
                                <w:b/>
                                <w:i w:val="false"/>
                                <w:caps w:val="false"/>
                                <w:smallCaps w:val="false"/>
                                <w:color w:val="231F20"/>
                                <w:sz w:val="18"/>
                              </w:rPr>
                              <w:t>Equity Compensation in Prior Fiscal Years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previously disclosed, we granted the 2021 CEO Performance Option to Mr. Clarke in September 2021. In connection with the grant of the 2021 CEO Performance Option, Mr. Clarke agreed not to receive any other long-term equity grants in 2021, 2022 or 2023.</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2021 CEO Performance Option is intended to further align Mr. Clarke’s compensation interests with the Company stock price performance interests of the Company’s shareholders, and to help retain Mr. Clarke’s service during the period of time covered by the award. In considering and approving the award, the compensation committee considered the best interests of the Company’s shareholders and a desire to retain Mr. Clarke due to, among other considerations, his over 20-year history of operational excellence, development of a strong management team, and ability to lead the Company’s continued strategic development, transformation and expansion.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2021 CEO Performance Option covers 850,000 shares of our common stock at an exercise price of $261.27 per share, which was the fair market value of our common stock on the grant date. However, the option will vest only if we achieve specific stock price hurdles. Achievement of each stock price hurdle requires that our stock price exceed the hurdle for ten consecutive trading days not later than December 31, 2024 (in other words, only 3.25 years after the date of grant). The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0.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231F20"/>
                          <w:sz w:val="18"/>
                        </w:rPr>
                      </w:pPr>
                      <w:bookmarkStart w:id="87" w:name="a048"/>
                      <w:bookmarkEnd w:id="87"/>
                      <w:r>
                        <w:rPr>
                          <w:rFonts w:ascii="Arial;Helvetica;Sans-Serif" w:hAnsi="Arial;Helvetica;Sans-Serif"/>
                          <w:b/>
                          <w:i w:val="false"/>
                          <w:caps w:val="false"/>
                          <w:smallCaps w:val="false"/>
                          <w:color w:val="231F20"/>
                          <w:sz w:val="18"/>
                        </w:rPr>
                        <w:t>Equity Compensation in Prior Fiscal Years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previously disclosed, we granted the 2021 CEO Performance Option to Mr. Clarke in September 2021. In connection with the grant of the 2021 CEO Performance Option, Mr. Clarke agreed not to receive any other long-term equity grants in 2021, 2022 or 2023.</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2021 CEO Performance Option is intended to further align Mr. Clarke’s compensation interests with the Company stock price performance interests of the Company’s shareholders, and to help retain Mr. Clarke’s service during the period of time covered by the award. In considering and approving the award, the compensation committee considered the best interests of the Company’s shareholders and a desire to retain Mr. Clarke due to, among other considerations, his over 20-year history of operational excellence, development of a strong management team, and ability to lead the Company’s continued strategic development, transformation and expansion.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2021 CEO Performance Option covers 850,000 shares of our common stock at an exercise price of $261.27 per share, which was the fair market value of our common stock on the grant date. However, the option will vest only if we achieve specific stock price hurdles. Achievement of each stock price hurdle requires that our stock price exceed the hurdle for ten consecutive trading days not later than December 31, 2024 (in other words, only 3.25 years after the date of grant). The</w:t>
                      </w:r>
                    </w:p>
                  </w:txbxContent>
                </v:textbox>
                <w10:wrap type="square" side="right"/>
              </v:rect>
            </w:pict>
          </mc:Fallback>
        </mc:AlternateContent>
      </w:r>
      <w:r>
        <mc:AlternateContent>
          <mc:Choice Requires="wps">
            <w:drawing>
              <wp:anchor behindDoc="0" distT="0" distB="0" distL="0" distR="0" simplePos="0" locked="0" layoutInCell="1" allowOverlap="1" relativeHeight="191">
                <wp:simplePos x="0" y="0"/>
                <wp:positionH relativeFrom="column">
                  <wp:align>right</wp:align>
                </wp:positionH>
                <wp:positionV relativeFrom="line">
                  <wp:posOffset>635</wp:posOffset>
                </wp:positionV>
                <wp:extent cx="3110230" cy="3899535"/>
                <wp:effectExtent l="0" t="0" r="0" b="0"/>
                <wp:wrapSquare wrapText="largest"/>
                <wp:docPr id="376" name="Frame49"/>
                <a:graphic xmlns:a="http://schemas.openxmlformats.org/drawingml/2006/main">
                  <a:graphicData uri="http://schemas.microsoft.com/office/word/2010/wordprocessingShape">
                    <wps:wsp>
                      <wps:cNvSpPr txBox="1"/>
                      <wps:spPr>
                        <a:xfrm>
                          <a:off x="0" y="0"/>
                          <a:ext cx="3110230" cy="389953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stock price hurdle for 550,000 shares subject to the award is $350, and the stock price hurdle for the remainder of the award is $400.</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considers achievement of each of the stock price hurdles to represent a significant challenge. The hurdles reflect stock price appreciation of 34% and 53%, respectively, from the closing price of our common stock on the grant date. As of April 17, 2023, the closing price per share of our common shares was $222.09, neither of the stock price hurdles for the 2021 CEO Performance Option had been met, and the 2021 CEO Performance Option was significantly “underwater.” However, notwithstanding these rigorous goals, due to the accounting standards that apply to stock option awards, the 2021 CEO Performance Option had significant “grant date fair value” (as determined pursuant to SEC rules) for purposes of the compensation tables included in last year’s proxy statement.</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Mr. Clarke generally must continue to provide services to the Company over an 18-month vesting period to be eligible to vest in the full award (which vests over time in ratable installments every six months), regardless of our stock price performance. Although the 2021 CEO Performance Option allows for vesting in the event of certain terminations of employment and in connection with a change in control (on a “double trigger” basis), in all events the applicable stock price hurdles must be achieved in order for Mr. Clarke to vest in the award.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7.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stock price hurdle for 550,000 shares subject to the award is $350, and the stock price hurdle for the remainder of the award is $400.</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considers achievement of each of the stock price hurdles to represent a significant challenge. The hurdles reflect stock price appreciation of 34% and 53%, respectively, from the closing price of our common stock on the grant date. As of April 17, 2023, the closing price per share of our common shares was $222.09, neither of the stock price hurdles for the 2021 CEO Performance Option had been met, and the 2021 CEO Performance Option was significantly “underwater.” However, notwithstanding these rigorous goals, due to the accounting standards that apply to stock option awards, the 2021 CEO Performance Option had significant “grant date fair value” (as determined pursuant to SEC rules) for purposes of the compensation tables included in last year’s proxy statement.</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Mr. Clarke generally must continue to provide services to the Company over an 18-month vesting period to be eligible to vest in the full award (which vests over time in ratable installments every six months), regardless of our stock price performance. Although the 2021 CEO Performance Option allows for vesting in the event of certain terminations of employment and in connection with a change in control (on a “double trigger” basis), in all events the applicable stock price hurdles must be achieved in order for Mr. Clarke to vest in the award.</w:t>
                      </w:r>
                    </w:p>
                  </w:txbxContent>
                </v:textbox>
                <w10:wrap type="square" side="left"/>
              </v:rect>
            </w:pict>
          </mc:Fallback>
        </mc:AlternateContent>
      </w:r>
    </w:p>
    <w:p>
      <w:pPr>
        <w:pStyle w:val="TextBody"/>
        <w:spacing w:before="0" w:after="0"/>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The table below outlines the performance metrics that were used in the CEO’s 2022 pay program, which metrics were selected to drive a focus on corporate objectives that are expected to produce an increase in shareholder value:</w:t>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1092"/>
        <w:gridCol w:w="2949"/>
        <w:gridCol w:w="6164"/>
      </w:tblGrid>
      <w:tr>
        <w:trPr/>
        <w:tc>
          <w:tcPr>
            <w:tcW w:w="1092"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Pay Element</w:t>
            </w:r>
          </w:p>
        </w:tc>
        <w:tc>
          <w:tcPr>
            <w:tcW w:w="2949"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Performance Metric(s)</w:t>
            </w:r>
          </w:p>
        </w:tc>
        <w:tc>
          <w:tcPr>
            <w:tcW w:w="6164"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Rationale and Key Features</w:t>
            </w:r>
          </w:p>
        </w:tc>
      </w:tr>
      <w:tr>
        <w:trPr/>
        <w:tc>
          <w:tcPr>
            <w:tcW w:w="1092" w:type="dxa"/>
            <w:vMerge w:val="restart"/>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20"/>
              </w:rPr>
            </w:pPr>
            <w:r>
              <w:rPr>
                <w:rFonts w:ascii="Arial;Helvetica;Sans-Serif" w:hAnsi="Arial;Helvetica;Sans-Serif"/>
                <w:b/>
                <w:i w:val="false"/>
                <w:caps w:val="false"/>
                <w:smallCaps w:val="false"/>
                <w:color w:val="231F20"/>
                <w:sz w:val="18"/>
              </w:rPr>
              <w:t xml:space="preserve">Annual Cash </w:t>
            </w:r>
            <w:r>
              <w:rPr>
                <w:rFonts w:ascii="Arial;Helvetica;Sans-Serif" w:hAnsi="Arial;Helvetica;Sans-Serif"/>
                <w:b w:val="false"/>
                <w:i w:val="false"/>
                <w:caps w:val="false"/>
                <w:smallCaps w:val="false"/>
                <w:color w:val="231F20"/>
                <w:sz w:val="18"/>
              </w:rPr>
              <w:br/>
            </w:r>
            <w:r>
              <w:rPr>
                <w:rFonts w:ascii="Arial;Helvetica;Sans-Serif" w:hAnsi="Arial;Helvetica;Sans-Serif"/>
                <w:b/>
                <w:i w:val="false"/>
                <w:caps w:val="false"/>
                <w:smallCaps w:val="false"/>
                <w:color w:val="231F20"/>
                <w:sz w:val="18"/>
              </w:rPr>
              <w:t>Incentive</w:t>
            </w:r>
            <w:r>
              <w:rPr>
                <w:rFonts w:ascii="Arial;Helvetica;Sans-Serif" w:hAnsi="Arial;Helvetica;Sans-Serif"/>
                <w:b w:val="false"/>
                <w:i w:val="false"/>
                <w:caps w:val="false"/>
                <w:smallCaps w:val="false"/>
                <w:color w:val="231F20"/>
                <w:sz w:val="18"/>
              </w:rPr>
              <w:t> </w:t>
            </w:r>
          </w:p>
        </w:tc>
        <w:tc>
          <w:tcPr>
            <w:tcW w:w="2949"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GAAP Revenue, as Adjusted (25% weight)</w:t>
            </w:r>
          </w:p>
        </w:tc>
        <w:tc>
          <w:tcPr>
            <w:tcW w:w="6164"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Revenue growth is critically important to our success given the operating leverage in our business</w:t>
            </w:r>
          </w:p>
        </w:tc>
      </w:tr>
      <w:tr>
        <w:trPr/>
        <w:tc>
          <w:tcPr>
            <w:tcW w:w="1092" w:type="dxa"/>
            <w:vMerge w:val="continue"/>
            <w:tcBorders/>
            <w:shd w:fill="DCDDDE" w:val="clear"/>
            <w:vAlign w:val="center"/>
          </w:tcPr>
          <w:p>
            <w:pPr>
              <w:pStyle w:val="Normal"/>
              <w:rPr/>
            </w:pPr>
            <w:r>
              <w:rPr/>
            </w:r>
          </w:p>
        </w:tc>
        <w:tc>
          <w:tcPr>
            <w:tcW w:w="2949" w:type="dxa"/>
            <w:tcBorders/>
            <w:shd w:fill="DCDDDE" w:val="clear"/>
            <w:vAlign w:val="center"/>
          </w:tcPr>
          <w:p>
            <w:pPr>
              <w:pStyle w:val="TableContents"/>
              <w:spacing w:lineRule="auto" w:line="240"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Adjusted EPS, as Adjusted (1) (25% weight)</w:t>
            </w:r>
          </w:p>
        </w:tc>
        <w:tc>
          <w:tcPr>
            <w:tcW w:w="6164"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Earnings per share performance aligns with shareholder objectives</w:t>
            </w:r>
          </w:p>
        </w:tc>
      </w:tr>
      <w:tr>
        <w:trPr/>
        <w:tc>
          <w:tcPr>
            <w:tcW w:w="1092" w:type="dxa"/>
            <w:vMerge w:val="continue"/>
            <w:tcBorders/>
            <w:shd w:fill="DCDDDE" w:val="clear"/>
            <w:vAlign w:val="center"/>
          </w:tcPr>
          <w:p>
            <w:pPr>
              <w:pStyle w:val="Normal"/>
              <w:rPr/>
            </w:pPr>
            <w:r>
              <w:rPr/>
            </w:r>
          </w:p>
        </w:tc>
        <w:tc>
          <w:tcPr>
            <w:tcW w:w="2949"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M&amp;A and Other Transactions (25% weight)</w:t>
            </w:r>
          </w:p>
        </w:tc>
        <w:tc>
          <w:tcPr>
            <w:tcW w:w="6164"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expect M&amp;A and other transactions to continue to contribute to growth</w:t>
            </w:r>
          </w:p>
        </w:tc>
      </w:tr>
      <w:tr>
        <w:trPr/>
        <w:tc>
          <w:tcPr>
            <w:tcW w:w="1092" w:type="dxa"/>
            <w:vMerge w:val="continue"/>
            <w:tcBorders/>
            <w:shd w:fill="DCDDDE" w:val="clear"/>
            <w:vAlign w:val="center"/>
          </w:tcPr>
          <w:p>
            <w:pPr>
              <w:pStyle w:val="Normal"/>
              <w:rPr/>
            </w:pPr>
            <w:r>
              <w:rPr/>
            </w:r>
          </w:p>
        </w:tc>
        <w:tc>
          <w:tcPr>
            <w:tcW w:w="2949"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Growth and Other Initiatives (25% weight)</w:t>
            </w:r>
          </w:p>
        </w:tc>
        <w:tc>
          <w:tcPr>
            <w:tcW w:w="6164"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Drive initiatives to improve financial results</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For purposes of the incentive compensation awards described in this Compensation Discussion and Analysis, “Adjusted EPS, as adjusted” is Adjusted EPS, further adjusted to exclude the impact of fuel prices, fuel price spreads, foreign exchange rates, acquisitions, and dispositions.</w:t>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33</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EE0027"/>
          <w:sz w:val="20"/>
        </w:rPr>
      </w:pPr>
      <w:bookmarkStart w:id="88" w:name="a049"/>
      <w:bookmarkEnd w:id="88"/>
      <w:r>
        <w:rPr>
          <w:rFonts w:ascii="Arial;Helvetica;Sans-Serif" w:hAnsi="Arial;Helvetica;Sans-Serif"/>
          <w:b/>
          <w:i w:val="false"/>
          <w:caps w:val="false"/>
          <w:smallCaps w:val="false"/>
          <w:color w:val="EE0027"/>
          <w:sz w:val="20"/>
        </w:rPr>
        <w:t>Key Elements of 2022 Named Executive Officer Compensation</w:t>
      </w:r>
    </w:p>
    <w:p>
      <w:pPr>
        <w:pStyle w:val="TextBody"/>
        <w:spacing w:before="0" w:after="0"/>
        <w:rPr>
          <w:caps w:val="false"/>
          <w:smallCaps w:val="false"/>
          <w:color w:val="EE0027"/>
        </w:rPr>
      </w:pPr>
      <w:r>
        <w:rPr>
          <w:caps w:val="false"/>
          <w:smallCaps w:val="false"/>
          <w:color w:val="EE0027"/>
        </w:rPr>
        <w:t> </w:t>
      </w:r>
    </w:p>
    <w:p>
      <w:pPr>
        <w:pStyle w:val="TextBody"/>
        <w:spacing w:before="0" w:after="0"/>
        <w:rPr/>
      </w:pPr>
      <w:r>
        <w:rPr/>
      </w:r>
      <w:r>
        <mc:AlternateContent>
          <mc:Choice Requires="wps">
            <w:drawing>
              <wp:anchor behindDoc="0" distT="0" distB="0" distL="0" distR="0" simplePos="0" locked="0" layoutInCell="1" allowOverlap="1" relativeHeight="192">
                <wp:simplePos x="0" y="0"/>
                <wp:positionH relativeFrom="column">
                  <wp:align>left</wp:align>
                </wp:positionH>
                <wp:positionV relativeFrom="line">
                  <wp:posOffset>635</wp:posOffset>
                </wp:positionV>
                <wp:extent cx="3110230" cy="1095375"/>
                <wp:effectExtent l="0" t="0" r="0" b="0"/>
                <wp:wrapSquare wrapText="largest"/>
                <wp:docPr id="377" name="Frame50"/>
                <a:graphic xmlns:a="http://schemas.openxmlformats.org/drawingml/2006/main">
                  <a:graphicData uri="http://schemas.microsoft.com/office/word/2010/wordprocessingShape">
                    <wps:wsp>
                      <wps:cNvSpPr txBox="1"/>
                      <wps:spPr>
                        <a:xfrm>
                          <a:off x="0" y="0"/>
                          <a:ext cx="3110230" cy="1095375"/>
                        </a:xfrm>
                        <a:prstGeom prst="rect"/>
                      </wps:spPr>
                      <wps:txbx>
                        <w:txbxContent>
                          <w:p>
                            <w:pPr>
                              <w:pStyle w:val="TextBody"/>
                              <w:spacing w:before="0" w:after="0"/>
                              <w:rPr>
                                <w:rFonts w:ascii="Arial;Helvetica;Sans-Serif" w:hAnsi="Arial;Helvetica;Sans-Serif"/>
                                <w:b/>
                                <w:i w:val="false"/>
                                <w:caps w:val="false"/>
                                <w:smallCaps w:val="false"/>
                                <w:color w:val="231F20"/>
                                <w:sz w:val="18"/>
                              </w:rPr>
                            </w:pPr>
                            <w:bookmarkStart w:id="89" w:name="a050"/>
                            <w:bookmarkEnd w:id="89"/>
                            <w:r>
                              <w:rPr>
                                <w:rFonts w:ascii="Arial;Helvetica;Sans-Serif" w:hAnsi="Arial;Helvetica;Sans-Serif"/>
                                <w:b/>
                                <w:i w:val="false"/>
                                <w:caps w:val="false"/>
                                <w:smallCaps w:val="false"/>
                                <w:color w:val="231F20"/>
                                <w:sz w:val="18"/>
                              </w:rPr>
                              <w:t>Base Salary</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Base salaries are reviewed annually, taking into account individual responsibilities, individual performance, the experience of the individual, current salary, retention incentives, internal equity and the compensation committee’s evaluation of the competitive market. No particular weight is assigned to</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6.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231F20"/>
                          <w:sz w:val="18"/>
                        </w:rPr>
                      </w:pPr>
                      <w:bookmarkStart w:id="90" w:name="a050"/>
                      <w:bookmarkEnd w:id="90"/>
                      <w:r>
                        <w:rPr>
                          <w:rFonts w:ascii="Arial;Helvetica;Sans-Serif" w:hAnsi="Arial;Helvetica;Sans-Serif"/>
                          <w:b/>
                          <w:i w:val="false"/>
                          <w:caps w:val="false"/>
                          <w:smallCaps w:val="false"/>
                          <w:color w:val="231F20"/>
                          <w:sz w:val="18"/>
                        </w:rPr>
                        <w:t>Base Salary</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Base salaries are reviewed annually, taking into account individual responsibilities, individual performance, the experience of the individual, current salary, retention incentives, internal equity and the compensation committee’s evaluation of the competitive market. No particular weight is assigned to</w:t>
                      </w:r>
                    </w:p>
                  </w:txbxContent>
                </v:textbox>
                <w10:wrap type="square" side="right"/>
              </v:rect>
            </w:pict>
          </mc:Fallback>
        </mc:AlternateContent>
      </w:r>
      <w:r>
        <mc:AlternateContent>
          <mc:Choice Requires="wps">
            <w:drawing>
              <wp:anchor behindDoc="0" distT="0" distB="0" distL="0" distR="0" simplePos="0" locked="0" layoutInCell="1" allowOverlap="1" relativeHeight="193">
                <wp:simplePos x="0" y="0"/>
                <wp:positionH relativeFrom="column">
                  <wp:align>right</wp:align>
                </wp:positionH>
                <wp:positionV relativeFrom="line">
                  <wp:posOffset>635</wp:posOffset>
                </wp:positionV>
                <wp:extent cx="3110230" cy="920115"/>
                <wp:effectExtent l="0" t="0" r="0" b="0"/>
                <wp:wrapSquare wrapText="largest"/>
                <wp:docPr id="378" name="Frame51"/>
                <a:graphic xmlns:a="http://schemas.openxmlformats.org/drawingml/2006/main">
                  <a:graphicData uri="http://schemas.microsoft.com/office/word/2010/wordprocessingShape">
                    <wps:wsp>
                      <wps:cNvSpPr txBox="1"/>
                      <wps:spPr>
                        <a:xfrm>
                          <a:off x="0" y="0"/>
                          <a:ext cx="3110230" cy="92011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these factors. Based on its consideration of these factors, the compensation committee approved increases to the base salary rates of Mr. Clarke and Mr. Netto for 2022. In setting Mr. Clarke’s base salary rate for 2022, the compensation committee specifically considered the need to properly incentivize Mr. Clarke. The table below illustrates the 2022 base salaries for our NEOs: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2.4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these factors. Based on its consideration of these factors, the compensation committee approved increases to the base salary rates of Mr. Clarke and Mr. Netto for 2022. In setting Mr. Clarke’s base salary rate for 2022, the compensation committee specifically considered the need to properly incentivize Mr. Clarke. The table below illustrates the 2022 base salaries for our NEOs:</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7145" w:type="dxa"/>
        <w:jc w:val="left"/>
        <w:tblInd w:w="0" w:type="dxa"/>
        <w:tblCellMar>
          <w:top w:w="0" w:type="dxa"/>
          <w:left w:w="0" w:type="dxa"/>
          <w:bottom w:w="0" w:type="dxa"/>
          <w:right w:w="0" w:type="dxa"/>
        </w:tblCellMar>
      </w:tblPr>
      <w:tblGrid>
        <w:gridCol w:w="2180"/>
        <w:gridCol w:w="1985"/>
        <w:gridCol w:w="1985"/>
        <w:gridCol w:w="995"/>
      </w:tblGrid>
      <w:tr>
        <w:trPr/>
        <w:tc>
          <w:tcPr>
            <w:tcW w:w="2180"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Named Executive Officer</w:t>
            </w:r>
          </w:p>
        </w:tc>
        <w:tc>
          <w:tcPr>
            <w:tcW w:w="1985"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2021 Base Salary Rate</w:t>
            </w:r>
          </w:p>
        </w:tc>
        <w:tc>
          <w:tcPr>
            <w:tcW w:w="1985"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2022 Base Salary Rate</w:t>
            </w:r>
          </w:p>
        </w:tc>
        <w:tc>
          <w:tcPr>
            <w:tcW w:w="995"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Increase</w:t>
            </w:r>
          </w:p>
        </w:tc>
      </w:tr>
      <w:tr>
        <w:trPr/>
        <w:tc>
          <w:tcPr>
            <w:tcW w:w="218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Ronald F. Clarke</w:t>
            </w:r>
          </w:p>
        </w:tc>
        <w:tc>
          <w:tcPr>
            <w:tcW w:w="19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$1,000,000</w:t>
            </w:r>
          </w:p>
        </w:tc>
        <w:tc>
          <w:tcPr>
            <w:tcW w:w="19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$1,200,000</w:t>
            </w:r>
          </w:p>
        </w:tc>
        <w:tc>
          <w:tcPr>
            <w:tcW w:w="99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20%</w:t>
            </w:r>
          </w:p>
        </w:tc>
      </w:tr>
      <w:tr>
        <w:trPr/>
        <w:tc>
          <w:tcPr>
            <w:tcW w:w="2180" w:type="dxa"/>
            <w:tcBorders/>
            <w:shd w:fill="DDDCDC"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Alissa B. Vickery</w:t>
            </w:r>
          </w:p>
        </w:tc>
        <w:tc>
          <w:tcPr>
            <w:tcW w:w="198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$225,000</w:t>
            </w:r>
          </w:p>
        </w:tc>
        <w:tc>
          <w:tcPr>
            <w:tcW w:w="198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$250,000</w:t>
            </w:r>
          </w:p>
        </w:tc>
        <w:tc>
          <w:tcPr>
            <w:tcW w:w="99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11.1%</w:t>
            </w:r>
          </w:p>
        </w:tc>
      </w:tr>
      <w:tr>
        <w:trPr/>
        <w:tc>
          <w:tcPr>
            <w:tcW w:w="218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Charles R. Freund</w:t>
            </w:r>
          </w:p>
        </w:tc>
        <w:tc>
          <w:tcPr>
            <w:tcW w:w="19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$450,000</w:t>
            </w:r>
          </w:p>
        </w:tc>
        <w:tc>
          <w:tcPr>
            <w:tcW w:w="19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$450,000</w:t>
            </w:r>
          </w:p>
        </w:tc>
        <w:tc>
          <w:tcPr>
            <w:tcW w:w="99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0%</w:t>
            </w:r>
          </w:p>
        </w:tc>
      </w:tr>
      <w:tr>
        <w:trPr/>
        <w:tc>
          <w:tcPr>
            <w:tcW w:w="2180" w:type="dxa"/>
            <w:tcBorders/>
            <w:shd w:fill="DCDDDE" w:val="clear"/>
            <w:vAlign w:val="center"/>
          </w:tcPr>
          <w:p>
            <w:pPr>
              <w:pStyle w:val="TableContents"/>
              <w:spacing w:lineRule="auto" w:line="240" w:before="0" w:after="283"/>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58595B"/>
                <w:sz w:val="18"/>
              </w:rPr>
              <w:t xml:space="preserve">Armando L. Netto </w:t>
            </w:r>
            <w:r>
              <w:rPr>
                <w:rFonts w:ascii="Arial;Helvetica;Sans-Serif" w:hAnsi="Arial;Helvetica;Sans-Serif"/>
                <w:b/>
                <w:i w:val="false"/>
                <w:caps w:val="false"/>
                <w:smallCaps w:val="false"/>
                <w:color w:val="58595B"/>
                <w:sz w:val="20"/>
              </w:rPr>
              <w:t>(1)</w:t>
            </w:r>
          </w:p>
        </w:tc>
        <w:tc>
          <w:tcPr>
            <w:tcW w:w="198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$445,371</w:t>
            </w:r>
          </w:p>
        </w:tc>
        <w:tc>
          <w:tcPr>
            <w:tcW w:w="198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$487,272</w:t>
            </w:r>
          </w:p>
        </w:tc>
        <w:tc>
          <w:tcPr>
            <w:tcW w:w="99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9.4%</w:t>
            </w:r>
          </w:p>
        </w:tc>
      </w:tr>
      <w:tr>
        <w:trPr/>
        <w:tc>
          <w:tcPr>
            <w:tcW w:w="2180" w:type="dxa"/>
            <w:tcBorders/>
            <w:shd w:fill="auto" w:val="clear"/>
            <w:vAlign w:val="center"/>
          </w:tcPr>
          <w:p>
            <w:pPr>
              <w:pStyle w:val="TableContents"/>
              <w:spacing w:lineRule="auto" w:line="240" w:before="0" w:after="283"/>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58595B"/>
                <w:sz w:val="18"/>
              </w:rPr>
              <w:t xml:space="preserve">Alan King </w:t>
            </w:r>
            <w:r>
              <w:rPr>
                <w:rFonts w:ascii="Arial;Helvetica;Sans-Serif" w:hAnsi="Arial;Helvetica;Sans-Serif"/>
                <w:b/>
                <w:i w:val="false"/>
                <w:caps w:val="false"/>
                <w:smallCaps w:val="false"/>
                <w:color w:val="58595B"/>
                <w:sz w:val="20"/>
              </w:rPr>
              <w:t>(1)</w:t>
            </w:r>
          </w:p>
        </w:tc>
        <w:tc>
          <w:tcPr>
            <w:tcW w:w="19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$372,563</w:t>
            </w:r>
          </w:p>
        </w:tc>
        <w:tc>
          <w:tcPr>
            <w:tcW w:w="19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$372,563</w:t>
            </w:r>
          </w:p>
        </w:tc>
        <w:tc>
          <w:tcPr>
            <w:tcW w:w="99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0%</w:t>
            </w:r>
          </w:p>
        </w:tc>
      </w:tr>
      <w:tr>
        <w:trPr/>
        <w:tc>
          <w:tcPr>
            <w:tcW w:w="218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Alexey Gavrilenya</w:t>
            </w:r>
          </w:p>
        </w:tc>
        <w:tc>
          <w:tcPr>
            <w:tcW w:w="198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$400,000</w:t>
            </w:r>
          </w:p>
        </w:tc>
        <w:tc>
          <w:tcPr>
            <w:tcW w:w="198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$400,000</w:t>
            </w:r>
          </w:p>
        </w:tc>
        <w:tc>
          <w:tcPr>
            <w:tcW w:w="99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0%</w:t>
            </w:r>
          </w:p>
        </w:tc>
      </w:tr>
      <w:tr>
        <w:trPr/>
        <w:tc>
          <w:tcPr>
            <w:tcW w:w="218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John S. Coughlin</w:t>
            </w:r>
          </w:p>
        </w:tc>
        <w:tc>
          <w:tcPr>
            <w:tcW w:w="19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$450,000</w:t>
            </w:r>
          </w:p>
        </w:tc>
        <w:tc>
          <w:tcPr>
            <w:tcW w:w="19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$450,000</w:t>
            </w:r>
          </w:p>
        </w:tc>
        <w:tc>
          <w:tcPr>
            <w:tcW w:w="99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0%</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Mr. Netto’s cash compensation is denominated in Brazilian Real, and, at the time 2022 base salary determinations were made, Mr. King’s cash compensation was denominated in British Pounds Sterling. For purposes of this table and to normalize for fluctuations in the currency exchange rate, cash amounts for Mr. Netto have been converted to U.S. dollars at an average exchange rate of $1 to R$5.1535 for 2022, and cash amounts for Mr. King have been converted to U.S. dollars at an average exchange rate of $1 to £0.8080 for 2022. The 2021 base salary rate for Mr. Netto may not be comparable to the 2021 base salary rate reported for him in our 2022 proxy statement, as we used a 2021 exchange rate calculation for purposes of such disclosure in the prior filing.</w:t>
      </w:r>
    </w:p>
    <w:p>
      <w:pPr>
        <w:pStyle w:val="TextBody"/>
        <w:spacing w:before="0" w:after="0"/>
        <w:rPr>
          <w:caps w:val="false"/>
          <w:smallCaps w:val="false"/>
          <w:color w:val="58595B"/>
        </w:rPr>
      </w:pPr>
      <w:r>
        <w:rPr>
          <w:caps w:val="false"/>
          <w:smallCaps w:val="false"/>
          <w:color w:val="58595B"/>
        </w:rPr>
        <w:t> </w:t>
      </w:r>
    </w:p>
    <w:p>
      <w:pPr>
        <w:pStyle w:val="TextBody"/>
        <w:spacing w:before="0" w:after="0"/>
        <w:rPr>
          <w:caps w:val="false"/>
          <w:smallCaps w:val="false"/>
          <w:color w:val="58595B"/>
        </w:rPr>
      </w:pPr>
      <w:r>
        <w:rPr>
          <w:caps w:val="false"/>
          <w:smallCaps w:val="false"/>
          <w:color w:val="58595B"/>
        </w:rPr>
        <w:t> </w:t>
      </w:r>
      <w:r>
        <mc:AlternateContent>
          <mc:Choice Requires="wps">
            <w:drawing>
              <wp:anchor behindDoc="0" distT="0" distB="0" distL="0" distR="0" simplePos="0" locked="0" layoutInCell="1" allowOverlap="1" relativeHeight="194">
                <wp:simplePos x="0" y="0"/>
                <wp:positionH relativeFrom="column">
                  <wp:align>left</wp:align>
                </wp:positionH>
                <wp:positionV relativeFrom="line">
                  <wp:posOffset>635</wp:posOffset>
                </wp:positionV>
                <wp:extent cx="3110230" cy="1489710"/>
                <wp:effectExtent l="0" t="0" r="0" b="0"/>
                <wp:wrapSquare wrapText="largest"/>
                <wp:docPr id="379" name="Frame52"/>
                <a:graphic xmlns:a="http://schemas.openxmlformats.org/drawingml/2006/main">
                  <a:graphicData uri="http://schemas.microsoft.com/office/word/2010/wordprocessingShape">
                    <wps:wsp>
                      <wps:cNvSpPr txBox="1"/>
                      <wps:spPr>
                        <a:xfrm>
                          <a:off x="0" y="0"/>
                          <a:ext cx="3110230" cy="1489710"/>
                        </a:xfrm>
                        <a:prstGeom prst="rect"/>
                      </wps:spPr>
                      <wps:txbx>
                        <w:txbxContent>
                          <w:p>
                            <w:pPr>
                              <w:pStyle w:val="TextBody"/>
                              <w:spacing w:before="0" w:after="0"/>
                              <w:rPr>
                                <w:rFonts w:ascii="Arial;Helvetica;Sans-Serif" w:hAnsi="Arial;Helvetica;Sans-Serif"/>
                                <w:b/>
                                <w:i w:val="false"/>
                                <w:caps w:val="false"/>
                                <w:smallCaps w:val="false"/>
                                <w:color w:val="231F20"/>
                                <w:sz w:val="18"/>
                              </w:rPr>
                            </w:pPr>
                            <w:bookmarkStart w:id="91" w:name="a051"/>
                            <w:bookmarkEnd w:id="91"/>
                            <w:r>
                              <w:rPr>
                                <w:rFonts w:ascii="Arial;Helvetica;Sans-Serif" w:hAnsi="Arial;Helvetica;Sans-Serif"/>
                                <w:b/>
                                <w:i w:val="false"/>
                                <w:caps w:val="false"/>
                                <w:smallCaps w:val="false"/>
                                <w:color w:val="231F20"/>
                                <w:sz w:val="18"/>
                              </w:rPr>
                              <w:t>Annual Cash Incentive</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primary objectives of our annual cash incentive program are to provide an incentive for superior work, to motivate our NEOs toward even higher achievement and business results and to tie our NEOs’ goals to the Company’s performance. We use Company-wide, individual and business unit performance goals in our annual cash incentive program. Individual or business unit performance goals are tied to the particular area of expertise and responsibilities of the NEO and their performance in attaining those objectives.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17.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231F20"/>
                          <w:sz w:val="18"/>
                        </w:rPr>
                      </w:pPr>
                      <w:bookmarkStart w:id="92" w:name="a051"/>
                      <w:bookmarkEnd w:id="92"/>
                      <w:r>
                        <w:rPr>
                          <w:rFonts w:ascii="Arial;Helvetica;Sans-Serif" w:hAnsi="Arial;Helvetica;Sans-Serif"/>
                          <w:b/>
                          <w:i w:val="false"/>
                          <w:caps w:val="false"/>
                          <w:smallCaps w:val="false"/>
                          <w:color w:val="231F20"/>
                          <w:sz w:val="18"/>
                        </w:rPr>
                        <w:t>Annual Cash Incentive</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primary objectives of our annual cash incentive program are to provide an incentive for superior work, to motivate our NEOs toward even higher achievement and business results and to tie our NEOs’ goals to the Company’s performance. We use Company-wide, individual and business unit performance goals in our annual cash incentive program. Individual or business unit performance goals are tied to the particular area of expertise and responsibilities of the NEO and their performance in attaining those objectives.</w:t>
                      </w:r>
                    </w:p>
                  </w:txbxContent>
                </v:textbox>
                <w10:wrap type="square" side="right"/>
              </v:rect>
            </w:pict>
          </mc:Fallback>
        </mc:AlternateContent>
      </w:r>
      <w:r>
        <mc:AlternateContent>
          <mc:Choice Requires="wps">
            <w:drawing>
              <wp:anchor behindDoc="0" distT="0" distB="0" distL="0" distR="0" simplePos="0" locked="0" layoutInCell="1" allowOverlap="1" relativeHeight="195">
                <wp:simplePos x="0" y="0"/>
                <wp:positionH relativeFrom="column">
                  <wp:align>right</wp:align>
                </wp:positionH>
                <wp:positionV relativeFrom="line">
                  <wp:posOffset>635</wp:posOffset>
                </wp:positionV>
                <wp:extent cx="3110230" cy="1971675"/>
                <wp:effectExtent l="0" t="0" r="0" b="0"/>
                <wp:wrapSquare wrapText="largest"/>
                <wp:docPr id="380" name="Frame53"/>
                <a:graphic xmlns:a="http://schemas.openxmlformats.org/drawingml/2006/main">
                  <a:graphicData uri="http://schemas.microsoft.com/office/word/2010/wordprocessingShape">
                    <wps:wsp>
                      <wps:cNvSpPr txBox="1"/>
                      <wps:spPr>
                        <a:xfrm>
                          <a:off x="0" y="0"/>
                          <a:ext cx="3110230" cy="197167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January 2022, the compensation committee determined the target annual cash incentive payout levels for the NEOs based on a combination of factors, including each NEO’s role and responsibilities, experience and skills, expected contribution to the Company and potential impact of the NEO’s performance on revenue and net income growth. Based on such factors, and after considering the need to properly incentivize Mr. Clarke, the compensation committee approved an increase of Mr. Clarke’s target annual cash incentive award from 100% of base salary to 150% of base salary. Due to the timing of Mr. Gavrilenya’s and Mr. Coughlin’s cessation of service in their prior officer roles, they were not eligible for 2022 annual cash incentive awards. Target amounts below are shown as a percent of each participating NEO’s base salary: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5.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January 2022, the compensation committee determined the target annual cash incentive payout levels for the NEOs based on a combination of factors, including each NEO’s role and responsibilities, experience and skills, expected contribution to the Company and potential impact of the NEO’s performance on revenue and net income growth. Based on such factors, and after considering the need to properly incentivize Mr. Clarke, the compensation committee approved an increase of Mr. Clarke’s target annual cash incentive award from 100% of base salary to 150% of base salary. Due to the timing of Mr. Gavrilenya’s and Mr. Coughlin’s cessation of service in their prior officer roles, they were not eligible for 2022 annual cash incentive awards. Target amounts below are shown as a percent of each participating NEO’s base salary:</w:t>
                      </w:r>
                    </w:p>
                  </w:txbxContent>
                </v:textbox>
                <w10:wrap type="square" side="left"/>
              </v:rect>
            </w:pict>
          </mc:Fallback>
        </mc:AlternateContent>
      </w:r>
    </w:p>
    <w:tbl>
      <w:tblPr>
        <w:tblW w:w="6625" w:type="dxa"/>
        <w:jc w:val="left"/>
        <w:tblInd w:w="0" w:type="dxa"/>
        <w:tblCellMar>
          <w:top w:w="0" w:type="dxa"/>
          <w:left w:w="0" w:type="dxa"/>
          <w:bottom w:w="0" w:type="dxa"/>
          <w:right w:w="0" w:type="dxa"/>
        </w:tblCellMar>
      </w:tblPr>
      <w:tblGrid>
        <w:gridCol w:w="2180"/>
        <w:gridCol w:w="4445"/>
      </w:tblGrid>
      <w:tr>
        <w:trPr/>
        <w:tc>
          <w:tcPr>
            <w:tcW w:w="2180"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Named Executive Officer</w:t>
            </w:r>
          </w:p>
        </w:tc>
        <w:tc>
          <w:tcPr>
            <w:tcW w:w="4445"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Annual Cash Incentive Target (as % of Base Salary)</w:t>
            </w:r>
          </w:p>
        </w:tc>
      </w:tr>
      <w:tr>
        <w:trPr/>
        <w:tc>
          <w:tcPr>
            <w:tcW w:w="218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Ronald F. Clarke</w:t>
            </w:r>
          </w:p>
        </w:tc>
        <w:tc>
          <w:tcPr>
            <w:tcW w:w="444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150%</w:t>
            </w:r>
          </w:p>
        </w:tc>
      </w:tr>
      <w:tr>
        <w:trPr/>
        <w:tc>
          <w:tcPr>
            <w:tcW w:w="218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Alissa B. Vickery</w:t>
            </w:r>
          </w:p>
        </w:tc>
        <w:tc>
          <w:tcPr>
            <w:tcW w:w="444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30%</w:t>
            </w:r>
          </w:p>
        </w:tc>
      </w:tr>
      <w:tr>
        <w:trPr/>
        <w:tc>
          <w:tcPr>
            <w:tcW w:w="218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Charles R. Freund</w:t>
            </w:r>
          </w:p>
        </w:tc>
        <w:tc>
          <w:tcPr>
            <w:tcW w:w="444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75%</w:t>
            </w:r>
          </w:p>
        </w:tc>
      </w:tr>
      <w:tr>
        <w:trPr/>
        <w:tc>
          <w:tcPr>
            <w:tcW w:w="218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Armando L. Netto</w:t>
            </w:r>
          </w:p>
        </w:tc>
        <w:tc>
          <w:tcPr>
            <w:tcW w:w="444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75%</w:t>
            </w:r>
          </w:p>
        </w:tc>
      </w:tr>
      <w:tr>
        <w:trPr/>
        <w:tc>
          <w:tcPr>
            <w:tcW w:w="218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Alan King</w:t>
            </w:r>
          </w:p>
        </w:tc>
        <w:tc>
          <w:tcPr>
            <w:tcW w:w="444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75%</w:t>
            </w:r>
          </w:p>
        </w:tc>
      </w:tr>
    </w:tbl>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34</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58595B"/>
        </w:rPr>
      </w:pPr>
      <w:r>
        <w:rPr>
          <w:caps w:val="false"/>
          <w:smallCaps w:val="false"/>
          <w:color w:val="58595B"/>
        </w:rPr>
        <w:t> </w:t>
      </w:r>
      <w:r>
        <mc:AlternateContent>
          <mc:Choice Requires="wps">
            <w:drawing>
              <wp:anchor behindDoc="0" distT="0" distB="0" distL="0" distR="0" simplePos="0" locked="0" layoutInCell="1" allowOverlap="1" relativeHeight="196">
                <wp:simplePos x="0" y="0"/>
                <wp:positionH relativeFrom="column">
                  <wp:align>left</wp:align>
                </wp:positionH>
                <wp:positionV relativeFrom="line">
                  <wp:posOffset>635</wp:posOffset>
                </wp:positionV>
                <wp:extent cx="3110230" cy="2059305"/>
                <wp:effectExtent l="0" t="0" r="0" b="0"/>
                <wp:wrapSquare wrapText="largest"/>
                <wp:docPr id="381" name="Frame54"/>
                <a:graphic xmlns:a="http://schemas.openxmlformats.org/drawingml/2006/main">
                  <a:graphicData uri="http://schemas.microsoft.com/office/word/2010/wordprocessingShape">
                    <wps:wsp>
                      <wps:cNvSpPr txBox="1"/>
                      <wps:spPr>
                        <a:xfrm>
                          <a:off x="0" y="0"/>
                          <a:ext cx="3110230" cy="2059305"/>
                        </a:xfrm>
                        <a:prstGeom prst="rect"/>
                      </wps:spPr>
                      <wps:txbx>
                        <w:txbxContent>
                          <w:p>
                            <w:pPr>
                              <w:pStyle w:val="TextBody"/>
                              <w:spacing w:before="0" w:after="0"/>
                              <w:rPr>
                                <w:rFonts w:ascii="Arial;Helvetica;Sans-Serif" w:hAnsi="Arial;Helvetica;Sans-Serif"/>
                                <w:b/>
                                <w:i w:val="false"/>
                                <w:caps w:val="false"/>
                                <w:smallCaps w:val="false"/>
                                <w:color w:val="231F20"/>
                                <w:sz w:val="18"/>
                              </w:rPr>
                            </w:pPr>
                            <w:bookmarkStart w:id="93" w:name="a052"/>
                            <w:bookmarkEnd w:id="93"/>
                            <w:r>
                              <w:rPr>
                                <w:rFonts w:ascii="Arial;Helvetica;Sans-Serif" w:hAnsi="Arial;Helvetica;Sans-Serif"/>
                                <w:b/>
                                <w:i w:val="false"/>
                                <w:caps w:val="false"/>
                                <w:smallCaps w:val="false"/>
                                <w:color w:val="231F20"/>
                                <w:sz w:val="18"/>
                              </w:rPr>
                              <w:t>2022 Performance Goals and Results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and the CEO work together to establish meaningful performance goals for the CEO’s annual cash incentive award at the beginning of the performance period. These goals are intended to align CEO rewards with company performance. Based on achievement of the applicable performance goals, the CEO’s annual cash incentive was designed to be paid out in amounts up to 200% of target.</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CEO makes recommendations regarding individual and/or business unit performance goals, which are reviewed and approved by the compensation committee, for our other NEOs.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231F20"/>
                          <w:sz w:val="18"/>
                        </w:rPr>
                      </w:pPr>
                      <w:bookmarkStart w:id="94" w:name="a052"/>
                      <w:bookmarkEnd w:id="94"/>
                      <w:r>
                        <w:rPr>
                          <w:rFonts w:ascii="Arial;Helvetica;Sans-Serif" w:hAnsi="Arial;Helvetica;Sans-Serif"/>
                          <w:b/>
                          <w:i w:val="false"/>
                          <w:caps w:val="false"/>
                          <w:smallCaps w:val="false"/>
                          <w:color w:val="231F20"/>
                          <w:sz w:val="18"/>
                        </w:rPr>
                        <w:t>2022 Performance Goals and Results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and the CEO work together to establish meaningful performance goals for the CEO’s annual cash incentive award at the beginning of the performance period. These goals are intended to align CEO rewards with company performance. Based on achievement of the applicable performance goals, the CEO’s annual cash incentive was designed to be paid out in amounts up to 200% of target.</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CEO makes recommendations regarding individual and/or business unit performance goals, which are reviewed and approved by the compensation committee, for our other NEOs.</w:t>
                      </w:r>
                    </w:p>
                  </w:txbxContent>
                </v:textbox>
                <w10:wrap type="square" side="right"/>
              </v:rect>
            </w:pict>
          </mc:Fallback>
        </mc:AlternateContent>
      </w:r>
      <w:r>
        <mc:AlternateContent>
          <mc:Choice Requires="wps">
            <w:drawing>
              <wp:anchor behindDoc="0" distT="0" distB="0" distL="0" distR="0" simplePos="0" locked="0" layoutInCell="1" allowOverlap="1" relativeHeight="197">
                <wp:simplePos x="0" y="0"/>
                <wp:positionH relativeFrom="column">
                  <wp:align>right</wp:align>
                </wp:positionH>
                <wp:positionV relativeFrom="line">
                  <wp:posOffset>635</wp:posOffset>
                </wp:positionV>
                <wp:extent cx="3110230" cy="2059305"/>
                <wp:effectExtent l="0" t="0" r="0" b="0"/>
                <wp:wrapSquare wrapText="largest"/>
                <wp:docPr id="382" name="Frame55"/>
                <a:graphic xmlns:a="http://schemas.openxmlformats.org/drawingml/2006/main">
                  <a:graphicData uri="http://schemas.microsoft.com/office/word/2010/wordprocessingShape">
                    <wps:wsp>
                      <wps:cNvSpPr txBox="1"/>
                      <wps:spPr>
                        <a:xfrm>
                          <a:off x="0" y="0"/>
                          <a:ext cx="3110230" cy="205930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Based on achievement of the applicable performance goals, all other NEOs’ annual cash incentives were designed to be paid out in amounts ranging up to 150%.</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Annual cash incentive awards could be paid out in amounts below the individual target amounts if actual performance achieved minimum thresholds. The awards were designed so that performance below threshold would result in no payout for a given goal.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tables below illustrate, for each participating NEO, (1) the performance goals approved for the 2022 annual incentive awards, (2) actual performance with respect to the goals (where applicable), and (3) the final 2022 annual cash incentive payout earned by the NEO (if any).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62.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Based on achievement of the applicable performance goals, all other NEOs’ annual cash incentives were designed to be paid out in amounts ranging up to 150%.</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Annual cash incentive awards could be paid out in amounts below the individual target amounts if actual performance achieved minimum thresholds. The awards were designed so that performance below threshold would result in no payout for a given goal.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tables below illustrate, for each participating NEO, (1) the performance goals approved for the 2022 annual incentive awards, (2) actual performance with respect to the goals (where applicable), and (3) the final 2022 annual cash incentive payout earned by the NEO (if any).</w:t>
                      </w:r>
                    </w:p>
                  </w:txbxContent>
                </v:textbox>
                <w10:wrap type="square" side="left"/>
              </v:rect>
            </w:pict>
          </mc:Fallback>
        </mc:AlternateContent>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18"/>
        </w:rPr>
        <w:t xml:space="preserve">Ronald F. Clarke: </w:t>
      </w:r>
      <w:r>
        <w:rPr>
          <w:rFonts w:ascii="Arial;Helvetica;Sans-Serif" w:hAnsi="Arial;Helvetica;Sans-Serif"/>
          <w:b w:val="false"/>
          <w:i w:val="false"/>
          <w:caps w:val="false"/>
          <w:smallCaps w:val="false"/>
          <w:color w:val="58595B"/>
          <w:sz w:val="18"/>
        </w:rPr>
        <w:t>Mr. Clarke’s 2022 annual cash incentive was determined as follows: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729"/>
        <w:gridCol w:w="875"/>
        <w:gridCol w:w="971"/>
        <w:gridCol w:w="1001"/>
        <w:gridCol w:w="571"/>
        <w:gridCol w:w="951"/>
        <w:gridCol w:w="951"/>
        <w:gridCol w:w="1146"/>
        <w:gridCol w:w="1194"/>
        <w:gridCol w:w="816"/>
      </w:tblGrid>
      <w:tr>
        <w:trPr/>
        <w:tc>
          <w:tcPr>
            <w:tcW w:w="1729"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971"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4620" w:type="dxa"/>
            <w:gridSpan w:val="5"/>
            <w:tcBorders>
              <w:bottom w:val="single" w:sz="8" w:space="0" w:color="FFFFFF"/>
            </w:tcBorders>
            <w:shd w:fill="EE0027" w:val="clear"/>
            <w:tcMar>
              <w:bottom w:w="28" w:type="dxa"/>
            </w:tcMar>
            <w:vAlign w:val="center"/>
          </w:tcPr>
          <w:p>
            <w:pPr>
              <w:pStyle w:val="TableContents"/>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GOALS</w:t>
            </w:r>
          </w:p>
        </w:tc>
        <w:tc>
          <w:tcPr>
            <w:tcW w:w="1194"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2022</w:t>
            </w:r>
          </w:p>
        </w:tc>
        <w:tc>
          <w:tcPr>
            <w:tcW w:w="816" w:type="dxa"/>
            <w:tcBorders/>
            <w:shd w:fill="EE0027" w:val="clear"/>
            <w:vAlign w:val="center"/>
          </w:tcPr>
          <w:p>
            <w:pPr>
              <w:pStyle w:val="TableContents"/>
              <w:spacing w:before="0" w:after="283"/>
              <w:jc w:val="left"/>
              <w:rPr>
                <w:caps w:val="false"/>
                <w:smallCaps w:val="false"/>
              </w:rPr>
            </w:pPr>
            <w:r>
              <w:rPr>
                <w:caps w:val="false"/>
                <w:smallCaps w:val="false"/>
              </w:rPr>
              <w:t> </w:t>
            </w:r>
          </w:p>
        </w:tc>
      </w:tr>
      <w:tr>
        <w:trPr/>
        <w:tc>
          <w:tcPr>
            <w:tcW w:w="1729"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Performance </w:t>
              <w:br/>
              <w:t>Metric</w:t>
            </w:r>
          </w:p>
        </w:tc>
        <w:tc>
          <w:tcPr>
            <w:tcW w:w="87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Weighting </w:t>
            </w:r>
          </w:p>
        </w:tc>
        <w:tc>
          <w:tcPr>
            <w:tcW w:w="971"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 values in </w:t>
              <w:br/>
              <w:t>millions)</w:t>
            </w:r>
          </w:p>
        </w:tc>
        <w:tc>
          <w:tcPr>
            <w:tcW w:w="1001"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Threshold </w:t>
              <w:br/>
              <w:t>(50%) </w:t>
            </w:r>
          </w:p>
        </w:tc>
        <w:tc>
          <w:tcPr>
            <w:tcW w:w="571"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Below </w:t>
              <w:br/>
              <w:t xml:space="preserve">Target </w:t>
              <w:br/>
              <w:t>(75%)</w:t>
            </w:r>
          </w:p>
        </w:tc>
        <w:tc>
          <w:tcPr>
            <w:tcW w:w="951"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Target </w:t>
              <w:br/>
              <w:t>(100%)</w:t>
            </w:r>
          </w:p>
        </w:tc>
        <w:tc>
          <w:tcPr>
            <w:tcW w:w="951"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Above </w:t>
              <w:br/>
              <w:t xml:space="preserve">Target </w:t>
              <w:br/>
              <w:t>(150%)</w:t>
            </w:r>
          </w:p>
        </w:tc>
        <w:tc>
          <w:tcPr>
            <w:tcW w:w="1146"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Maximum (200%)</w:t>
            </w:r>
          </w:p>
        </w:tc>
        <w:tc>
          <w:tcPr>
            <w:tcW w:w="1194"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Achievement </w:t>
              <w:br/>
              <w:t xml:space="preserve">($ values in </w:t>
              <w:br/>
              <w:t xml:space="preserve">millions, except </w:t>
              <w:br/>
              <w:t>Adj. EPS)</w:t>
            </w:r>
          </w:p>
        </w:tc>
        <w:tc>
          <w:tcPr>
            <w:tcW w:w="816"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 of Target </w:t>
              <w:br/>
              <w:t>Earned</w:t>
            </w:r>
          </w:p>
        </w:tc>
      </w:tr>
      <w:tr>
        <w:trPr/>
        <w:tc>
          <w:tcPr>
            <w:tcW w:w="1729"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GAAP</w:t>
            </w:r>
          </w:p>
          <w:p>
            <w:pPr>
              <w:pStyle w:val="TableContents"/>
              <w:spacing w:lineRule="auto" w:line="240" w:before="0" w:after="0"/>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16"/>
              </w:rPr>
              <w:t>Revenue, as adjusted</w:t>
            </w:r>
            <w:r>
              <w:rPr>
                <w:rFonts w:ascii="Arial;Helvetica;Sans-Serif" w:hAnsi="Arial;Helvetica;Sans-Serif"/>
                <w:b w:val="false"/>
                <w:i w:val="false"/>
                <w:caps w:val="false"/>
                <w:smallCaps w:val="false"/>
                <w:color w:val="231F20"/>
                <w:sz w:val="20"/>
              </w:rPr>
              <w:t>(1)</w:t>
            </w:r>
          </w:p>
        </w:tc>
        <w:tc>
          <w:tcPr>
            <w:tcW w:w="875"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25%</w:t>
            </w:r>
          </w:p>
        </w:tc>
        <w:tc>
          <w:tcPr>
            <w:tcW w:w="971"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$3,220</w:t>
            </w:r>
          </w:p>
        </w:tc>
        <w:tc>
          <w:tcPr>
            <w:tcW w:w="1001" w:type="dxa"/>
            <w:tcBorders/>
            <w:shd w:fill="auto"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98%</w:t>
            </w:r>
          </w:p>
        </w:tc>
        <w:tc>
          <w:tcPr>
            <w:tcW w:w="571" w:type="dxa"/>
            <w:tcBorders/>
            <w:shd w:fill="auto"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99%</w:t>
            </w:r>
          </w:p>
        </w:tc>
        <w:tc>
          <w:tcPr>
            <w:tcW w:w="951" w:type="dxa"/>
            <w:tcBorders/>
            <w:shd w:fill="auto"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100%</w:t>
            </w:r>
          </w:p>
        </w:tc>
        <w:tc>
          <w:tcPr>
            <w:tcW w:w="951" w:type="dxa"/>
            <w:tcBorders/>
            <w:shd w:fill="auto"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101%</w:t>
            </w:r>
          </w:p>
        </w:tc>
        <w:tc>
          <w:tcPr>
            <w:tcW w:w="1146" w:type="dxa"/>
            <w:tcBorders/>
            <w:shd w:fill="auto"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102% </w:t>
            </w:r>
          </w:p>
        </w:tc>
        <w:tc>
          <w:tcPr>
            <w:tcW w:w="1194"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$3,331.4</w:t>
            </w:r>
          </w:p>
        </w:tc>
        <w:tc>
          <w:tcPr>
            <w:tcW w:w="816"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200%</w:t>
            </w:r>
          </w:p>
        </w:tc>
      </w:tr>
      <w:tr>
        <w:trPr/>
        <w:tc>
          <w:tcPr>
            <w:tcW w:w="1729"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Adjusted EPS, as adjusted</w:t>
            </w:r>
          </w:p>
        </w:tc>
        <w:tc>
          <w:tcPr>
            <w:tcW w:w="875"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25%</w:t>
            </w:r>
          </w:p>
        </w:tc>
        <w:tc>
          <w:tcPr>
            <w:tcW w:w="971"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Budget </w:t>
            </w:r>
          </w:p>
        </w:tc>
        <w:tc>
          <w:tcPr>
            <w:tcW w:w="1001" w:type="dxa"/>
            <w:tcBorders/>
            <w:shd w:fill="DCDDDE"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98% </w:t>
            </w:r>
          </w:p>
        </w:tc>
        <w:tc>
          <w:tcPr>
            <w:tcW w:w="571" w:type="dxa"/>
            <w:tcBorders/>
            <w:shd w:fill="DCDDDE"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99%</w:t>
            </w:r>
          </w:p>
        </w:tc>
        <w:tc>
          <w:tcPr>
            <w:tcW w:w="951" w:type="dxa"/>
            <w:tcBorders/>
            <w:shd w:fill="DCDDDE"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100%</w:t>
            </w:r>
          </w:p>
        </w:tc>
        <w:tc>
          <w:tcPr>
            <w:tcW w:w="951" w:type="dxa"/>
            <w:tcBorders/>
            <w:shd w:fill="DCDDDE"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101%</w:t>
            </w:r>
          </w:p>
        </w:tc>
        <w:tc>
          <w:tcPr>
            <w:tcW w:w="1146" w:type="dxa"/>
            <w:tcBorders/>
            <w:shd w:fill="DCDDDE" w:val="clear"/>
            <w:vAlign w:val="center"/>
          </w:tcPr>
          <w:p>
            <w:pPr>
              <w:pStyle w:val="TableContents"/>
              <w:spacing w:before="0" w:after="0"/>
              <w:jc w:val="left"/>
              <w:rPr>
                <w:caps w:val="false"/>
                <w:smallCaps w:val="false"/>
                <w:color w:val="231F20"/>
              </w:rPr>
            </w:pPr>
            <w:r>
              <w:rPr>
                <w:caps w:val="false"/>
                <w:smallCaps w:val="false"/>
                <w:color w:val="231F20"/>
              </w:rPr>
              <w:t>≥</w:t>
            </w:r>
            <w:r>
              <w:rPr>
                <w:rFonts w:ascii="Arial;Helvetica;Sans-Serif" w:hAnsi="Arial;Helvetica;Sans-Serif"/>
                <w:b w:val="false"/>
                <w:i w:val="false"/>
                <w:caps w:val="false"/>
                <w:smallCaps w:val="false"/>
                <w:color w:val="231F20"/>
                <w:sz w:val="16"/>
              </w:rPr>
              <w:t>102%</w:t>
            </w:r>
          </w:p>
        </w:tc>
        <w:tc>
          <w:tcPr>
            <w:tcW w:w="1194"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102%</w:t>
            </w:r>
          </w:p>
        </w:tc>
        <w:tc>
          <w:tcPr>
            <w:tcW w:w="816"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200%</w:t>
            </w:r>
          </w:p>
        </w:tc>
      </w:tr>
      <w:tr>
        <w:trPr/>
        <w:tc>
          <w:tcPr>
            <w:tcW w:w="1729" w:type="dxa"/>
            <w:tcBorders/>
            <w:shd w:fill="auto" w:val="clear"/>
            <w:vAlign w:val="center"/>
          </w:tcPr>
          <w:p>
            <w:pPr>
              <w:pStyle w:val="TableContents"/>
              <w:spacing w:lineRule="auto" w:line="240" w:before="0" w:after="0"/>
              <w:jc w:val="left"/>
              <w:rPr>
                <w:rFonts w:ascii="Arial;Helvetica;Sans-Serif" w:hAnsi="Arial;Helvetica;Sans-Serif"/>
                <w:b w:val="false"/>
                <w:i w:val="false"/>
                <w:caps w:val="false"/>
                <w:smallCaps w:val="false"/>
                <w:color w:val="231F20"/>
                <w:sz w:val="20"/>
              </w:rPr>
            </w:pPr>
            <w:r>
              <w:rPr>
                <w:rFonts w:ascii="Arial;Helvetica;Sans-Serif" w:hAnsi="Arial;Helvetica;Sans-Serif"/>
                <w:b w:val="false"/>
                <w:i w:val="false"/>
                <w:caps w:val="false"/>
                <w:smallCaps w:val="false"/>
                <w:color w:val="231F20"/>
                <w:sz w:val="16"/>
              </w:rPr>
              <w:t xml:space="preserve">M&amp;A </w:t>
            </w:r>
            <w:r>
              <w:rPr>
                <w:rFonts w:ascii="Arial;Helvetica;Sans-Serif" w:hAnsi="Arial;Helvetica;Sans-Serif"/>
                <w:b w:val="false"/>
                <w:i w:val="false"/>
                <w:caps w:val="false"/>
                <w:smallCaps w:val="false"/>
                <w:color w:val="231F20"/>
                <w:sz w:val="20"/>
              </w:rPr>
              <w:t>(2)</w:t>
            </w:r>
          </w:p>
        </w:tc>
        <w:tc>
          <w:tcPr>
            <w:tcW w:w="875"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25%</w:t>
            </w:r>
          </w:p>
        </w:tc>
        <w:tc>
          <w:tcPr>
            <w:tcW w:w="971"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$750</w:t>
            </w:r>
          </w:p>
        </w:tc>
        <w:tc>
          <w:tcPr>
            <w:tcW w:w="4620" w:type="dxa"/>
            <w:gridSpan w:val="5"/>
            <w:tcBorders/>
            <w:shd w:fill="auto" w:val="clear"/>
            <w:vAlign w:val="center"/>
          </w:tcPr>
          <w:p>
            <w:pPr>
              <w:pStyle w:val="TableContents"/>
              <w:spacing w:before="0" w:after="283"/>
              <w:jc w:val="center"/>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Pays at 0.06% of total transaction value, up to a maximum payout of $900,000</w:t>
            </w:r>
          </w:p>
        </w:tc>
        <w:tc>
          <w:tcPr>
            <w:tcW w:w="1194"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$474.2</w:t>
            </w:r>
          </w:p>
        </w:tc>
        <w:tc>
          <w:tcPr>
            <w:tcW w:w="816"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67%</w:t>
            </w:r>
          </w:p>
        </w:tc>
      </w:tr>
      <w:tr>
        <w:trPr/>
        <w:tc>
          <w:tcPr>
            <w:tcW w:w="1729" w:type="dxa"/>
            <w:tcBorders/>
            <w:shd w:fill="DCDDDE" w:val="clear"/>
            <w:vAlign w:val="center"/>
          </w:tcPr>
          <w:p>
            <w:pPr>
              <w:pStyle w:val="TableContents"/>
              <w:spacing w:lineRule="auto" w:line="240"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231F20"/>
                <w:sz w:val="16"/>
              </w:rPr>
              <w:t>Growth and Other Initiatives</w:t>
            </w:r>
            <w:r>
              <w:rPr>
                <w:rFonts w:ascii="Arial;Helvetica;Sans-Serif" w:hAnsi="Arial;Helvetica;Sans-Serif"/>
                <w:b w:val="false"/>
                <w:i w:val="false"/>
                <w:caps w:val="false"/>
                <w:smallCaps w:val="false"/>
                <w:color w:val="231F20"/>
                <w:sz w:val="20"/>
              </w:rPr>
              <w:t>(3)</w:t>
            </w:r>
          </w:p>
        </w:tc>
        <w:tc>
          <w:tcPr>
            <w:tcW w:w="875"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25%</w:t>
            </w:r>
          </w:p>
        </w:tc>
        <w:tc>
          <w:tcPr>
            <w:tcW w:w="971"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Achieve 2 goals</w:t>
            </w:r>
          </w:p>
        </w:tc>
        <w:tc>
          <w:tcPr>
            <w:tcW w:w="1001"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Achieve 1 goal</w:t>
            </w:r>
          </w:p>
        </w:tc>
        <w:tc>
          <w:tcPr>
            <w:tcW w:w="571"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N/A</w:t>
            </w:r>
          </w:p>
        </w:tc>
        <w:tc>
          <w:tcPr>
            <w:tcW w:w="951"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Achieve 2 goals</w:t>
            </w:r>
          </w:p>
        </w:tc>
        <w:tc>
          <w:tcPr>
            <w:tcW w:w="951"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Achieve 3 goals</w:t>
            </w:r>
          </w:p>
        </w:tc>
        <w:tc>
          <w:tcPr>
            <w:tcW w:w="1146"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Achieve</w:t>
            </w:r>
          </w:p>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 or more goals</w:t>
            </w:r>
          </w:p>
        </w:tc>
        <w:tc>
          <w:tcPr>
            <w:tcW w:w="1194"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Achieved 3 goals</w:t>
            </w:r>
          </w:p>
        </w:tc>
        <w:tc>
          <w:tcPr>
            <w:tcW w:w="816"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150%</w:t>
            </w:r>
          </w:p>
        </w:tc>
      </w:tr>
    </w:tbl>
    <w:p>
      <w:pPr>
        <w:pStyle w:val="TextBody"/>
        <w:rPr>
          <w:caps w:val="false"/>
          <w:smallCaps w:val="false"/>
        </w:rPr>
      </w:pPr>
      <w:r>
        <w:rPr>
          <w:caps w:val="false"/>
          <w:smallCaps w:val="false"/>
        </w:rPr>
        <w:t> </w:t>
      </w:r>
    </w:p>
    <w:tbl>
      <w:tblPr>
        <w:tblW w:w="2680" w:type="dxa"/>
        <w:jc w:val="left"/>
        <w:tblInd w:w="0" w:type="dxa"/>
        <w:tblCellMar>
          <w:top w:w="0" w:type="dxa"/>
          <w:left w:w="0" w:type="dxa"/>
          <w:bottom w:w="0" w:type="dxa"/>
          <w:right w:w="0" w:type="dxa"/>
        </w:tblCellMar>
      </w:tblPr>
      <w:tblGrid>
        <w:gridCol w:w="1835"/>
        <w:gridCol w:w="845"/>
      </w:tblGrid>
      <w:tr>
        <w:trPr/>
        <w:tc>
          <w:tcPr>
            <w:tcW w:w="1835"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Target Payout</w:t>
            </w:r>
          </w:p>
        </w:tc>
        <w:tc>
          <w:tcPr>
            <w:tcW w:w="845"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$1,800,000</w:t>
            </w:r>
          </w:p>
        </w:tc>
      </w:tr>
      <w:tr>
        <w:trPr/>
        <w:tc>
          <w:tcPr>
            <w:tcW w:w="1835"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Total Payout % Earned</w:t>
            </w:r>
          </w:p>
        </w:tc>
        <w:tc>
          <w:tcPr>
            <w:tcW w:w="845"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154%</w:t>
            </w:r>
          </w:p>
        </w:tc>
      </w:tr>
      <w:tr>
        <w:trPr/>
        <w:tc>
          <w:tcPr>
            <w:tcW w:w="1835"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Total Payout</w:t>
            </w:r>
          </w:p>
        </w:tc>
        <w:tc>
          <w:tcPr>
            <w:tcW w:w="845"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$2,776,500</w:t>
            </w:r>
          </w:p>
        </w:tc>
      </w:tr>
    </w:tbl>
    <w:p>
      <w:pPr>
        <w:pStyle w:val="TextBody"/>
        <w:rPr>
          <w:caps w:val="false"/>
          <w:smallCaps w:val="false"/>
        </w:rPr>
      </w:pPr>
      <w:r>
        <w:rPr>
          <w:caps w:val="false"/>
          <w:smallCaps w:val="false"/>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Adjusted to be consistent with the macro-economic environment assumed in the 2022 budget, but excludes the impact of acquisitions.</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(2) Based upon the aggregate transaction value of material mergers and acquisitions, divestitures or joint ventures for which the Company signs definitive documentation during the year.</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(3) (a) Capture synergies from certain acquisitions (achieved); (b) Achieve global sales growth of specified amount (achieved); (c) Design, recruit and successfully test a new platform salesforce (not achieved); (d) Extend at least two big partner contracts (achieved); (e) Add 3 new large investors in 2022 (not achieved) and (f) Substantial growth of Sem Parar consumer fueling transactions (not achieved).</w:t>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35</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FF0000"/>
        </w:rPr>
      </w:pPr>
      <w:r>
        <w:rPr>
          <w:caps w:val="false"/>
          <w:smallCaps w:val="false"/>
          <w:color w:val="FF0000"/>
        </w:rPr>
        <w:t> </w:t>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Alissa B. Vickery: </w:t>
      </w:r>
      <w:r>
        <w:rPr>
          <w:rFonts w:ascii="Arial;Helvetica;Sans-Serif" w:hAnsi="Arial;Helvetica;Sans-Serif"/>
          <w:b w:val="false"/>
          <w:i w:val="false"/>
          <w:caps w:val="false"/>
          <w:smallCaps w:val="false"/>
          <w:color w:val="58595B"/>
          <w:sz w:val="20"/>
        </w:rPr>
        <w:t>Ms. Vickery’s 2022 annual cash incentive was determined as follows: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524"/>
        <w:gridCol w:w="830"/>
        <w:gridCol w:w="1131"/>
        <w:gridCol w:w="1148"/>
        <w:gridCol w:w="1131"/>
        <w:gridCol w:w="1713"/>
        <w:gridCol w:w="1248"/>
        <w:gridCol w:w="1480"/>
      </w:tblGrid>
      <w:tr>
        <w:trPr/>
        <w:tc>
          <w:tcPr>
            <w:tcW w:w="1524"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1131"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3992" w:type="dxa"/>
            <w:gridSpan w:val="3"/>
            <w:tcBorders>
              <w:bottom w:val="single" w:sz="8" w:space="0" w:color="FFFFFF"/>
            </w:tcBorders>
            <w:shd w:fill="EE0027" w:val="clear"/>
            <w:tcMar>
              <w:bottom w:w="28" w:type="dxa"/>
            </w:tcMar>
            <w:vAlign w:val="center"/>
          </w:tcPr>
          <w:p>
            <w:pPr>
              <w:pStyle w:val="TableContents"/>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GOALS</w:t>
            </w:r>
          </w:p>
        </w:tc>
        <w:tc>
          <w:tcPr>
            <w:tcW w:w="1248"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1480" w:type="dxa"/>
            <w:tcBorders/>
            <w:shd w:fill="EE0027" w:val="clear"/>
            <w:vAlign w:val="center"/>
          </w:tcPr>
          <w:p>
            <w:pPr>
              <w:pStyle w:val="TableContents"/>
              <w:spacing w:before="0" w:after="283"/>
              <w:jc w:val="left"/>
              <w:rPr>
                <w:caps w:val="false"/>
                <w:smallCaps w:val="false"/>
              </w:rPr>
            </w:pPr>
            <w:r>
              <w:rPr>
                <w:caps w:val="false"/>
                <w:smallCaps w:val="false"/>
              </w:rPr>
              <w:t> </w:t>
            </w:r>
          </w:p>
        </w:tc>
      </w:tr>
      <w:tr>
        <w:trPr/>
        <w:tc>
          <w:tcPr>
            <w:tcW w:w="1524"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Performance </w:t>
              <w:br/>
              <w:t>Metric</w:t>
            </w:r>
          </w:p>
        </w:tc>
        <w:tc>
          <w:tcPr>
            <w:tcW w:w="83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Weighting</w:t>
            </w:r>
          </w:p>
        </w:tc>
        <w:tc>
          <w:tcPr>
            <w:tcW w:w="1131"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w:t>
            </w:r>
          </w:p>
        </w:tc>
        <w:tc>
          <w:tcPr>
            <w:tcW w:w="1148"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Threshold </w:t>
              <w:br/>
              <w:t>(50%)</w:t>
            </w:r>
          </w:p>
        </w:tc>
        <w:tc>
          <w:tcPr>
            <w:tcW w:w="1131"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Target </w:t>
              <w:br/>
              <w:t>(100%)</w:t>
            </w:r>
          </w:p>
        </w:tc>
        <w:tc>
          <w:tcPr>
            <w:tcW w:w="1713"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Maximum </w:t>
              <w:br/>
              <w:t>(150%) </w:t>
            </w:r>
          </w:p>
        </w:tc>
        <w:tc>
          <w:tcPr>
            <w:tcW w:w="1248"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2022 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Achievement</w:t>
            </w:r>
          </w:p>
        </w:tc>
        <w:tc>
          <w:tcPr>
            <w:tcW w:w="148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of Target Earned</w:t>
            </w:r>
          </w:p>
        </w:tc>
      </w:tr>
      <w:tr>
        <w:trPr/>
        <w:tc>
          <w:tcPr>
            <w:tcW w:w="1524" w:type="dxa"/>
            <w:tcBorders/>
            <w:shd w:fill="auto" w:val="clear"/>
            <w:vAlign w:val="center"/>
          </w:tcPr>
          <w:p>
            <w:pPr>
              <w:pStyle w:val="TableContents"/>
              <w:spacing w:lineRule="auto" w:line="240"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58595B"/>
                <w:sz w:val="16"/>
              </w:rPr>
              <w:t xml:space="preserve">Growth Initiatives </w:t>
            </w:r>
            <w:r>
              <w:rPr>
                <w:rFonts w:ascii="Arial;Helvetica;Sans-Serif" w:hAnsi="Arial;Helvetica;Sans-Serif"/>
                <w:b w:val="false"/>
                <w:i w:val="false"/>
                <w:caps w:val="false"/>
                <w:smallCaps w:val="false"/>
                <w:color w:val="58595B"/>
                <w:sz w:val="20"/>
              </w:rPr>
              <w:t>(1)</w:t>
            </w:r>
          </w:p>
        </w:tc>
        <w:tc>
          <w:tcPr>
            <w:tcW w:w="83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100%</w:t>
            </w:r>
          </w:p>
        </w:tc>
        <w:tc>
          <w:tcPr>
            <w:tcW w:w="1131"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3 goals</w:t>
            </w:r>
          </w:p>
        </w:tc>
        <w:tc>
          <w:tcPr>
            <w:tcW w:w="1148"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2 goals</w:t>
            </w:r>
          </w:p>
        </w:tc>
        <w:tc>
          <w:tcPr>
            <w:tcW w:w="1131"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3 goals</w:t>
            </w:r>
          </w:p>
        </w:tc>
        <w:tc>
          <w:tcPr>
            <w:tcW w:w="1713"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4 or more goals</w:t>
            </w:r>
          </w:p>
        </w:tc>
        <w:tc>
          <w:tcPr>
            <w:tcW w:w="1248"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Achieved 4 goals</w:t>
            </w:r>
          </w:p>
        </w:tc>
        <w:tc>
          <w:tcPr>
            <w:tcW w:w="148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125%</w:t>
            </w:r>
          </w:p>
        </w:tc>
      </w:tr>
    </w:tbl>
    <w:p>
      <w:pPr>
        <w:pStyle w:val="TextBody"/>
        <w:rPr>
          <w:caps w:val="false"/>
          <w:smallCaps w:val="false"/>
        </w:rPr>
      </w:pPr>
      <w:r>
        <w:rPr>
          <w:caps w:val="false"/>
          <w:smallCaps w:val="false"/>
        </w:rPr>
        <w:t> </w:t>
      </w:r>
    </w:p>
    <w:tbl>
      <w:tblPr>
        <w:tblW w:w="2710" w:type="dxa"/>
        <w:jc w:val="left"/>
        <w:tblInd w:w="0" w:type="dxa"/>
        <w:tblCellMar>
          <w:top w:w="0" w:type="dxa"/>
          <w:left w:w="0" w:type="dxa"/>
          <w:bottom w:w="0" w:type="dxa"/>
          <w:right w:w="0" w:type="dxa"/>
        </w:tblCellMar>
      </w:tblPr>
      <w:tblGrid>
        <w:gridCol w:w="2000"/>
        <w:gridCol w:w="710"/>
      </w:tblGrid>
      <w:tr>
        <w:trPr/>
        <w:tc>
          <w:tcPr>
            <w:tcW w:w="2000"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Target Payout</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$75,000</w:t>
            </w:r>
          </w:p>
        </w:tc>
      </w:tr>
      <w:tr>
        <w:trPr/>
        <w:tc>
          <w:tcPr>
            <w:tcW w:w="2000"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Total Payout % Earned</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125%</w:t>
            </w:r>
          </w:p>
        </w:tc>
      </w:tr>
      <w:tr>
        <w:trPr/>
        <w:tc>
          <w:tcPr>
            <w:tcW w:w="2000"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Formulaic Payout</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$93,750</w:t>
            </w:r>
          </w:p>
        </w:tc>
      </w:tr>
      <w:tr>
        <w:trPr/>
        <w:tc>
          <w:tcPr>
            <w:tcW w:w="2000" w:type="dxa"/>
            <w:tcBorders/>
            <w:shd w:fill="auto" w:val="clear"/>
            <w:vAlign w:val="center"/>
          </w:tcPr>
          <w:p>
            <w:pPr>
              <w:pStyle w:val="TableContents"/>
              <w:spacing w:lineRule="auto" w:line="240"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16"/>
              </w:rPr>
              <w:t>Discretionary Amount</w:t>
            </w:r>
            <w:r>
              <w:rPr>
                <w:rFonts w:ascii="Arial;Helvetica;Sans-Serif" w:hAnsi="Arial;Helvetica;Sans-Serif"/>
                <w:b/>
                <w:i w:val="false"/>
                <w:caps w:val="false"/>
                <w:smallCaps w:val="false"/>
                <w:color w:val="231F20"/>
                <w:sz w:val="20"/>
              </w:rPr>
              <w:t>(2)</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$56,250</w:t>
            </w:r>
          </w:p>
        </w:tc>
      </w:tr>
      <w:tr>
        <w:trPr/>
        <w:tc>
          <w:tcPr>
            <w:tcW w:w="2000"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Total Payout</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$150,000</w:t>
            </w:r>
          </w:p>
        </w:tc>
      </w:tr>
    </w:tbl>
    <w:p>
      <w:pPr>
        <w:pStyle w:val="TextBody"/>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(1) (a) Fill open staff positions (achieved), (b) resolution of certain accounting matters (not achieved), (c) implement certain software package (achieved), (d) remediate certain audit recommendations (achieved), and (e) prepare operational contingency plan (achieved).</w:t>
      </w:r>
      <w:r>
        <w:rPr>
          <w:rFonts w:ascii="Arial;Helvetica;Sans-Serif" w:hAnsi="Arial;Helvetica;Sans-Serif"/>
          <w:b w:val="false"/>
          <w:i w:val="false"/>
          <w:caps w:val="false"/>
          <w:smallCaps w:val="false"/>
          <w:color w:val="58595B"/>
          <w:sz w:val="16"/>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(2) Reflects a discretionary increase in recognition of Ms. Vickery’s individual contributions during 2022, including as Interim Chief Financial Officer.</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Charles R. Freund: </w:t>
      </w:r>
      <w:r>
        <w:rPr>
          <w:rFonts w:ascii="Arial;Helvetica;Sans-Serif" w:hAnsi="Arial;Helvetica;Sans-Serif"/>
          <w:b w:val="false"/>
          <w:i w:val="false"/>
          <w:caps w:val="false"/>
          <w:smallCaps w:val="false"/>
          <w:color w:val="58595B"/>
          <w:sz w:val="20"/>
        </w:rPr>
        <w:t>Mr. Freund’s 2022 annual cash incentive was designed to be paid in accordance with the objectives set forth in the table below. However, due to Mr. Freund’s resignation from FLEETCOR, he was not eligible to receive any payout with respect to his 2022 annual cash incentive award, and the achievement results with respect to his performance objectives were not evaluated by the compensation committee.</w:t>
      </w:r>
    </w:p>
    <w:p>
      <w:pPr>
        <w:pStyle w:val="TextBody"/>
        <w:spacing w:before="0" w:after="0"/>
        <w:rPr>
          <w:caps w:val="false"/>
          <w:smallCaps w:val="false"/>
        </w:rPr>
      </w:pPr>
      <w:r>
        <w:rPr>
          <w:caps w:val="false"/>
          <w:smallCaps w:val="false"/>
        </w:rPr>
        <w:t> </w:t>
      </w:r>
    </w:p>
    <w:tbl>
      <w:tblPr>
        <w:tblW w:w="6730" w:type="dxa"/>
        <w:jc w:val="left"/>
        <w:tblInd w:w="0" w:type="dxa"/>
        <w:tblCellMar>
          <w:top w:w="0" w:type="dxa"/>
          <w:left w:w="0" w:type="dxa"/>
          <w:bottom w:w="0" w:type="dxa"/>
          <w:right w:w="0" w:type="dxa"/>
        </w:tblCellMar>
      </w:tblPr>
      <w:tblGrid>
        <w:gridCol w:w="1550"/>
        <w:gridCol w:w="830"/>
        <w:gridCol w:w="1325"/>
        <w:gridCol w:w="1175"/>
        <w:gridCol w:w="1790"/>
        <w:gridCol w:w="60"/>
      </w:tblGrid>
      <w:tr>
        <w:trPr/>
        <w:tc>
          <w:tcPr>
            <w:tcW w:w="1550"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4290" w:type="dxa"/>
            <w:gridSpan w:val="3"/>
            <w:tcBorders>
              <w:bottom w:val="single" w:sz="8" w:space="0" w:color="FFFFFF"/>
            </w:tcBorders>
            <w:shd w:fill="EE0027" w:val="clear"/>
            <w:tcMar>
              <w:bottom w:w="120" w:type="dxa"/>
            </w:tcMar>
            <w:vAlign w:val="center"/>
          </w:tcPr>
          <w:p>
            <w:pPr>
              <w:pStyle w:val="TableContents"/>
              <w:spacing w:before="0" w:after="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GOALS</w:t>
            </w:r>
          </w:p>
        </w:tc>
        <w:tc>
          <w:tcPr>
            <w:tcW w:w="60" w:type="dxa"/>
            <w:tcBorders/>
            <w:shd w:fill="EE0027" w:val="clear"/>
            <w:vAlign w:val="center"/>
          </w:tcPr>
          <w:p>
            <w:pPr>
              <w:pStyle w:val="TableContents"/>
              <w:spacing w:before="0" w:after="283"/>
              <w:rPr/>
            </w:pPr>
            <w:r>
              <w:rPr/>
              <w:t> </w:t>
            </w:r>
          </w:p>
        </w:tc>
      </w:tr>
      <w:tr>
        <w:trPr/>
        <w:tc>
          <w:tcPr>
            <w:tcW w:w="155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Performance Metric</w:t>
            </w:r>
          </w:p>
        </w:tc>
        <w:tc>
          <w:tcPr>
            <w:tcW w:w="83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Weighting</w:t>
            </w:r>
          </w:p>
        </w:tc>
        <w:tc>
          <w:tcPr>
            <w:tcW w:w="132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Threshold (50%)</w:t>
            </w:r>
          </w:p>
        </w:tc>
        <w:tc>
          <w:tcPr>
            <w:tcW w:w="117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(100%)</w:t>
            </w:r>
          </w:p>
        </w:tc>
        <w:tc>
          <w:tcPr>
            <w:tcW w:w="179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Maximum (150%)</w:t>
            </w:r>
          </w:p>
        </w:tc>
        <w:tc>
          <w:tcPr>
            <w:tcW w:w="60" w:type="dxa"/>
            <w:tcBorders/>
            <w:shd w:fill="EE0027" w:val="clear"/>
            <w:vAlign w:val="center"/>
          </w:tcPr>
          <w:p>
            <w:pPr>
              <w:pStyle w:val="TableContents"/>
              <w:spacing w:before="0" w:after="283"/>
              <w:rPr/>
            </w:pPr>
            <w:r>
              <w:rPr/>
              <w:t> </w:t>
            </w:r>
          </w:p>
        </w:tc>
      </w:tr>
      <w:tr>
        <w:trPr/>
        <w:tc>
          <w:tcPr>
            <w:tcW w:w="1550"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 xml:space="preserve">Stock Price Growth </w:t>
            </w:r>
          </w:p>
          <w:p>
            <w:pPr>
              <w:pStyle w:val="TableContents"/>
              <w:spacing w:lineRule="auto" w:line="240" w:before="0" w:after="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58595B"/>
                <w:sz w:val="16"/>
              </w:rPr>
              <w:t xml:space="preserve">vs. S&amp;P 500 </w:t>
            </w:r>
            <w:r>
              <w:rPr>
                <w:rFonts w:ascii="Arial;Helvetica;Sans-Serif" w:hAnsi="Arial;Helvetica;Sans-Serif"/>
                <w:b w:val="false"/>
                <w:i w:val="false"/>
                <w:caps w:val="false"/>
                <w:smallCaps w:val="false"/>
                <w:color w:val="58595B"/>
                <w:sz w:val="20"/>
              </w:rPr>
              <w:t>(1)</w:t>
            </w:r>
          </w:p>
        </w:tc>
        <w:tc>
          <w:tcPr>
            <w:tcW w:w="830"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30%</w:t>
            </w:r>
          </w:p>
          <w:p>
            <w:pPr>
              <w:pStyle w:val="TableContents"/>
              <w:spacing w:before="0" w:after="0"/>
              <w:jc w:val="left"/>
              <w:rPr>
                <w:caps w:val="false"/>
                <w:smallCaps w:val="false"/>
                <w:color w:val="58595B"/>
              </w:rPr>
            </w:pPr>
            <w:r>
              <w:rPr>
                <w:caps w:val="false"/>
                <w:smallCaps w:val="false"/>
                <w:color w:val="58595B"/>
              </w:rPr>
              <w:t> </w:t>
            </w:r>
          </w:p>
        </w:tc>
        <w:tc>
          <w:tcPr>
            <w:tcW w:w="1325"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2.5%</w:t>
            </w:r>
          </w:p>
        </w:tc>
        <w:tc>
          <w:tcPr>
            <w:tcW w:w="1175"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5.0%</w:t>
            </w:r>
          </w:p>
        </w:tc>
        <w:tc>
          <w:tcPr>
            <w:tcW w:w="1790"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7.5%</w:t>
            </w:r>
          </w:p>
        </w:tc>
        <w:tc>
          <w:tcPr>
            <w:tcW w:w="60" w:type="dxa"/>
            <w:tcBorders/>
            <w:shd w:fill="auto" w:val="clear"/>
            <w:vAlign w:val="center"/>
          </w:tcPr>
          <w:p>
            <w:pPr>
              <w:pStyle w:val="TableContents"/>
              <w:spacing w:before="0" w:after="283"/>
              <w:rPr/>
            </w:pPr>
            <w:r>
              <w:rPr/>
              <w:t> </w:t>
            </w:r>
          </w:p>
        </w:tc>
      </w:tr>
      <w:tr>
        <w:trPr/>
        <w:tc>
          <w:tcPr>
            <w:tcW w:w="1550" w:type="dxa"/>
            <w:tcBorders/>
            <w:shd w:fill="DCDDDE" w:val="clear"/>
            <w:vAlign w:val="center"/>
          </w:tcPr>
          <w:p>
            <w:pPr>
              <w:pStyle w:val="TableContents"/>
              <w:spacing w:lineRule="auto" w:line="240"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color w:val="58595B"/>
                <w:sz w:val="16"/>
              </w:rPr>
              <w:t>Growth Initiatives</w:t>
            </w:r>
            <w:r>
              <w:rPr>
                <w:rFonts w:ascii="Arial;Helvetica;Sans-Serif" w:hAnsi="Arial;Helvetica;Sans-Serif"/>
                <w:b w:val="false"/>
                <w:i w:val="false"/>
                <w:caps w:val="false"/>
                <w:smallCaps w:val="false"/>
                <w:color w:val="58595B"/>
                <w:sz w:val="20"/>
              </w:rPr>
              <w:t>(2)</w:t>
            </w:r>
          </w:p>
        </w:tc>
        <w:tc>
          <w:tcPr>
            <w:tcW w:w="83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70%</w:t>
            </w:r>
          </w:p>
        </w:tc>
        <w:tc>
          <w:tcPr>
            <w:tcW w:w="132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1 goal</w:t>
            </w:r>
          </w:p>
        </w:tc>
        <w:tc>
          <w:tcPr>
            <w:tcW w:w="117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2 goals</w:t>
            </w:r>
          </w:p>
        </w:tc>
        <w:tc>
          <w:tcPr>
            <w:tcW w:w="179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3 or more goals</w:t>
            </w:r>
          </w:p>
        </w:tc>
        <w:tc>
          <w:tcPr>
            <w:tcW w:w="60" w:type="dxa"/>
            <w:tcBorders/>
            <w:shd w:fill="DCDDDE" w:val="clear"/>
            <w:vAlign w:val="center"/>
          </w:tcPr>
          <w:p>
            <w:pPr>
              <w:pStyle w:val="TableContents"/>
              <w:spacing w:before="0" w:after="283"/>
              <w:rPr>
                <w:sz w:val="4"/>
                <w:szCs w:val="4"/>
              </w:rPr>
            </w:pPr>
            <w:r>
              <w:rPr>
                <w:sz w:val="4"/>
                <w:szCs w:val="4"/>
              </w:rPr>
            </w:r>
          </w:p>
        </w:tc>
      </w:tr>
    </w:tbl>
    <w:p>
      <w:pPr>
        <w:pStyle w:val="TextBody"/>
        <w:rPr>
          <w:caps w:val="false"/>
          <w:smallCaps w:val="false"/>
        </w:rPr>
      </w:pPr>
      <w:r>
        <w:rPr>
          <w:caps w:val="false"/>
          <w:smallCaps w:val="false"/>
        </w:rPr>
        <w:t> </w:t>
      </w:r>
    </w:p>
    <w:tbl>
      <w:tblPr>
        <w:tblW w:w="2005" w:type="dxa"/>
        <w:jc w:val="left"/>
        <w:tblInd w:w="0" w:type="dxa"/>
        <w:tblCellMar>
          <w:top w:w="0" w:type="dxa"/>
          <w:left w:w="0" w:type="dxa"/>
          <w:bottom w:w="0" w:type="dxa"/>
          <w:right w:w="0" w:type="dxa"/>
        </w:tblCellMar>
      </w:tblPr>
      <w:tblGrid>
        <w:gridCol w:w="60"/>
        <w:gridCol w:w="1190"/>
        <w:gridCol w:w="695"/>
        <w:gridCol w:w="60"/>
      </w:tblGrid>
      <w:tr>
        <w:trPr/>
        <w:tc>
          <w:tcPr>
            <w:tcW w:w="60"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1190" w:type="dxa"/>
            <w:tcBorders/>
            <w:shd w:fill="auto" w:val="clear"/>
            <w:vAlign w:val="center"/>
          </w:tcPr>
          <w:p>
            <w:pPr>
              <w:pStyle w:val="TableContents"/>
              <w:spacing w:before="0" w:after="283"/>
              <w:jc w:val="lef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Target Payout:</w:t>
            </w:r>
          </w:p>
        </w:tc>
        <w:tc>
          <w:tcPr>
            <w:tcW w:w="695"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$337,500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rPr>
          <w:caps w:val="false"/>
          <w:smallCaps w:val="false"/>
        </w:rPr>
      </w:pPr>
      <w:r>
        <w:rPr>
          <w:caps w:val="false"/>
          <w:smallCaps w:val="false"/>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Based on extent to which percentage growth in the Company’s stock price exceeds that of the S&amp;P 500 Index.</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(2) (a) Achieve the operating expenses and capital expenditure budget, (b) new holders of company stock, (c) fill certain open roles, (d) negotiate certain new credit facilities, and (e) resolution of certain legal matters.</w:t>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36</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ind w:left="360" w:right="0" w:hanging="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18"/>
        </w:rPr>
        <w:t>Armando L. Netto:</w:t>
      </w:r>
      <w:r>
        <w:rPr>
          <w:rFonts w:ascii="Arial;Helvetica;Sans-Serif" w:hAnsi="Arial;Helvetica;San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Mr. Netto’s 2022 annual cash incentive was determined as follows (with all currency converted from BRL to USD using an average exchange rate of $1 to R$5.1535 for 2022):</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307"/>
        <w:gridCol w:w="815"/>
        <w:gridCol w:w="895"/>
        <w:gridCol w:w="959"/>
        <w:gridCol w:w="530"/>
        <w:gridCol w:w="552"/>
        <w:gridCol w:w="895"/>
        <w:gridCol w:w="568"/>
        <w:gridCol w:w="807"/>
        <w:gridCol w:w="983"/>
        <w:gridCol w:w="1116"/>
        <w:gridCol w:w="778"/>
      </w:tblGrid>
      <w:tr>
        <w:trPr/>
        <w:tc>
          <w:tcPr>
            <w:tcW w:w="1307" w:type="dxa"/>
            <w:tcBorders/>
            <w:shd w:fill="EE0027" w:val="clear"/>
            <w:vAlign w:val="center"/>
          </w:tcPr>
          <w:p>
            <w:pPr>
              <w:pStyle w:val="TableContents"/>
              <w:spacing w:before="0" w:after="0"/>
              <w:jc w:val="left"/>
              <w:rPr>
                <w:caps w:val="false"/>
                <w:smallCaps w:val="false"/>
                <w:color w:val="FFFFFF"/>
              </w:rPr>
            </w:pPr>
            <w:r>
              <w:rPr>
                <w:caps w:val="false"/>
                <w:smallCaps w:val="false"/>
                <w:color w:val="FFFFFF"/>
              </w:rPr>
              <w:t> </w:t>
            </w:r>
          </w:p>
          <w:p>
            <w:pPr>
              <w:pStyle w:val="TableContents"/>
              <w:spacing w:before="0" w:after="0"/>
              <w:jc w:val="left"/>
              <w:rPr>
                <w:rFonts w:ascii="Arial;Helvetica;Sans-Serif" w:hAnsi="Arial;Helvetica;Sans-Serif"/>
                <w:b w:val="false"/>
                <w:i w:val="false"/>
                <w:caps w:val="false"/>
                <w:smallCaps w:val="false"/>
                <w:color w:val="FFFFFF"/>
                <w:sz w:val="20"/>
              </w:rPr>
            </w:pPr>
            <w:r>
              <w:rPr>
                <w:rFonts w:ascii="Arial;Helvetica;Sans-Serif" w:hAnsi="Arial;Helvetica;Sans-Serif"/>
                <w:b/>
                <w:i w:val="false"/>
                <w:caps w:val="false"/>
                <w:smallCaps w:val="false"/>
                <w:color w:val="FFFFFF"/>
                <w:sz w:val="16"/>
              </w:rPr>
              <w:t>Performance</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Metric </w:t>
            </w:r>
          </w:p>
        </w:tc>
        <w:tc>
          <w:tcPr>
            <w:tcW w:w="815" w:type="dxa"/>
            <w:tcBorders/>
            <w:shd w:fill="EE0027" w:val="clear"/>
            <w:vAlign w:val="center"/>
          </w:tcPr>
          <w:p>
            <w:pPr>
              <w:pStyle w:val="TableContents"/>
              <w:spacing w:before="0" w:after="0"/>
              <w:jc w:val="left"/>
              <w:rPr>
                <w:caps w:val="false"/>
                <w:smallCaps w:val="false"/>
                <w:color w:val="FFFFFF"/>
              </w:rPr>
            </w:pPr>
            <w:r>
              <w:rPr>
                <w:caps w:val="false"/>
                <w:smallCaps w:val="false"/>
                <w:color w:val="FFFFFF"/>
              </w:rPr>
              <w:t>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Weighing </w:t>
            </w:r>
          </w:p>
        </w:tc>
        <w:tc>
          <w:tcPr>
            <w:tcW w:w="895" w:type="dxa"/>
            <w:tcBorders/>
            <w:shd w:fill="EE0027" w:val="clear"/>
            <w:vAlign w:val="center"/>
          </w:tcPr>
          <w:p>
            <w:pPr>
              <w:pStyle w:val="TableContents"/>
              <w:spacing w:before="0" w:after="0"/>
              <w:jc w:val="left"/>
              <w:rPr>
                <w:caps w:val="false"/>
                <w:smallCaps w:val="false"/>
                <w:color w:val="FFFFFF"/>
              </w:rPr>
            </w:pPr>
            <w:r>
              <w:rPr>
                <w:caps w:val="false"/>
                <w:smallCaps w:val="false"/>
                <w:color w:val="FFFFFF"/>
              </w:rPr>
              <w:t>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 </w:t>
            </w:r>
          </w:p>
        </w:tc>
        <w:tc>
          <w:tcPr>
            <w:tcW w:w="959" w:type="dxa"/>
            <w:tcBorders/>
            <w:shd w:fill="EE0027" w:val="clear"/>
            <w:vAlign w:val="center"/>
          </w:tcPr>
          <w:p>
            <w:pPr>
              <w:pStyle w:val="TableContents"/>
              <w:spacing w:before="0" w:after="0"/>
              <w:jc w:val="left"/>
              <w:rPr>
                <w:caps w:val="false"/>
                <w:smallCaps w:val="false"/>
                <w:color w:val="FFFFFF"/>
              </w:rPr>
            </w:pPr>
            <w:r>
              <w:rPr>
                <w:caps w:val="false"/>
                <w:smallCaps w:val="false"/>
                <w:color w:val="FFFFFF"/>
              </w:rPr>
              <w:t>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Threshold </w:t>
              <w:br/>
              <w:t>(50%) </w:t>
            </w:r>
          </w:p>
        </w:tc>
        <w:tc>
          <w:tcPr>
            <w:tcW w:w="530" w:type="dxa"/>
            <w:tcBorders/>
            <w:shd w:fill="EE0027" w:val="clear"/>
            <w:vAlign w:val="center"/>
          </w:tcPr>
          <w:p>
            <w:pPr>
              <w:pStyle w:val="TableContents"/>
              <w:spacing w:before="0" w:after="0"/>
              <w:jc w:val="left"/>
              <w:rPr>
                <w:caps w:val="false"/>
                <w:smallCaps w:val="false"/>
                <w:color w:val="FFFFFF"/>
              </w:rPr>
            </w:pPr>
            <w:r>
              <w:rPr>
                <w:caps w:val="false"/>
                <w:smallCaps w:val="false"/>
                <w:color w:val="FFFFFF"/>
              </w:rPr>
              <w:t>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Below</w:t>
              <w:br/>
              <w:t>Target</w:t>
              <w:br/>
              <w:t>(70%) </w:t>
            </w:r>
          </w:p>
        </w:tc>
        <w:tc>
          <w:tcPr>
            <w:tcW w:w="552" w:type="dxa"/>
            <w:tcBorders/>
            <w:shd w:fill="EE0027" w:val="clear"/>
            <w:vAlign w:val="center"/>
          </w:tcPr>
          <w:p>
            <w:pPr>
              <w:pStyle w:val="TableContents"/>
              <w:spacing w:before="0" w:after="0"/>
              <w:jc w:val="left"/>
              <w:rPr>
                <w:caps w:val="false"/>
                <w:smallCaps w:val="false"/>
                <w:color w:val="FFFFFF"/>
              </w:rPr>
            </w:pPr>
            <w:r>
              <w:rPr>
                <w:caps w:val="false"/>
                <w:smallCaps w:val="false"/>
                <w:color w:val="FFFFFF"/>
              </w:rPr>
              <w:t>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Below </w:t>
              <w:br/>
              <w:t xml:space="preserve">Target </w:t>
              <w:br/>
              <w:t>(85%) </w:t>
            </w:r>
          </w:p>
        </w:tc>
        <w:tc>
          <w:tcPr>
            <w:tcW w:w="895" w:type="dxa"/>
            <w:tcBorders/>
            <w:shd w:fill="EE0027" w:val="clear"/>
            <w:vAlign w:val="center"/>
          </w:tcPr>
          <w:p>
            <w:pPr>
              <w:pStyle w:val="TableContents"/>
              <w:spacing w:before="0" w:after="0"/>
              <w:jc w:val="left"/>
              <w:rPr>
                <w:caps w:val="false"/>
                <w:smallCaps w:val="false"/>
                <w:color w:val="FFFFFF"/>
              </w:rPr>
            </w:pPr>
            <w:r>
              <w:rPr>
                <w:caps w:val="false"/>
                <w:smallCaps w:val="false"/>
                <w:color w:val="FFFFFF"/>
              </w:rPr>
              <w:t>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Target </w:t>
              <w:br/>
              <w:t>(100%) </w:t>
            </w:r>
          </w:p>
        </w:tc>
        <w:tc>
          <w:tcPr>
            <w:tcW w:w="568" w:type="dxa"/>
            <w:tcBorders/>
            <w:shd w:fill="EE0027" w:val="clear"/>
            <w:vAlign w:val="center"/>
          </w:tcPr>
          <w:p>
            <w:pPr>
              <w:pStyle w:val="TableContents"/>
              <w:spacing w:before="0" w:after="0"/>
              <w:jc w:val="left"/>
              <w:rPr>
                <w:caps w:val="false"/>
                <w:smallCaps w:val="false"/>
                <w:color w:val="FFFFFF"/>
              </w:rPr>
            </w:pPr>
            <w:r>
              <w:rPr>
                <w:caps w:val="false"/>
                <w:smallCaps w:val="false"/>
                <w:color w:val="FFFFFF"/>
              </w:rPr>
              <w:t>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Above </w:t>
              <w:br/>
              <w:t xml:space="preserve">Target </w:t>
              <w:br/>
              <w:t>(120%) </w:t>
            </w:r>
          </w:p>
        </w:tc>
        <w:tc>
          <w:tcPr>
            <w:tcW w:w="807"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Below </w:t>
              <w:br/>
              <w:t xml:space="preserve">Maximum </w:t>
              <w:br/>
              <w:t>(135%) </w:t>
            </w:r>
          </w:p>
        </w:tc>
        <w:tc>
          <w:tcPr>
            <w:tcW w:w="983"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Maximum </w:t>
              <w:br/>
              <w:t>(150%) </w:t>
            </w:r>
          </w:p>
        </w:tc>
        <w:tc>
          <w:tcPr>
            <w:tcW w:w="1116"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2022</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Achievement</w:t>
            </w:r>
          </w:p>
        </w:tc>
        <w:tc>
          <w:tcPr>
            <w:tcW w:w="778"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of Target</w:t>
              <w:br/>
              <w:t>Earned</w:t>
            </w:r>
          </w:p>
        </w:tc>
      </w:tr>
      <w:tr>
        <w:trPr/>
        <w:tc>
          <w:tcPr>
            <w:tcW w:w="1307" w:type="dxa"/>
            <w:tcBorders/>
            <w:shd w:fill="auto" w:val="clear"/>
            <w:vAlign w:val="center"/>
          </w:tcPr>
          <w:p>
            <w:pPr>
              <w:pStyle w:val="TableContents"/>
              <w:spacing w:lineRule="auto" w:line="240" w:before="0" w:after="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16"/>
              </w:rPr>
              <w:t xml:space="preserve">Brazil Sales </w:t>
            </w:r>
            <w:r>
              <w:rPr>
                <w:rFonts w:ascii="Arial;Helvetica;Sans-Serif" w:hAnsi="Arial;Helvetica;Sans-Serif"/>
                <w:b w:val="false"/>
                <w:i w:val="false"/>
                <w:caps w:val="false"/>
                <w:smallCaps w:val="false"/>
                <w:color w:val="58595B"/>
                <w:sz w:val="20"/>
              </w:rPr>
              <w:t>(1)</w:t>
            </w:r>
          </w:p>
        </w:tc>
        <w:tc>
          <w:tcPr>
            <w:tcW w:w="815"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60%</w:t>
            </w:r>
          </w:p>
        </w:tc>
        <w:tc>
          <w:tcPr>
            <w:tcW w:w="895"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Budget</w:t>
            </w:r>
          </w:p>
        </w:tc>
        <w:tc>
          <w:tcPr>
            <w:tcW w:w="959" w:type="dxa"/>
            <w:tcBorders/>
            <w:shd w:fill="auto" w:val="clear"/>
            <w:vAlign w:val="center"/>
          </w:tcPr>
          <w:p>
            <w:pPr>
              <w:pStyle w:val="TableContents"/>
              <w:spacing w:before="0" w:after="0"/>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91%</w:t>
            </w:r>
          </w:p>
        </w:tc>
        <w:tc>
          <w:tcPr>
            <w:tcW w:w="530" w:type="dxa"/>
            <w:tcBorders/>
            <w:shd w:fill="auto" w:val="clear"/>
            <w:vAlign w:val="center"/>
          </w:tcPr>
          <w:p>
            <w:pPr>
              <w:pStyle w:val="TableContents"/>
              <w:spacing w:before="0" w:after="0"/>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93%</w:t>
            </w:r>
          </w:p>
        </w:tc>
        <w:tc>
          <w:tcPr>
            <w:tcW w:w="552" w:type="dxa"/>
            <w:tcBorders/>
            <w:shd w:fill="auto" w:val="clear"/>
            <w:vAlign w:val="center"/>
          </w:tcPr>
          <w:p>
            <w:pPr>
              <w:pStyle w:val="TableContents"/>
              <w:spacing w:before="0" w:after="0"/>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99%</w:t>
            </w:r>
          </w:p>
        </w:tc>
        <w:tc>
          <w:tcPr>
            <w:tcW w:w="895" w:type="dxa"/>
            <w:tcBorders/>
            <w:shd w:fill="auto" w:val="clear"/>
            <w:vAlign w:val="center"/>
          </w:tcPr>
          <w:p>
            <w:pPr>
              <w:pStyle w:val="TableContents"/>
              <w:spacing w:before="0" w:after="0"/>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100%</w:t>
            </w:r>
          </w:p>
        </w:tc>
        <w:tc>
          <w:tcPr>
            <w:tcW w:w="568" w:type="dxa"/>
            <w:tcBorders/>
            <w:shd w:fill="auto" w:val="clear"/>
            <w:vAlign w:val="center"/>
          </w:tcPr>
          <w:p>
            <w:pPr>
              <w:pStyle w:val="TableContents"/>
              <w:spacing w:before="0" w:after="0"/>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103%</w:t>
            </w:r>
          </w:p>
        </w:tc>
        <w:tc>
          <w:tcPr>
            <w:tcW w:w="807" w:type="dxa"/>
            <w:tcBorders/>
            <w:shd w:fill="auto" w:val="clear"/>
            <w:vAlign w:val="center"/>
          </w:tcPr>
          <w:p>
            <w:pPr>
              <w:pStyle w:val="TableContents"/>
              <w:spacing w:before="0" w:after="0"/>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106%</w:t>
            </w:r>
          </w:p>
        </w:tc>
        <w:tc>
          <w:tcPr>
            <w:tcW w:w="983" w:type="dxa"/>
            <w:tcBorders/>
            <w:shd w:fill="auto" w:val="clear"/>
            <w:vAlign w:val="center"/>
          </w:tcPr>
          <w:p>
            <w:pPr>
              <w:pStyle w:val="TableContents"/>
              <w:spacing w:before="0" w:after="0"/>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109%</w:t>
            </w:r>
          </w:p>
        </w:tc>
        <w:tc>
          <w:tcPr>
            <w:tcW w:w="1116"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96%</w:t>
            </w:r>
          </w:p>
        </w:tc>
        <w:tc>
          <w:tcPr>
            <w:tcW w:w="778"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70%</w:t>
            </w:r>
          </w:p>
        </w:tc>
      </w:tr>
      <w:tr>
        <w:trPr/>
        <w:tc>
          <w:tcPr>
            <w:tcW w:w="1307" w:type="dxa"/>
            <w:tcBorders/>
            <w:shd w:fill="DCDDDE" w:val="clear"/>
            <w:vAlign w:val="center"/>
          </w:tcPr>
          <w:p>
            <w:pPr>
              <w:pStyle w:val="TableContents"/>
              <w:spacing w:lineRule="auto" w:line="240" w:before="0" w:after="0"/>
              <w:jc w:val="left"/>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16"/>
              </w:rPr>
              <w:t xml:space="preserve">Growth Initiatives </w:t>
            </w:r>
            <w:r>
              <w:rPr>
                <w:rFonts w:ascii="Arial;Helvetica;Sans-Serif" w:hAnsi="Arial;Helvetica;Sans-Serif"/>
                <w:b w:val="false"/>
                <w:i w:val="false"/>
                <w:caps w:val="false"/>
                <w:smallCaps w:val="false"/>
                <w:color w:val="58595B"/>
                <w:sz w:val="20"/>
              </w:rPr>
              <w:t>(2)</w:t>
            </w:r>
          </w:p>
        </w:tc>
        <w:tc>
          <w:tcPr>
            <w:tcW w:w="81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40%</w:t>
            </w:r>
          </w:p>
        </w:tc>
        <w:tc>
          <w:tcPr>
            <w:tcW w:w="895"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2 goals</w:t>
            </w:r>
          </w:p>
        </w:tc>
        <w:tc>
          <w:tcPr>
            <w:tcW w:w="959"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1 goal</w:t>
            </w:r>
          </w:p>
        </w:tc>
        <w:tc>
          <w:tcPr>
            <w:tcW w:w="530"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N/A</w:t>
            </w:r>
          </w:p>
        </w:tc>
        <w:tc>
          <w:tcPr>
            <w:tcW w:w="552"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N/A</w:t>
            </w:r>
          </w:p>
        </w:tc>
        <w:tc>
          <w:tcPr>
            <w:tcW w:w="895"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2 goals</w:t>
            </w:r>
          </w:p>
        </w:tc>
        <w:tc>
          <w:tcPr>
            <w:tcW w:w="568"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N/A</w:t>
            </w:r>
          </w:p>
        </w:tc>
        <w:tc>
          <w:tcPr>
            <w:tcW w:w="807"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N/A</w:t>
            </w:r>
          </w:p>
        </w:tc>
        <w:tc>
          <w:tcPr>
            <w:tcW w:w="983"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3 goals</w:t>
            </w:r>
          </w:p>
        </w:tc>
        <w:tc>
          <w:tcPr>
            <w:tcW w:w="1116"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Achieved 1 goal</w:t>
            </w:r>
          </w:p>
        </w:tc>
        <w:tc>
          <w:tcPr>
            <w:tcW w:w="778"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50%</w:t>
            </w:r>
          </w:p>
        </w:tc>
      </w:tr>
    </w:tbl>
    <w:p>
      <w:pPr>
        <w:pStyle w:val="TextBody"/>
        <w:rPr>
          <w:caps w:val="false"/>
          <w:smallCaps w:val="false"/>
        </w:rPr>
      </w:pPr>
      <w:r>
        <w:rPr>
          <w:caps w:val="false"/>
          <w:smallCaps w:val="false"/>
        </w:rPr>
        <w:t> </w:t>
      </w:r>
    </w:p>
    <w:tbl>
      <w:tblPr>
        <w:tblW w:w="2710" w:type="dxa"/>
        <w:jc w:val="left"/>
        <w:tblInd w:w="0" w:type="dxa"/>
        <w:tblCellMar>
          <w:top w:w="0" w:type="dxa"/>
          <w:left w:w="0" w:type="dxa"/>
          <w:bottom w:w="0" w:type="dxa"/>
          <w:right w:w="0" w:type="dxa"/>
        </w:tblCellMar>
      </w:tblPr>
      <w:tblGrid>
        <w:gridCol w:w="2000"/>
        <w:gridCol w:w="710"/>
      </w:tblGrid>
      <w:tr>
        <w:trPr/>
        <w:tc>
          <w:tcPr>
            <w:tcW w:w="2000"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Target Payout</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$365,455</w:t>
            </w:r>
          </w:p>
        </w:tc>
      </w:tr>
      <w:tr>
        <w:trPr/>
        <w:tc>
          <w:tcPr>
            <w:tcW w:w="2000"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Total Payout % Earned</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62%</w:t>
            </w:r>
          </w:p>
        </w:tc>
      </w:tr>
      <w:tr>
        <w:trPr/>
        <w:tc>
          <w:tcPr>
            <w:tcW w:w="2000"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Formulaic Payout</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$226,582</w:t>
            </w:r>
          </w:p>
        </w:tc>
      </w:tr>
      <w:tr>
        <w:trPr/>
        <w:tc>
          <w:tcPr>
            <w:tcW w:w="2000" w:type="dxa"/>
            <w:tcBorders/>
            <w:shd w:fill="auto" w:val="clear"/>
            <w:vAlign w:val="center"/>
          </w:tcPr>
          <w:p>
            <w:pPr>
              <w:pStyle w:val="TableContents"/>
              <w:spacing w:lineRule="auto" w:line="240" w:before="0" w:after="283"/>
              <w:jc w:val="righ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16"/>
              </w:rPr>
              <w:t>Discretionary Amount</w:t>
            </w:r>
            <w:r>
              <w:rPr>
                <w:rFonts w:ascii="Arial;Helvetica;Sans-Serif" w:hAnsi="Arial;Helvetica;Sans-Serif"/>
                <w:b/>
                <w:i w:val="false"/>
                <w:caps w:val="false"/>
                <w:smallCaps w:val="false"/>
                <w:color w:val="231F20"/>
                <w:sz w:val="20"/>
              </w:rPr>
              <w:t>(3)</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$64,482</w:t>
            </w:r>
          </w:p>
        </w:tc>
      </w:tr>
      <w:tr>
        <w:trPr/>
        <w:tc>
          <w:tcPr>
            <w:tcW w:w="2000"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Total Payout</w:t>
            </w:r>
          </w:p>
        </w:tc>
        <w:tc>
          <w:tcPr>
            <w:tcW w:w="71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$291,064</w:t>
            </w:r>
          </w:p>
        </w:tc>
      </w:tr>
    </w:tbl>
    <w:p>
      <w:pPr>
        <w:pStyle w:val="TextBody"/>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(1) Targets are also subject to sales expense remaining in budget.</w:t>
      </w:r>
      <w:r>
        <w:rPr>
          <w:rFonts w:ascii="Arial;Helvetica;Sans-Serif" w:hAnsi="Arial;Helvetica;Sans-Serif"/>
          <w:b w:val="false"/>
          <w:i w:val="false"/>
          <w:caps w:val="false"/>
          <w:smallCaps w:val="false"/>
          <w:color w:val="58595B"/>
          <w:sz w:val="16"/>
        </w:rPr>
        <w:t> </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(2) (a) Add specified target of incremental fueling sites (achieved) and Increase Sem Parar consumer transactions by specified target (not acheived); (b) Achieve target Caixa revenue (not achieved); and (c) Move to ifood network (achieved).</w:t>
      </w:r>
      <w:r>
        <w:rPr>
          <w:rFonts w:ascii="Arial;Helvetica;Sans-Serif" w:hAnsi="Arial;Helvetica;Sans-Serif"/>
          <w:b w:val="false"/>
          <w:i w:val="false"/>
          <w:caps w:val="false"/>
          <w:smallCaps w:val="false"/>
          <w:color w:val="58595B"/>
          <w:sz w:val="16"/>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(3) Reflects a discretionary increase in recognition of the year-over-year growth in our Brazil business.</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18"/>
        </w:rPr>
        <w:t xml:space="preserve">Alan King: </w:t>
      </w:r>
      <w:r>
        <w:rPr>
          <w:rFonts w:ascii="Arial;Helvetica;Sans-Serif" w:hAnsi="Arial;Helvetica;Sans-Serif"/>
          <w:b w:val="false"/>
          <w:i w:val="false"/>
          <w:caps w:val="false"/>
          <w:smallCaps w:val="false"/>
          <w:color w:val="58595B"/>
          <w:sz w:val="18"/>
        </w:rPr>
        <w:t>Mr. King’s 2022 annual cash incentive was determined as follows:</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250"/>
        <w:gridCol w:w="770"/>
        <w:gridCol w:w="850"/>
        <w:gridCol w:w="939"/>
        <w:gridCol w:w="530"/>
        <w:gridCol w:w="549"/>
        <w:gridCol w:w="850"/>
        <w:gridCol w:w="549"/>
        <w:gridCol w:w="804"/>
        <w:gridCol w:w="1217"/>
        <w:gridCol w:w="1145"/>
        <w:gridCol w:w="752"/>
      </w:tblGrid>
      <w:tr>
        <w:trPr/>
        <w:tc>
          <w:tcPr>
            <w:tcW w:w="1250" w:type="dxa"/>
            <w:tcBorders/>
            <w:shd w:fill="EE0027" w:val="clear"/>
            <w:vAlign w:val="center"/>
          </w:tcPr>
          <w:p>
            <w:pPr>
              <w:pStyle w:val="TableContents"/>
              <w:spacing w:before="0" w:after="0"/>
              <w:jc w:val="left"/>
              <w:rPr>
                <w:rFonts w:ascii="Arial;Helvetica;Sans-Serif" w:hAnsi="Arial;Helvetica;San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Performance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Metric</w:t>
            </w:r>
          </w:p>
        </w:tc>
        <w:tc>
          <w:tcPr>
            <w:tcW w:w="77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Weighing</w:t>
            </w:r>
          </w:p>
        </w:tc>
        <w:tc>
          <w:tcPr>
            <w:tcW w:w="85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w:t>
            </w:r>
          </w:p>
        </w:tc>
        <w:tc>
          <w:tcPr>
            <w:tcW w:w="939"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Threshold </w:t>
              <w:br/>
              <w:t>(50%)</w:t>
            </w:r>
          </w:p>
        </w:tc>
        <w:tc>
          <w:tcPr>
            <w:tcW w:w="530" w:type="dxa"/>
            <w:tcBorders/>
            <w:shd w:fill="EE0027" w:val="clear"/>
            <w:vAlign w:val="center"/>
          </w:tcPr>
          <w:p>
            <w:pPr>
              <w:pStyle w:val="TableContents"/>
              <w:spacing w:before="0" w:after="0"/>
              <w:jc w:val="left"/>
              <w:rPr>
                <w:rFonts w:ascii="Arial;Helvetica;Sans-Serif" w:hAnsi="Arial;Helvetica;Sans-Serif"/>
                <w:b w:val="false"/>
                <w:i w:val="false"/>
                <w:caps w:val="false"/>
                <w:smallCaps w:val="false"/>
                <w:color w:val="FFFFFF"/>
                <w:sz w:val="20"/>
              </w:rPr>
            </w:pPr>
            <w:r>
              <w:rPr>
                <w:rFonts w:ascii="Arial;Helvetica;Sans-Serif" w:hAnsi="Arial;Helvetica;Sans-Serif"/>
                <w:b/>
                <w:i w:val="false"/>
                <w:caps w:val="false"/>
                <w:smallCaps w:val="false"/>
                <w:color w:val="FFFFFF"/>
                <w:sz w:val="16"/>
              </w:rPr>
              <w:t>Below</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(70%)</w:t>
            </w:r>
          </w:p>
        </w:tc>
        <w:tc>
          <w:tcPr>
            <w:tcW w:w="549" w:type="dxa"/>
            <w:tcBorders/>
            <w:shd w:fill="EE0027" w:val="clear"/>
            <w:vAlign w:val="center"/>
          </w:tcPr>
          <w:p>
            <w:pPr>
              <w:pStyle w:val="TableContents"/>
              <w:spacing w:before="0" w:after="0"/>
              <w:jc w:val="left"/>
              <w:rPr>
                <w:rFonts w:ascii="Arial;Helvetica;Sans-Serif" w:hAnsi="Arial;Helvetica;San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 xml:space="preserve">Target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(85%)</w:t>
            </w:r>
          </w:p>
        </w:tc>
        <w:tc>
          <w:tcPr>
            <w:tcW w:w="850" w:type="dxa"/>
            <w:tcBorders/>
            <w:shd w:fill="EE0027" w:val="clear"/>
            <w:vAlign w:val="center"/>
          </w:tcPr>
          <w:p>
            <w:pPr>
              <w:pStyle w:val="TableContents"/>
              <w:spacing w:before="0" w:after="0"/>
              <w:jc w:val="left"/>
              <w:rPr>
                <w:rFonts w:ascii="Arial;Helvetica;Sans-Serif" w:hAnsi="Arial;Helvetica;San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Target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(100%)</w:t>
            </w:r>
          </w:p>
        </w:tc>
        <w:tc>
          <w:tcPr>
            <w:tcW w:w="549" w:type="dxa"/>
            <w:tcBorders/>
            <w:shd w:fill="EE0027" w:val="clear"/>
            <w:vAlign w:val="center"/>
          </w:tcPr>
          <w:p>
            <w:pPr>
              <w:pStyle w:val="TableContents"/>
              <w:spacing w:before="0" w:after="0"/>
              <w:jc w:val="left"/>
              <w:rPr>
                <w:rFonts w:ascii="Arial;Helvetica;Sans-Serif" w:hAnsi="Arial;Helvetica;San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Above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(120%)</w:t>
            </w:r>
          </w:p>
        </w:tc>
        <w:tc>
          <w:tcPr>
            <w:tcW w:w="804"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Below </w:t>
              <w:br/>
              <w:t xml:space="preserve">Maximum </w:t>
              <w:br/>
              <w:t>(135%)</w:t>
            </w:r>
          </w:p>
        </w:tc>
        <w:tc>
          <w:tcPr>
            <w:tcW w:w="1217"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Maximum </w:t>
              <w:br/>
              <w:t>(150%)</w:t>
            </w:r>
          </w:p>
        </w:tc>
        <w:tc>
          <w:tcPr>
            <w:tcW w:w="114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2022</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Achievement</w:t>
            </w:r>
          </w:p>
        </w:tc>
        <w:tc>
          <w:tcPr>
            <w:tcW w:w="752"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 of Target </w:t>
              <w:br/>
              <w:t>Earned</w:t>
            </w:r>
          </w:p>
          <w:p>
            <w:pPr>
              <w:pStyle w:val="TableContents"/>
              <w:spacing w:before="0" w:after="0"/>
              <w:jc w:val="left"/>
              <w:rPr>
                <w:caps w:val="false"/>
                <w:smallCaps w:val="false"/>
                <w:color w:val="FFFFFF"/>
              </w:rPr>
            </w:pPr>
            <w:r>
              <w:rPr>
                <w:caps w:val="false"/>
                <w:smallCaps w:val="false"/>
                <w:color w:val="FFFFFF"/>
              </w:rPr>
              <w:t> </w:t>
            </w:r>
          </w:p>
        </w:tc>
      </w:tr>
      <w:tr>
        <w:trPr/>
        <w:tc>
          <w:tcPr>
            <w:tcW w:w="1250" w:type="dxa"/>
            <w:tcBorders/>
            <w:shd w:fill="auto" w:val="clear"/>
            <w:vAlign w:val="center"/>
          </w:tcPr>
          <w:p>
            <w:pPr>
              <w:pStyle w:val="TableContents"/>
              <w:spacing w:lineRule="auto" w:line="240" w:before="0" w:after="0"/>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16"/>
              </w:rPr>
              <w:t>Fuel Sales</w:t>
            </w:r>
            <w:r>
              <w:rPr>
                <w:rFonts w:ascii="Arial;Helvetica;Sans-Serif" w:hAnsi="Arial;Helvetica;Sans-Serif"/>
                <w:b w:val="false"/>
                <w:i w:val="false"/>
                <w:caps w:val="false"/>
                <w:smallCaps w:val="false"/>
                <w:color w:val="58595B"/>
                <w:sz w:val="20"/>
              </w:rPr>
              <w:t>(1) </w:t>
            </w:r>
          </w:p>
        </w:tc>
        <w:tc>
          <w:tcPr>
            <w:tcW w:w="770" w:type="dxa"/>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60% </w:t>
            </w:r>
          </w:p>
        </w:tc>
        <w:tc>
          <w:tcPr>
            <w:tcW w:w="850" w:type="dxa"/>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Budget</w:t>
            </w:r>
          </w:p>
        </w:tc>
        <w:tc>
          <w:tcPr>
            <w:tcW w:w="939" w:type="dxa"/>
            <w:tcBorders/>
            <w:shd w:fill="auto" w:val="clear"/>
            <w:vAlign w:val="center"/>
          </w:tcPr>
          <w:p>
            <w:pPr>
              <w:pStyle w:val="TableContents"/>
              <w:spacing w:before="0" w:after="0"/>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91%</w:t>
            </w:r>
          </w:p>
        </w:tc>
        <w:tc>
          <w:tcPr>
            <w:tcW w:w="530" w:type="dxa"/>
            <w:tcBorders/>
            <w:shd w:fill="auto" w:val="clear"/>
            <w:vAlign w:val="center"/>
          </w:tcPr>
          <w:p>
            <w:pPr>
              <w:pStyle w:val="TableContents"/>
              <w:spacing w:before="0" w:after="0"/>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93%</w:t>
            </w:r>
          </w:p>
        </w:tc>
        <w:tc>
          <w:tcPr>
            <w:tcW w:w="549" w:type="dxa"/>
            <w:tcBorders/>
            <w:shd w:fill="auto" w:val="clear"/>
            <w:vAlign w:val="center"/>
          </w:tcPr>
          <w:p>
            <w:pPr>
              <w:pStyle w:val="TableContents"/>
              <w:spacing w:before="0" w:after="0"/>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99%</w:t>
            </w:r>
          </w:p>
        </w:tc>
        <w:tc>
          <w:tcPr>
            <w:tcW w:w="850" w:type="dxa"/>
            <w:tcBorders/>
            <w:shd w:fill="auto" w:val="clear"/>
            <w:vAlign w:val="center"/>
          </w:tcPr>
          <w:p>
            <w:pPr>
              <w:pStyle w:val="TableContents"/>
              <w:spacing w:before="0" w:after="0"/>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100%</w:t>
            </w:r>
          </w:p>
        </w:tc>
        <w:tc>
          <w:tcPr>
            <w:tcW w:w="549" w:type="dxa"/>
            <w:tcBorders/>
            <w:shd w:fill="auto" w:val="clear"/>
            <w:vAlign w:val="center"/>
          </w:tcPr>
          <w:p>
            <w:pPr>
              <w:pStyle w:val="TableContents"/>
              <w:spacing w:before="0" w:after="0"/>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103%</w:t>
            </w:r>
          </w:p>
        </w:tc>
        <w:tc>
          <w:tcPr>
            <w:tcW w:w="804" w:type="dxa"/>
            <w:tcBorders/>
            <w:shd w:fill="auto" w:val="clear"/>
            <w:vAlign w:val="center"/>
          </w:tcPr>
          <w:p>
            <w:pPr>
              <w:pStyle w:val="TableContents"/>
              <w:spacing w:before="0" w:after="0"/>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106%</w:t>
            </w:r>
          </w:p>
        </w:tc>
        <w:tc>
          <w:tcPr>
            <w:tcW w:w="1217" w:type="dxa"/>
            <w:tcBorders/>
            <w:shd w:fill="auto" w:val="clear"/>
            <w:vAlign w:val="center"/>
          </w:tcPr>
          <w:p>
            <w:pPr>
              <w:pStyle w:val="TableContents"/>
              <w:spacing w:before="0" w:after="0"/>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6"/>
              </w:rPr>
              <w:t>109%</w:t>
            </w:r>
          </w:p>
        </w:tc>
        <w:tc>
          <w:tcPr>
            <w:tcW w:w="1145" w:type="dxa"/>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106%</w:t>
            </w:r>
          </w:p>
        </w:tc>
        <w:tc>
          <w:tcPr>
            <w:tcW w:w="752" w:type="dxa"/>
            <w:tcBorders/>
            <w:shd w:fill="auto"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135%</w:t>
            </w:r>
          </w:p>
        </w:tc>
      </w:tr>
      <w:tr>
        <w:trPr/>
        <w:tc>
          <w:tcPr>
            <w:tcW w:w="1250" w:type="dxa"/>
            <w:tcBorders/>
            <w:shd w:fill="DCDDDE" w:val="clear"/>
            <w:vAlign w:val="center"/>
          </w:tcPr>
          <w:p>
            <w:pPr>
              <w:pStyle w:val="TableContents"/>
              <w:spacing w:lineRule="auto" w:line="240" w:before="0" w:after="0"/>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16"/>
              </w:rPr>
              <w:t xml:space="preserve">Growth Initiatives </w:t>
            </w:r>
            <w:r>
              <w:rPr>
                <w:rFonts w:ascii="Arial;Helvetica;Sans-Serif" w:hAnsi="Arial;Helvetica;Sans-Serif"/>
                <w:b w:val="false"/>
                <w:i w:val="false"/>
                <w:caps w:val="false"/>
                <w:smallCaps w:val="false"/>
                <w:color w:val="58595B"/>
                <w:sz w:val="20"/>
              </w:rPr>
              <w:t>(2)</w:t>
            </w:r>
          </w:p>
        </w:tc>
        <w:tc>
          <w:tcPr>
            <w:tcW w:w="770"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40%</w:t>
            </w:r>
          </w:p>
        </w:tc>
        <w:tc>
          <w:tcPr>
            <w:tcW w:w="850"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2 goals</w:t>
            </w:r>
          </w:p>
        </w:tc>
        <w:tc>
          <w:tcPr>
            <w:tcW w:w="939"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1 goal</w:t>
            </w:r>
          </w:p>
        </w:tc>
        <w:tc>
          <w:tcPr>
            <w:tcW w:w="530"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N/A</w:t>
            </w:r>
          </w:p>
        </w:tc>
        <w:tc>
          <w:tcPr>
            <w:tcW w:w="549"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N/A</w:t>
            </w:r>
          </w:p>
        </w:tc>
        <w:tc>
          <w:tcPr>
            <w:tcW w:w="850"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2 goals</w:t>
            </w:r>
          </w:p>
        </w:tc>
        <w:tc>
          <w:tcPr>
            <w:tcW w:w="549"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N/A</w:t>
            </w:r>
          </w:p>
        </w:tc>
        <w:tc>
          <w:tcPr>
            <w:tcW w:w="804"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N/A</w:t>
            </w:r>
          </w:p>
        </w:tc>
        <w:tc>
          <w:tcPr>
            <w:tcW w:w="1217"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 3 or more goals</w:t>
            </w:r>
          </w:p>
        </w:tc>
        <w:tc>
          <w:tcPr>
            <w:tcW w:w="1145"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Achieved 4 goals</w:t>
            </w:r>
          </w:p>
        </w:tc>
        <w:tc>
          <w:tcPr>
            <w:tcW w:w="752" w:type="dxa"/>
            <w:tcBorders/>
            <w:shd w:fill="DCDDDE" w:val="clear"/>
            <w:vAlign w:val="center"/>
          </w:tcPr>
          <w:p>
            <w:pPr>
              <w:pStyle w:val="TableContents"/>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150%</w:t>
            </w:r>
          </w:p>
        </w:tc>
      </w:tr>
    </w:tbl>
    <w:p>
      <w:pPr>
        <w:pStyle w:val="TextBody"/>
        <w:rPr>
          <w:caps w:val="false"/>
          <w:smallCaps w:val="false"/>
        </w:rPr>
      </w:pPr>
      <w:r>
        <w:rPr>
          <w:caps w:val="false"/>
          <w:smallCaps w:val="false"/>
        </w:rPr>
        <w:t> </w:t>
      </w:r>
    </w:p>
    <w:tbl>
      <w:tblPr>
        <w:tblW w:w="2755" w:type="dxa"/>
        <w:jc w:val="left"/>
        <w:tblInd w:w="0" w:type="dxa"/>
        <w:tblCellMar>
          <w:top w:w="0" w:type="dxa"/>
          <w:left w:w="0" w:type="dxa"/>
          <w:bottom w:w="0" w:type="dxa"/>
          <w:right w:w="0" w:type="dxa"/>
        </w:tblCellMar>
      </w:tblPr>
      <w:tblGrid>
        <w:gridCol w:w="1835"/>
        <w:gridCol w:w="920"/>
      </w:tblGrid>
      <w:tr>
        <w:trPr/>
        <w:tc>
          <w:tcPr>
            <w:tcW w:w="1835"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Target Payout</w:t>
            </w:r>
          </w:p>
        </w:tc>
        <w:tc>
          <w:tcPr>
            <w:tcW w:w="920" w:type="dxa"/>
            <w:tcBorders/>
            <w:shd w:fill="auto" w:val="clear"/>
            <w:vAlign w:val="center"/>
          </w:tcPr>
          <w:p>
            <w:pPr>
              <w:pStyle w:val="TableContents"/>
              <w:spacing w:lineRule="auto" w:line="240"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$279,422(3)</w:t>
            </w:r>
          </w:p>
        </w:tc>
      </w:tr>
      <w:tr>
        <w:trPr/>
        <w:tc>
          <w:tcPr>
            <w:tcW w:w="1835"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Total Payout % Earned</w:t>
            </w:r>
          </w:p>
        </w:tc>
        <w:tc>
          <w:tcPr>
            <w:tcW w:w="92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141%</w:t>
            </w:r>
          </w:p>
        </w:tc>
      </w:tr>
      <w:tr>
        <w:trPr/>
        <w:tc>
          <w:tcPr>
            <w:tcW w:w="1835" w:type="dxa"/>
            <w:tcBorders/>
            <w:shd w:fill="auto" w:val="clear"/>
            <w:vAlign w:val="center"/>
          </w:tcPr>
          <w:p>
            <w:pPr>
              <w:pStyle w:val="TableContents"/>
              <w:spacing w:before="0" w:after="283"/>
              <w:jc w:val="right"/>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Total Payout</w:t>
            </w:r>
          </w:p>
        </w:tc>
        <w:tc>
          <w:tcPr>
            <w:tcW w:w="920" w:type="dxa"/>
            <w:tcBorders/>
            <w:shd w:fill="auto" w:val="clear"/>
            <w:vAlign w:val="center"/>
          </w:tcPr>
          <w:p>
            <w:pPr>
              <w:pStyle w:val="TableContents"/>
              <w:spacing w:before="0" w:after="283"/>
              <w:rPr>
                <w:rFonts w:ascii="Arial;Helvetica;Sans-Serif" w:hAnsi="Arial;Helvetica;Sans-Serif"/>
                <w:b/>
                <w:i w:val="false"/>
                <w:caps w:val="false"/>
                <w:smallCaps w:val="false"/>
                <w:color w:val="231F20"/>
                <w:sz w:val="16"/>
              </w:rPr>
            </w:pPr>
            <w:r>
              <w:rPr>
                <w:rFonts w:ascii="Arial;Helvetica;Sans-Serif" w:hAnsi="Arial;Helvetica;Sans-Serif"/>
                <w:b/>
                <w:i w:val="false"/>
                <w:caps w:val="false"/>
                <w:smallCaps w:val="false"/>
                <w:color w:val="231F20"/>
                <w:sz w:val="16"/>
              </w:rPr>
              <w:t>$393,986</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Targets are also subject to sales expense remaining in budget.</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(2) (a) Achieve EV goal of greater than 20 live active EV clients within revenue requirements (achieved); (b) design, agree and staff global fleet organization (achieved);</w:t>
      </w:r>
      <w:r>
        <w:rPr>
          <w:rFonts w:ascii="Arial;Helvetica;Sans-Serif" w:hAnsi="Arial;Helvetica;Sans-Serif"/>
          <w:b w:val="false"/>
          <w:i w:val="false"/>
          <w:caps w:val="false"/>
          <w:smallCaps w:val="false"/>
          <w:color w:val="58595B"/>
          <w:sz w:val="16"/>
        </w:rPr>
        <w:t> </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(c)  complete a particular acquisition (achieved); (d) re-sign specified partners by year-end (achieved).</w:t>
      </w:r>
      <w:r>
        <w:rPr>
          <w:rFonts w:ascii="Arial;Helvetica;Sans-Serif" w:hAnsi="Arial;Helvetica;Sans-Serif"/>
          <w:b w:val="false"/>
          <w:i w:val="false"/>
          <w:caps w:val="false"/>
          <w:smallCaps w:val="false"/>
          <w:color w:val="58595B"/>
          <w:sz w:val="16"/>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(3) Mr. King’s annual cash incentive award is denominated in British Pound Sterling. For purposes of this table and to normalize for fluctuations in the currency exchange rate, cash amounts for Mr. King have been converted to U.S. dollars at an average exchange rate of $1 to £0.8080 for 2022.</w:t>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37</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Arial;Helvetica;Sans-Serif" w:hAnsi="Arial;Helvetica;Sans-Serif"/>
          <w:b w:val="false"/>
          <w:i w:val="false"/>
          <w:caps w:val="false"/>
          <w:smallCaps w:val="false"/>
          <w:color w:val="231F20"/>
          <w:sz w:val="20"/>
        </w:rPr>
      </w:pPr>
      <w:r>
        <w:rPr>
          <w:rFonts w:ascii="Arial;Helvetica;Sans-Serif" w:hAnsi="Arial;Helvetica;Sans-Serif"/>
          <w:b/>
          <w:i w:val="false"/>
          <w:caps w:val="false"/>
          <w:smallCaps w:val="false"/>
          <w:color w:val="231F20"/>
          <w:sz w:val="20"/>
        </w:rPr>
        <w:t>05.</w:t>
      </w:r>
      <w:r>
        <w:rPr>
          <w:rFonts w:ascii="Arial;Helvetica;Sans-Serif" w:hAnsi="Arial;Helvetica;Sans-Serif"/>
          <w:b w:val="false"/>
          <w:i w:val="false"/>
          <w:caps w:val="false"/>
          <w:smallCaps w:val="false"/>
          <w:color w:val="231F20"/>
          <w:sz w:val="20"/>
        </w:rPr>
        <w:t> </w:t>
      </w:r>
      <w:r>
        <w:rPr>
          <w:rFonts w:ascii="Arial;Helvetica;Sans-Serif" w:hAnsi="Arial;Helvetica;Sans-Serif"/>
          <w:b w:val="false"/>
          <w:i w:val="false"/>
          <w:caps w:val="false"/>
          <w:smallCaps w:val="false"/>
          <w:color w:val="EE0027"/>
          <w:sz w:val="20"/>
        </w:rPr>
        <w:t>COMPENSATION DISCUSSION AND ANALYSIS</w:t>
      </w:r>
    </w:p>
    <w:p>
      <w:pPr>
        <w:pStyle w:val="TextBody"/>
        <w:rPr/>
      </w:pPr>
      <w:r>
        <w:rPr/>
      </w:r>
      <w:r>
        <mc:AlternateContent>
          <mc:Choice Requires="wps">
            <w:drawing>
              <wp:anchor behindDoc="0" distT="0" distB="0" distL="0" distR="0" simplePos="0" locked="0" layoutInCell="1" allowOverlap="1" relativeHeight="198">
                <wp:simplePos x="0" y="0"/>
                <wp:positionH relativeFrom="column">
                  <wp:align>left</wp:align>
                </wp:positionH>
                <wp:positionV relativeFrom="line">
                  <wp:posOffset>635</wp:posOffset>
                </wp:positionV>
                <wp:extent cx="3110230" cy="1927860"/>
                <wp:effectExtent l="0" t="0" r="0" b="0"/>
                <wp:wrapSquare wrapText="largest"/>
                <wp:docPr id="383" name="Frame56"/>
                <a:graphic xmlns:a="http://schemas.openxmlformats.org/drawingml/2006/main">
                  <a:graphicData uri="http://schemas.microsoft.com/office/word/2010/wordprocessingShape">
                    <wps:wsp>
                      <wps:cNvSpPr txBox="1"/>
                      <wps:spPr>
                        <a:xfrm>
                          <a:off x="0" y="0"/>
                          <a:ext cx="3110230" cy="1927860"/>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95" w:name="a053"/>
                            <w:bookmarkEnd w:id="95"/>
                            <w:r>
                              <w:rPr>
                                <w:rFonts w:ascii="Arial;Helvetica;Sans-Serif" w:hAnsi="Arial;Helvetica;Sans-Serif"/>
                                <w:b/>
                                <w:i w:val="false"/>
                                <w:caps w:val="false"/>
                                <w:smallCaps w:val="false"/>
                                <w:color w:val="231F20"/>
                                <w:sz w:val="18"/>
                              </w:rPr>
                              <w:t>Equity Awards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believe that performance-based equity awards are effective tools for meeting our compensation goals because the conditions to vesting motivate the achievement of performance goals and the value of the grants will increase as the value of our stock price increases. We believe that stock options are also an effective tool for meeting our compensation goals because NEOs are rewarded only if our stock price increases relative to the stock option’s exercise price. To determine the size of each NEO’s equity awards, we consider the external market, individual performance history and relative job responsibilities.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1.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96" w:name="a053"/>
                      <w:bookmarkEnd w:id="96"/>
                      <w:r>
                        <w:rPr>
                          <w:rFonts w:ascii="Arial;Helvetica;Sans-Serif" w:hAnsi="Arial;Helvetica;Sans-Serif"/>
                          <w:b/>
                          <w:i w:val="false"/>
                          <w:caps w:val="false"/>
                          <w:smallCaps w:val="false"/>
                          <w:color w:val="231F20"/>
                          <w:sz w:val="18"/>
                        </w:rPr>
                        <w:t>Equity Awards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believe that performance-based equity awards are effective tools for meeting our compensation goals because the conditions to vesting motivate the achievement of performance goals and the value of the grants will increase as the value of our stock price increases. We believe that stock options are also an effective tool for meeting our compensation goals because NEOs are rewarded only if our stock price increases relative to the stock option’s exercise price. To determine the size of each NEO’s equity awards, we consider the external market, individual performance history and relative job responsibilities.</w:t>
                      </w:r>
                    </w:p>
                  </w:txbxContent>
                </v:textbox>
                <w10:wrap type="square" side="right"/>
              </v:rect>
            </w:pict>
          </mc:Fallback>
        </mc:AlternateContent>
      </w:r>
      <w:r>
        <mc:AlternateContent>
          <mc:Choice Requires="wps">
            <w:drawing>
              <wp:anchor behindDoc="0" distT="0" distB="0" distL="0" distR="0" simplePos="0" locked="0" layoutInCell="1" allowOverlap="1" relativeHeight="199">
                <wp:simplePos x="0" y="0"/>
                <wp:positionH relativeFrom="column">
                  <wp:align>right</wp:align>
                </wp:positionH>
                <wp:positionV relativeFrom="line">
                  <wp:posOffset>635</wp:posOffset>
                </wp:positionV>
                <wp:extent cx="3110230" cy="1708785"/>
                <wp:effectExtent l="0" t="0" r="0" b="0"/>
                <wp:wrapSquare wrapText="largest"/>
                <wp:docPr id="384" name="Frame57"/>
                <a:graphic xmlns:a="http://schemas.openxmlformats.org/drawingml/2006/main">
                  <a:graphicData uri="http://schemas.microsoft.com/office/word/2010/wordprocessingShape">
                    <wps:wsp>
                      <wps:cNvSpPr txBox="1"/>
                      <wps:spPr>
                        <a:xfrm>
                          <a:off x="0" y="0"/>
                          <a:ext cx="3110230" cy="170878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CEO makes equity award grant recommendations for each executive officer, including our NEOs (other than himself). Grant recommendations are presented to the compensation committee for its review and approval.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97" w:name="a054"/>
                            <w:bookmarkEnd w:id="97"/>
                            <w:r>
                              <w:rPr>
                                <w:rFonts w:ascii="Arial;Helvetica;Sans-Serif" w:hAnsi="Arial;Helvetica;Sans-Serif"/>
                                <w:b/>
                                <w:i w:val="false"/>
                                <w:caps w:val="false"/>
                                <w:smallCaps w:val="false"/>
                                <w:color w:val="231F20"/>
                                <w:sz w:val="18"/>
                              </w:rPr>
                              <w:t>2021 Performance Stock Option Award for CEO</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September 2021, as discussed above, the compensation committee approved the 2021 CEO Performance Option for Mr. Clarke. Mr. Clarke did not receive any equity compensation awards in 2022.</w:t>
                            </w:r>
                          </w:p>
                          <w:p>
                            <w:pPr>
                              <w:pStyle w:val="TextBody"/>
                              <w:spacing w:before="0" w:after="0"/>
                              <w:rPr>
                                <w:caps w:val="false"/>
                                <w:smallCaps w:val="false"/>
                                <w:color w:val="231F20"/>
                              </w:rPr>
                            </w:pPr>
                            <w:r>
                              <w:rPr>
                                <w:caps w:val="false"/>
                                <w:smallCaps w:val="false"/>
                                <w:color w:val="231F20"/>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34.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CEO makes equity award grant recommendations for each executive officer, including our NEOs (other than himself). Grant recommendations are presented to the compensation committee for its review and approval.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98" w:name="a054"/>
                      <w:bookmarkEnd w:id="98"/>
                      <w:r>
                        <w:rPr>
                          <w:rFonts w:ascii="Arial;Helvetica;Sans-Serif" w:hAnsi="Arial;Helvetica;Sans-Serif"/>
                          <w:b/>
                          <w:i w:val="false"/>
                          <w:caps w:val="false"/>
                          <w:smallCaps w:val="false"/>
                          <w:color w:val="231F20"/>
                          <w:sz w:val="18"/>
                        </w:rPr>
                        <w:t>2021 Performance Stock Option Award for CEO</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September 2021, as discussed above, the compensation committee approved the 2021 CEO Performance Option for Mr. Clarke. Mr. Clarke did not receive any equity compensation awards in 2022.</w:t>
                      </w:r>
                    </w:p>
                    <w:p>
                      <w:pPr>
                        <w:pStyle w:val="TextBody"/>
                        <w:spacing w:before="0" w:after="0"/>
                        <w:rPr>
                          <w:caps w:val="false"/>
                          <w:smallCaps w:val="false"/>
                          <w:color w:val="231F20"/>
                        </w:rPr>
                      </w:pPr>
                      <w:r>
                        <w:rPr>
                          <w:caps w:val="false"/>
                          <w:smallCaps w:val="false"/>
                          <w:color w:val="231F20"/>
                        </w:rPr>
                        <w:t> </w:t>
                      </w:r>
                    </w:p>
                  </w:txbxContent>
                </v:textbox>
                <w10:wrap type="square" side="left"/>
              </v:rect>
            </w:pict>
          </mc:Fallback>
        </mc:AlternateContent>
      </w:r>
    </w:p>
    <w:p>
      <w:pPr>
        <w:pStyle w:val="TextBody"/>
        <w:spacing w:before="0" w:after="0"/>
        <w:rPr>
          <w:rFonts w:ascii="Arial;Helvetica;Sans-Serif" w:hAnsi="Arial;Helvetica;Sans-Serif"/>
          <w:b/>
          <w:i w:val="false"/>
          <w:caps w:val="false"/>
          <w:smallCaps w:val="false"/>
          <w:color w:val="231F20"/>
          <w:sz w:val="18"/>
        </w:rPr>
      </w:pPr>
      <w:bookmarkStart w:id="99" w:name="a055"/>
      <w:bookmarkEnd w:id="99"/>
      <w:r>
        <w:rPr>
          <w:rFonts w:ascii="Arial;Helvetica;Sans-Serif" w:hAnsi="Arial;Helvetica;Sans-Serif"/>
          <w:b/>
          <w:i w:val="false"/>
          <w:caps w:val="false"/>
          <w:smallCaps w:val="false"/>
          <w:color w:val="231F20"/>
          <w:sz w:val="18"/>
        </w:rPr>
        <w:t>Other NEOs’ 2022 Equity Awards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January 2022, we granted the equity-based incentive awards set forth in the table below to our NEOs other than the CEO:</w:t>
      </w:r>
    </w:p>
    <w:p>
      <w:pPr>
        <w:pStyle w:val="TextBody"/>
        <w:spacing w:before="0" w:after="0"/>
        <w:ind w:left="800" w:right="0" w:hanging="0"/>
        <w:rPr>
          <w:caps w:val="false"/>
          <w:smallCaps w:val="false"/>
          <w:color w:val="58595B"/>
        </w:rPr>
      </w:pPr>
      <w:r>
        <w:rPr>
          <w:caps w:val="false"/>
          <w:smallCaps w:val="false"/>
          <w:color w:val="58595B"/>
        </w:rPr>
        <w:t> </w:t>
      </w:r>
    </w:p>
    <w:tbl>
      <w:tblPr>
        <w:tblW w:w="9630" w:type="dxa"/>
        <w:jc w:val="left"/>
        <w:tblInd w:w="0" w:type="dxa"/>
        <w:tblCellMar>
          <w:top w:w="0" w:type="dxa"/>
          <w:left w:w="0" w:type="dxa"/>
          <w:bottom w:w="0" w:type="dxa"/>
          <w:right w:w="0" w:type="dxa"/>
        </w:tblCellMar>
      </w:tblPr>
      <w:tblGrid>
        <w:gridCol w:w="1385"/>
        <w:gridCol w:w="1070"/>
        <w:gridCol w:w="1025"/>
        <w:gridCol w:w="1085"/>
        <w:gridCol w:w="1295"/>
        <w:gridCol w:w="830"/>
        <w:gridCol w:w="710"/>
        <w:gridCol w:w="1295"/>
        <w:gridCol w:w="935"/>
      </w:tblGrid>
      <w:tr>
        <w:trPr/>
        <w:tc>
          <w:tcPr>
            <w:tcW w:w="1385" w:type="dxa"/>
            <w:tcBorders/>
            <w:shd w:fill="EE0027" w:val="clear"/>
            <w:vAlign w:val="center"/>
          </w:tcPr>
          <w:p>
            <w:pPr>
              <w:pStyle w:val="TableContents"/>
              <w:spacing w:before="0" w:after="0"/>
              <w:ind w:left="80"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Named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Executive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Officer </w:t>
            </w:r>
          </w:p>
        </w:tc>
        <w:tc>
          <w:tcPr>
            <w:tcW w:w="1070" w:type="dxa"/>
            <w:tcBorders/>
            <w:shd w:fill="EE0027" w:val="clear"/>
            <w:vAlign w:val="center"/>
          </w:tcPr>
          <w:p>
            <w:pPr>
              <w:pStyle w:val="TableContents"/>
              <w:spacing w:before="0" w:after="0"/>
              <w:ind w:left="113"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Performance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Shares</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 </w:t>
            </w:r>
          </w:p>
          <w:p>
            <w:pPr>
              <w:pStyle w:val="TableContents"/>
              <w:spacing w:before="0" w:after="0"/>
              <w:ind w:left="113"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Value) </w:t>
            </w:r>
          </w:p>
        </w:tc>
        <w:tc>
          <w:tcPr>
            <w:tcW w:w="1025" w:type="dxa"/>
            <w:tcBorders/>
            <w:shd w:fill="EE0027" w:val="clear"/>
            <w:vAlign w:val="center"/>
          </w:tcPr>
          <w:p>
            <w:pPr>
              <w:pStyle w:val="TableContents"/>
              <w:spacing w:before="0" w:after="0"/>
              <w:ind w:left="129"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Total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Performance</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Shares (#) </w:t>
            </w:r>
          </w:p>
        </w:tc>
        <w:tc>
          <w:tcPr>
            <w:tcW w:w="1085" w:type="dxa"/>
            <w:tcBorders/>
            <w:shd w:fill="EE0027" w:val="clear"/>
            <w:vAlign w:val="center"/>
          </w:tcPr>
          <w:p>
            <w:pPr>
              <w:pStyle w:val="TableContents"/>
              <w:spacing w:before="0" w:after="0"/>
              <w:ind w:left="163"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Performance-</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Based RSUs</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(Target $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Value) </w:t>
            </w:r>
          </w:p>
        </w:tc>
        <w:tc>
          <w:tcPr>
            <w:tcW w:w="1295" w:type="dxa"/>
            <w:tcBorders/>
            <w:shd w:fill="EE0027" w:val="clear"/>
            <w:vAlign w:val="center"/>
          </w:tcPr>
          <w:p>
            <w:pPr>
              <w:pStyle w:val="TableContents"/>
              <w:spacing w:before="0" w:after="0"/>
              <w:ind w:left="90"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Total Target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Performance-</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Based RSUs (#) </w:t>
            </w:r>
          </w:p>
        </w:tc>
        <w:tc>
          <w:tcPr>
            <w:tcW w:w="830" w:type="dxa"/>
            <w:tcBorders/>
            <w:shd w:fill="EE0027" w:val="clear"/>
            <w:vAlign w:val="center"/>
          </w:tcPr>
          <w:p>
            <w:pPr>
              <w:pStyle w:val="TableContents"/>
              <w:spacing w:before="0" w:after="0"/>
              <w:ind w:left="85"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Stock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Options</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Value) </w:t>
            </w:r>
          </w:p>
        </w:tc>
        <w:tc>
          <w:tcPr>
            <w:tcW w:w="710" w:type="dxa"/>
            <w:tcBorders/>
            <w:shd w:fill="EE0027" w:val="clear"/>
            <w:vAlign w:val="center"/>
          </w:tcPr>
          <w:p>
            <w:pPr>
              <w:pStyle w:val="TableContents"/>
              <w:spacing w:before="0" w:after="0"/>
              <w:ind w:left="156"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Stock</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Options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w:t>
            </w:r>
          </w:p>
        </w:tc>
        <w:tc>
          <w:tcPr>
            <w:tcW w:w="1295" w:type="dxa"/>
            <w:tcBorders/>
            <w:shd w:fill="EE0027" w:val="clear"/>
            <w:vAlign w:val="center"/>
          </w:tcPr>
          <w:p>
            <w:pPr>
              <w:pStyle w:val="TableContents"/>
              <w:spacing w:before="0" w:after="283"/>
              <w:jc w:val="left"/>
              <w:rPr/>
            </w:pPr>
            <w:r>
              <w:rPr>
                <w:rFonts w:ascii="Arial;Helvetica;Sans-Serif" w:hAnsi="Arial;Helvetica;Sans-Serif"/>
                <w:b/>
                <w:color w:val="FFFFFF"/>
                <w:sz w:val="16"/>
              </w:rPr>
              <w:t xml:space="preserve">Special </w:t>
              <w:br/>
              <w:t>Retention Stock</w:t>
            </w:r>
            <w:r>
              <w:rPr/>
              <w:br/>
            </w:r>
            <w:r>
              <w:rPr>
                <w:rFonts w:ascii="Arial;Helvetica;Sans-Serif" w:hAnsi="Arial;Helvetica;Sans-Serif"/>
                <w:b/>
                <w:color w:val="FFFFFF"/>
                <w:sz w:val="16"/>
              </w:rPr>
              <w:t>Options</w:t>
            </w:r>
            <w:r>
              <w:rPr/>
              <w:br/>
            </w:r>
            <w:r>
              <w:rPr>
                <w:rFonts w:ascii="Arial;Helvetica;Sans-Serif" w:hAnsi="Arial;Helvetica;Sans-Serif"/>
                <w:b/>
                <w:color w:val="FFFFFF"/>
                <w:sz w:val="16"/>
              </w:rPr>
              <w:t xml:space="preserve">(Target $ </w:t>
            </w:r>
            <w:r>
              <w:rPr/>
              <w:br/>
            </w:r>
            <w:r>
              <w:rPr>
                <w:rFonts w:ascii="Arial;Helvetica;Sans-Serif" w:hAnsi="Arial;Helvetica;Sans-Serif"/>
                <w:b/>
                <w:color w:val="FFFFFF"/>
                <w:sz w:val="16"/>
              </w:rPr>
              <w:t>Value)</w:t>
            </w:r>
          </w:p>
        </w:tc>
        <w:tc>
          <w:tcPr>
            <w:tcW w:w="935" w:type="dxa"/>
            <w:tcBorders/>
            <w:shd w:fill="EE0027" w:val="clear"/>
            <w:vAlign w:val="center"/>
          </w:tcPr>
          <w:p>
            <w:pPr>
              <w:pStyle w:val="TableContents"/>
              <w:spacing w:before="0" w:after="0"/>
              <w:ind w:left="93"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Special</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Retention</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Stock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Options (#)</w:t>
            </w:r>
          </w:p>
        </w:tc>
      </w:tr>
      <w:tr>
        <w:trPr/>
        <w:tc>
          <w:tcPr>
            <w:tcW w:w="138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Alissa B. Vickery</w:t>
            </w:r>
          </w:p>
        </w:tc>
        <w:tc>
          <w:tcPr>
            <w:tcW w:w="107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$250,000</w:t>
            </w:r>
          </w:p>
        </w:tc>
        <w:tc>
          <w:tcPr>
            <w:tcW w:w="102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1,109</w:t>
            </w:r>
          </w:p>
        </w:tc>
        <w:tc>
          <w:tcPr>
            <w:tcW w:w="1085" w:type="dxa"/>
            <w:tcBorders/>
            <w:shd w:fill="auto" w:val="clear"/>
            <w:vAlign w:val="center"/>
          </w:tcPr>
          <w:p>
            <w:pPr>
              <w:pStyle w:val="TableContents"/>
              <w:spacing w:before="0" w:after="283"/>
              <w:rPr>
                <w:color w:val="58595B"/>
              </w:rPr>
            </w:pPr>
            <w:r>
              <w:rPr>
                <w:color w:val="58595B"/>
              </w:rPr>
              <w:t>—</w:t>
            </w:r>
          </w:p>
        </w:tc>
        <w:tc>
          <w:tcPr>
            <w:tcW w:w="1295" w:type="dxa"/>
            <w:tcBorders/>
            <w:shd w:fill="auto" w:val="clear"/>
            <w:vAlign w:val="center"/>
          </w:tcPr>
          <w:p>
            <w:pPr>
              <w:pStyle w:val="TableContents"/>
              <w:spacing w:before="0" w:after="283"/>
              <w:rPr>
                <w:color w:val="58595B"/>
              </w:rPr>
            </w:pPr>
            <w:r>
              <w:rPr>
                <w:color w:val="58595B"/>
              </w:rPr>
              <w:t>—</w:t>
            </w:r>
          </w:p>
        </w:tc>
        <w:tc>
          <w:tcPr>
            <w:tcW w:w="83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$300,000</w:t>
            </w:r>
          </w:p>
        </w:tc>
        <w:tc>
          <w:tcPr>
            <w:tcW w:w="71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4,588</w:t>
            </w:r>
          </w:p>
        </w:tc>
        <w:tc>
          <w:tcPr>
            <w:tcW w:w="1295" w:type="dxa"/>
            <w:tcBorders/>
            <w:shd w:fill="auto" w:val="clear"/>
            <w:vAlign w:val="center"/>
          </w:tcPr>
          <w:p>
            <w:pPr>
              <w:pStyle w:val="TableContents"/>
              <w:spacing w:before="0" w:after="283"/>
              <w:rPr>
                <w:color w:val="58595B"/>
              </w:rPr>
            </w:pPr>
            <w:r>
              <w:rPr>
                <w:color w:val="58595B"/>
              </w:rPr>
              <w:t>—</w:t>
            </w:r>
          </w:p>
        </w:tc>
        <w:tc>
          <w:tcPr>
            <w:tcW w:w="935" w:type="dxa"/>
            <w:tcBorders/>
            <w:shd w:fill="auto" w:val="clear"/>
            <w:vAlign w:val="center"/>
          </w:tcPr>
          <w:p>
            <w:pPr>
              <w:pStyle w:val="TableContents"/>
              <w:spacing w:before="0" w:after="283"/>
              <w:rPr>
                <w:color w:val="58595B"/>
              </w:rPr>
            </w:pPr>
            <w:r>
              <w:rPr>
                <w:color w:val="58595B"/>
              </w:rPr>
              <w:t>—</w:t>
            </w:r>
          </w:p>
        </w:tc>
      </w:tr>
      <w:tr>
        <w:trPr/>
        <w:tc>
          <w:tcPr>
            <w:tcW w:w="138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Charles R. Freund</w:t>
            </w:r>
          </w:p>
        </w:tc>
        <w:tc>
          <w:tcPr>
            <w:tcW w:w="107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$335,000</w:t>
            </w:r>
          </w:p>
        </w:tc>
        <w:tc>
          <w:tcPr>
            <w:tcW w:w="102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1,486</w:t>
            </w:r>
          </w:p>
        </w:tc>
        <w:tc>
          <w:tcPr>
            <w:tcW w:w="108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129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5,323</w:t>
            </w:r>
          </w:p>
        </w:tc>
        <w:tc>
          <w:tcPr>
            <w:tcW w:w="83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71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c>
          <w:tcPr>
            <w:tcW w:w="129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93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r>
      <w:tr>
        <w:trPr/>
        <w:tc>
          <w:tcPr>
            <w:tcW w:w="138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Armando L. Netto</w:t>
            </w:r>
          </w:p>
        </w:tc>
        <w:tc>
          <w:tcPr>
            <w:tcW w:w="107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$335,000</w:t>
            </w:r>
          </w:p>
        </w:tc>
        <w:tc>
          <w:tcPr>
            <w:tcW w:w="102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1,486</w:t>
            </w:r>
          </w:p>
        </w:tc>
        <w:tc>
          <w:tcPr>
            <w:tcW w:w="108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129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5,323</w:t>
            </w:r>
          </w:p>
        </w:tc>
        <w:tc>
          <w:tcPr>
            <w:tcW w:w="83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71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c>
          <w:tcPr>
            <w:tcW w:w="129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93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r>
      <w:tr>
        <w:trPr/>
        <w:tc>
          <w:tcPr>
            <w:tcW w:w="138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Alan King</w:t>
            </w:r>
          </w:p>
        </w:tc>
        <w:tc>
          <w:tcPr>
            <w:tcW w:w="107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$335,000</w:t>
            </w:r>
          </w:p>
        </w:tc>
        <w:tc>
          <w:tcPr>
            <w:tcW w:w="102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1,486</w:t>
            </w:r>
          </w:p>
        </w:tc>
        <w:tc>
          <w:tcPr>
            <w:tcW w:w="108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129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5,323</w:t>
            </w:r>
          </w:p>
        </w:tc>
        <w:tc>
          <w:tcPr>
            <w:tcW w:w="83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71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c>
          <w:tcPr>
            <w:tcW w:w="129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93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r>
      <w:tr>
        <w:trPr/>
        <w:tc>
          <w:tcPr>
            <w:tcW w:w="138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Alexey Gavrilenya</w:t>
            </w:r>
          </w:p>
        </w:tc>
        <w:tc>
          <w:tcPr>
            <w:tcW w:w="107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$335,000</w:t>
            </w:r>
          </w:p>
        </w:tc>
        <w:tc>
          <w:tcPr>
            <w:tcW w:w="102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1,486</w:t>
            </w:r>
          </w:p>
        </w:tc>
        <w:tc>
          <w:tcPr>
            <w:tcW w:w="108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129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5,323</w:t>
            </w:r>
          </w:p>
        </w:tc>
        <w:tc>
          <w:tcPr>
            <w:tcW w:w="83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71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c>
          <w:tcPr>
            <w:tcW w:w="129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935"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r>
      <w:tr>
        <w:trPr/>
        <w:tc>
          <w:tcPr>
            <w:tcW w:w="138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John S. Coughlin</w:t>
            </w:r>
          </w:p>
        </w:tc>
        <w:tc>
          <w:tcPr>
            <w:tcW w:w="107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$335,000</w:t>
            </w:r>
          </w:p>
        </w:tc>
        <w:tc>
          <w:tcPr>
            <w:tcW w:w="102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1,486</w:t>
            </w:r>
          </w:p>
        </w:tc>
        <w:tc>
          <w:tcPr>
            <w:tcW w:w="108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129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5,323</w:t>
            </w:r>
          </w:p>
        </w:tc>
        <w:tc>
          <w:tcPr>
            <w:tcW w:w="83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71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c>
          <w:tcPr>
            <w:tcW w:w="129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$1,200,000</w:t>
            </w:r>
          </w:p>
        </w:tc>
        <w:tc>
          <w:tcPr>
            <w:tcW w:w="935"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18,352</w:t>
            </w:r>
          </w:p>
        </w:tc>
      </w:tr>
    </w:tbl>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100" w:name="a056"/>
      <w:bookmarkEnd w:id="100"/>
      <w:r>
        <w:rPr>
          <w:rFonts w:ascii="Arial;Helvetica;Sans-Serif" w:hAnsi="Arial;Helvetica;Sans-Serif"/>
          <w:b/>
          <w:i w:val="false"/>
          <w:caps w:val="false"/>
          <w:smallCaps w:val="false"/>
          <w:color w:val="231F20"/>
          <w:sz w:val="18"/>
        </w:rPr>
        <w:t>Performance Share Grants</w:t>
      </w:r>
    </w:p>
    <w:p>
      <w:pPr>
        <w:pStyle w:val="TextBody"/>
        <w:spacing w:before="0" w:after="0"/>
        <w:rPr/>
      </w:pPr>
      <w:r>
        <w:rPr/>
      </w:r>
      <w:r>
        <mc:AlternateContent>
          <mc:Choice Requires="wps">
            <w:drawing>
              <wp:anchor behindDoc="0" distT="0" distB="0" distL="0" distR="0" simplePos="0" locked="0" layoutInCell="1" allowOverlap="1" relativeHeight="200">
                <wp:simplePos x="0" y="0"/>
                <wp:positionH relativeFrom="column">
                  <wp:align>left</wp:align>
                </wp:positionH>
                <wp:positionV relativeFrom="line">
                  <wp:posOffset>635</wp:posOffset>
                </wp:positionV>
                <wp:extent cx="3110230" cy="2497455"/>
                <wp:effectExtent l="0" t="0" r="0" b="0"/>
                <wp:wrapSquare wrapText="largest"/>
                <wp:docPr id="385" name="Frame58"/>
                <a:graphic xmlns:a="http://schemas.openxmlformats.org/drawingml/2006/main">
                  <a:graphicData uri="http://schemas.microsoft.com/office/word/2010/wordprocessingShape">
                    <wps:wsp>
                      <wps:cNvSpPr txBox="1"/>
                      <wps:spPr>
                        <a:xfrm>
                          <a:off x="0" y="0"/>
                          <a:ext cx="3110230" cy="2497455"/>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NEOs, other than Mr. Clarke, received 2022 Performance Share awards tied to Adjusted EPS, as adjusted, achievement. The Performance Shares could be earned if we achieved budgeted Adjusted EPS, as adjusted. Our Adjusted EPS for 2022 was $16.10, and the compensation committee determined that the Adjusted EPS, as adjusted, objective was achieved. As a result, the 2022 Performance Share awards were earned at 100%, and were paid in full in the form of common shares, except that Ms. Vickery’s earned Performance Shares are subject to service-based vesting over a two-year period.</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101" w:name="a057"/>
                            <w:bookmarkEnd w:id="101"/>
                            <w:r>
                              <w:rPr>
                                <w:rFonts w:ascii="Arial;Helvetica;Sans-Serif" w:hAnsi="Arial;Helvetica;Sans-Serif"/>
                                <w:b/>
                                <w:i w:val="false"/>
                                <w:caps w:val="false"/>
                                <w:smallCaps w:val="false"/>
                                <w:color w:val="231F20"/>
                                <w:sz w:val="18"/>
                              </w:rPr>
                              <w:t>Performance-Based Restricted Stock Unit (RSU) Grants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addition to the Performance Shares, in 2022, we granted Performance-Based RSU awards to each of the NEOs other than Mr. Clarke and Ms. Vickery tied to achievement with</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6.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NEOs, other than Mr. Clarke, received 2022 Performance Share awards tied to Adjusted EPS, as adjusted, achievement. The Performance Shares could be earned if we achieved budgeted Adjusted EPS, as adjusted. Our Adjusted EPS for 2022 was $16.10, and the compensation committee determined that the Adjusted EPS, as adjusted, objective was achieved. As a result, the 2022 Performance Share awards were earned at 100%, and were paid in full in the form of common shares, except that Ms. Vickery’s earned Performance Shares are subject to service-based vesting over a two-year period.</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102" w:name="a057"/>
                      <w:bookmarkEnd w:id="102"/>
                      <w:r>
                        <w:rPr>
                          <w:rFonts w:ascii="Arial;Helvetica;Sans-Serif" w:hAnsi="Arial;Helvetica;Sans-Serif"/>
                          <w:b/>
                          <w:i w:val="false"/>
                          <w:caps w:val="false"/>
                          <w:smallCaps w:val="false"/>
                          <w:color w:val="231F20"/>
                          <w:sz w:val="18"/>
                        </w:rPr>
                        <w:t>Performance-Based Restricted Stock Unit (RSU) Grants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addition to the Performance Shares, in 2022, we granted Performance-Based RSU awards to each of the NEOs other than Mr. Clarke and Ms. Vickery tied to achievement with</w:t>
                      </w:r>
                    </w:p>
                  </w:txbxContent>
                </v:textbox>
                <w10:wrap type="square" side="right"/>
              </v:rect>
            </w:pict>
          </mc:Fallback>
        </mc:AlternateContent>
      </w:r>
      <w:r>
        <mc:AlternateContent>
          <mc:Choice Requires="wps">
            <w:drawing>
              <wp:anchor behindDoc="0" distT="0" distB="0" distL="0" distR="0" simplePos="0" locked="0" layoutInCell="1" allowOverlap="1" relativeHeight="201">
                <wp:simplePos x="0" y="0"/>
                <wp:positionH relativeFrom="column">
                  <wp:align>right</wp:align>
                </wp:positionH>
                <wp:positionV relativeFrom="line">
                  <wp:posOffset>635</wp:posOffset>
                </wp:positionV>
                <wp:extent cx="3110230" cy="2935605"/>
                <wp:effectExtent l="0" t="0" r="0" b="0"/>
                <wp:wrapSquare wrapText="largest"/>
                <wp:docPr id="386" name="Frame59"/>
                <a:graphic xmlns:a="http://schemas.openxmlformats.org/drawingml/2006/main">
                  <a:graphicData uri="http://schemas.microsoft.com/office/word/2010/wordprocessingShape">
                    <wps:wsp>
                      <wps:cNvSpPr txBox="1"/>
                      <wps:spPr>
                        <a:xfrm>
                          <a:off x="0" y="0"/>
                          <a:ext cx="3110230" cy="293560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respect to corporate or business unit revenue goals. The Performance-Based RSUs earned by each of the NEOs in 2022 (based on the achievement of the applicable performance goals) are subject to a three-year ratable vesting schedule, pursuant to which the earned Performance-Based RSUs will generally vest in substantially equal installments on each of the first three anniversaries of the grant date.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tables below illustrate, for each participating NEO, (1) the applicable performance goals for each NEO, (2) actual performance with respect to the performance metrics, and (3) the number of Performance-Based RSUs earned in 2022 that are eligible to vest on a ratable basis. The number of Performance-Based RSUs earned for performance falling between the “threshold” and “maximum” performance levels set forth in the table below was determined without interpolation between performance levels (subject to rounding). Because Ms. Vickery’s compensation for 2022 was established prior to her appointment as our interim Chief Financial Officer, she was not eligible for a Performance-Based RSU award.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31.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respect to corporate or business unit revenue goals. The Performance-Based RSUs earned by each of the NEOs in 2022 (based on the achievement of the applicable performance goals) are subject to a three-year ratable vesting schedule, pursuant to which the earned Performance-Based RSUs will generally vest in substantially equal installments on each of the first three anniversaries of the grant date.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tables below illustrate, for each participating NEO, (1) the applicable performance goals for each NEO, (2) actual performance with respect to the performance metrics, and (3) the number of Performance-Based RSUs earned in 2022 that are eligible to vest on a ratable basis. The number of Performance-Based RSUs earned for performance falling between the “threshold” and “maximum” performance levels set forth in the table below was determined without interpolation between performance levels (subject to rounding). Because Ms. Vickery’s compensation for 2022 was established prior to her appointment as our interim Chief Financial Officer, she was not eligible for a Performance-Based RSU award.</w:t>
                      </w:r>
                    </w:p>
                  </w:txbxContent>
                </v:textbox>
                <w10:wrap type="square" side="left"/>
              </v:rect>
            </w:pict>
          </mc:Fallback>
        </mc:AlternateConten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38</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 xml:space="preserve">Charles R. Freund: </w:t>
      </w:r>
      <w:r>
        <w:rPr>
          <w:rFonts w:ascii="Arial;Helvetica;Sans-Serif" w:hAnsi="Arial;Helvetica;Sans-Serif"/>
          <w:b w:val="false"/>
          <w:i w:val="false"/>
          <w:caps w:val="false"/>
          <w:smallCaps w:val="false"/>
          <w:color w:val="58595B"/>
          <w:sz w:val="18"/>
        </w:rPr>
        <w:t>Mr. Freund’s 2022 Performance-Based RSU award was based on achievement against a target goal of Company revenue (as adjusted). Because Mr. Freund ceased employment with the Company before the end of the performance period, he was not eligible to receive a payout with respect to this award, and the compensation committee did not evaluate performance against the goals.</w:t>
      </w:r>
    </w:p>
    <w:p>
      <w:pPr>
        <w:pStyle w:val="TextBody"/>
        <w:spacing w:before="0" w:after="0"/>
        <w:rPr>
          <w:caps w:val="false"/>
          <w:smallCaps w:val="false"/>
        </w:rPr>
      </w:pPr>
      <w:r>
        <w:rPr>
          <w:caps w:val="false"/>
          <w:smallCaps w:val="false"/>
        </w:rPr>
        <w:t> </w:t>
      </w:r>
    </w:p>
    <w:tbl>
      <w:tblPr>
        <w:tblW w:w="9025" w:type="dxa"/>
        <w:jc w:val="left"/>
        <w:tblInd w:w="0" w:type="dxa"/>
        <w:tblCellMar>
          <w:top w:w="0" w:type="dxa"/>
          <w:left w:w="0" w:type="dxa"/>
          <w:bottom w:w="0" w:type="dxa"/>
          <w:right w:w="0" w:type="dxa"/>
        </w:tblCellMar>
      </w:tblPr>
      <w:tblGrid>
        <w:gridCol w:w="1250"/>
        <w:gridCol w:w="830"/>
        <w:gridCol w:w="875"/>
        <w:gridCol w:w="1070"/>
        <w:gridCol w:w="575"/>
        <w:gridCol w:w="1130"/>
        <w:gridCol w:w="1910"/>
        <w:gridCol w:w="1385"/>
      </w:tblGrid>
      <w:tr>
        <w:trPr/>
        <w:tc>
          <w:tcPr>
            <w:tcW w:w="1250" w:type="dxa"/>
            <w:tcBorders/>
            <w:shd w:fill="EE0027" w:val="clear"/>
            <w:vAlign w:val="center"/>
          </w:tcPr>
          <w:p>
            <w:pPr>
              <w:pStyle w:val="TableContents"/>
              <w:spacing w:before="0" w:after="0"/>
              <w:ind w:left="80"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Threshold (0%)</w:t>
            </w:r>
          </w:p>
          <w:p>
            <w:pPr>
              <w:pStyle w:val="TableContents"/>
              <w:spacing w:before="0" w:after="0"/>
              <w:ind w:left="80" w:right="0" w:hanging="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ind w:left="165"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Threshold</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(50%)</w:t>
            </w:r>
          </w:p>
          <w:p>
            <w:pPr>
              <w:pStyle w:val="TableContents"/>
              <w:spacing w:before="0" w:after="0"/>
              <w:ind w:left="165" w:right="0" w:hanging="0"/>
              <w:jc w:val="left"/>
              <w:rPr>
                <w:caps w:val="false"/>
                <w:smallCaps w:val="false"/>
                <w:color w:val="FFFFFF"/>
              </w:rPr>
            </w:pPr>
            <w:r>
              <w:rPr>
                <w:caps w:val="false"/>
                <w:smallCaps w:val="false"/>
                <w:color w:val="FFFFFF"/>
              </w:rPr>
              <w:t> </w:t>
            </w:r>
          </w:p>
        </w:tc>
        <w:tc>
          <w:tcPr>
            <w:tcW w:w="875" w:type="dxa"/>
            <w:tcBorders/>
            <w:shd w:fill="EE0027" w:val="clear"/>
            <w:vAlign w:val="center"/>
          </w:tcPr>
          <w:p>
            <w:pPr>
              <w:pStyle w:val="TableContents"/>
              <w:spacing w:before="0" w:after="0"/>
              <w:ind w:left="251"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Above</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Threshold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(75%)</w:t>
            </w:r>
          </w:p>
          <w:p>
            <w:pPr>
              <w:pStyle w:val="TableContents"/>
              <w:spacing w:before="0" w:after="0"/>
              <w:ind w:left="251" w:right="0" w:hanging="0"/>
              <w:jc w:val="left"/>
              <w:rPr>
                <w:caps w:val="false"/>
                <w:smallCaps w:val="false"/>
                <w:color w:val="FFFFFF"/>
              </w:rPr>
            </w:pPr>
            <w:r>
              <w:rPr>
                <w:caps w:val="false"/>
                <w:smallCaps w:val="false"/>
                <w:color w:val="FFFFFF"/>
              </w:rPr>
              <w:t> </w:t>
            </w:r>
          </w:p>
        </w:tc>
        <w:tc>
          <w:tcPr>
            <w:tcW w:w="1070" w:type="dxa"/>
            <w:tcBorders/>
            <w:shd w:fill="EE0027" w:val="clear"/>
            <w:vAlign w:val="center"/>
          </w:tcPr>
          <w:p>
            <w:pPr>
              <w:pStyle w:val="TableContents"/>
              <w:spacing w:before="0" w:after="0"/>
              <w:ind w:left="286"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Below 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(85%)</w:t>
            </w:r>
          </w:p>
          <w:p>
            <w:pPr>
              <w:pStyle w:val="TableContents"/>
              <w:spacing w:before="0" w:after="0"/>
              <w:ind w:left="286" w:right="0" w:hanging="0"/>
              <w:jc w:val="left"/>
              <w:rPr>
                <w:caps w:val="false"/>
                <w:smallCaps w:val="false"/>
                <w:color w:val="FFFFFF"/>
              </w:rPr>
            </w:pPr>
            <w:r>
              <w:rPr>
                <w:caps w:val="false"/>
                <w:smallCaps w:val="false"/>
                <w:color w:val="FFFFFF"/>
              </w:rPr>
              <w:t> </w:t>
            </w:r>
          </w:p>
        </w:tc>
        <w:tc>
          <w:tcPr>
            <w:tcW w:w="575" w:type="dxa"/>
            <w:tcBorders/>
            <w:shd w:fill="EE0027" w:val="clear"/>
            <w:vAlign w:val="center"/>
          </w:tcPr>
          <w:p>
            <w:pPr>
              <w:pStyle w:val="TableContents"/>
              <w:spacing w:before="0" w:after="0"/>
              <w:ind w:left="103"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Target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(100%)</w:t>
            </w:r>
          </w:p>
          <w:p>
            <w:pPr>
              <w:pStyle w:val="TableContents"/>
              <w:spacing w:before="0" w:after="0"/>
              <w:ind w:left="103" w:right="0" w:hanging="0"/>
              <w:jc w:val="left"/>
              <w:rPr>
                <w:caps w:val="false"/>
                <w:smallCaps w:val="false"/>
                <w:color w:val="FFFFFF"/>
              </w:rPr>
            </w:pPr>
            <w:r>
              <w:rPr>
                <w:caps w:val="false"/>
                <w:smallCaps w:val="false"/>
                <w:color w:val="FFFFFF"/>
              </w:rPr>
              <w:t> </w:t>
            </w:r>
          </w:p>
        </w:tc>
        <w:tc>
          <w:tcPr>
            <w:tcW w:w="1130" w:type="dxa"/>
            <w:tcBorders/>
            <w:shd w:fill="EE0027" w:val="clear"/>
            <w:vAlign w:val="center"/>
          </w:tcPr>
          <w:p>
            <w:pPr>
              <w:pStyle w:val="TableContents"/>
              <w:spacing w:before="0" w:after="0"/>
              <w:ind w:left="305"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Above Target </w:t>
              <w:br/>
              <w:t>(115%)</w:t>
            </w:r>
          </w:p>
          <w:p>
            <w:pPr>
              <w:pStyle w:val="TableContents"/>
              <w:spacing w:before="0" w:after="0"/>
              <w:ind w:left="305" w:right="0" w:hanging="0"/>
              <w:jc w:val="left"/>
              <w:rPr>
                <w:caps w:val="false"/>
                <w:smallCaps w:val="false"/>
                <w:color w:val="FFFFFF"/>
              </w:rPr>
            </w:pPr>
            <w:r>
              <w:rPr>
                <w:caps w:val="false"/>
                <w:smallCaps w:val="false"/>
                <w:color w:val="FFFFFF"/>
              </w:rPr>
              <w:t> </w:t>
            </w:r>
          </w:p>
        </w:tc>
        <w:tc>
          <w:tcPr>
            <w:tcW w:w="1910" w:type="dxa"/>
            <w:tcBorders/>
            <w:shd w:fill="EE0027" w:val="clear"/>
            <w:vAlign w:val="center"/>
          </w:tcPr>
          <w:p>
            <w:pPr>
              <w:pStyle w:val="TableContents"/>
              <w:spacing w:before="0" w:after="0"/>
              <w:ind w:left="161"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Below Maximum (125%)</w:t>
            </w:r>
          </w:p>
          <w:p>
            <w:pPr>
              <w:pStyle w:val="TableContents"/>
              <w:spacing w:before="0" w:after="0"/>
              <w:ind w:left="161" w:right="0" w:hanging="0"/>
              <w:jc w:val="left"/>
              <w:rPr>
                <w:caps w:val="false"/>
                <w:smallCaps w:val="false"/>
                <w:color w:val="FFFFFF"/>
              </w:rPr>
            </w:pPr>
            <w:r>
              <w:rPr>
                <w:caps w:val="false"/>
                <w:smallCaps w:val="false"/>
                <w:color w:val="FFFFFF"/>
              </w:rPr>
              <w:t> </w:t>
            </w:r>
          </w:p>
        </w:tc>
        <w:tc>
          <w:tcPr>
            <w:tcW w:w="1385" w:type="dxa"/>
            <w:tcBorders/>
            <w:shd w:fill="EE0027" w:val="clear"/>
            <w:vAlign w:val="center"/>
          </w:tcPr>
          <w:p>
            <w:pPr>
              <w:pStyle w:val="TableContents"/>
              <w:spacing w:before="0" w:after="0"/>
              <w:ind w:left="238"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Maximum (150%)</w:t>
            </w:r>
          </w:p>
          <w:p>
            <w:pPr>
              <w:pStyle w:val="TableContents"/>
              <w:spacing w:before="0" w:after="0"/>
              <w:ind w:left="238" w:right="0" w:hanging="0"/>
              <w:jc w:val="left"/>
              <w:rPr>
                <w:caps w:val="false"/>
                <w:smallCaps w:val="false"/>
                <w:color w:val="FFFFFF"/>
              </w:rPr>
            </w:pPr>
            <w:r>
              <w:rPr>
                <w:caps w:val="false"/>
                <w:smallCaps w:val="false"/>
                <w:color w:val="FFFFFF"/>
              </w:rPr>
              <w:t> </w:t>
            </w:r>
          </w:p>
        </w:tc>
      </w:tr>
      <w:tr>
        <w:trPr/>
        <w:tc>
          <w:tcPr>
            <w:tcW w:w="125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&lt;97%</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97%</w:t>
            </w:r>
          </w:p>
        </w:tc>
        <w:tc>
          <w:tcPr>
            <w:tcW w:w="8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98%</w:t>
            </w:r>
          </w:p>
        </w:tc>
        <w:tc>
          <w:tcPr>
            <w:tcW w:w="107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99%</w:t>
            </w:r>
          </w:p>
        </w:tc>
        <w:tc>
          <w:tcPr>
            <w:tcW w:w="5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100%</w:t>
            </w:r>
          </w:p>
        </w:tc>
        <w:tc>
          <w:tcPr>
            <w:tcW w:w="11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101%</w:t>
            </w:r>
          </w:p>
        </w:tc>
        <w:tc>
          <w:tcPr>
            <w:tcW w:w="191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102%</w:t>
            </w:r>
          </w:p>
        </w:tc>
        <w:tc>
          <w:tcPr>
            <w:tcW w:w="1385" w:type="dxa"/>
            <w:tcBorders/>
            <w:shd w:fill="auto" w:val="clear"/>
            <w:vAlign w:val="center"/>
          </w:tcPr>
          <w:p>
            <w:pPr>
              <w:pStyle w:val="TableContents"/>
              <w:spacing w:before="0" w:after="283"/>
              <w:rPr>
                <w:color w:val="58595B"/>
              </w:rPr>
            </w:pPr>
            <w:r>
              <w:rPr>
                <w:color w:val="58595B"/>
              </w:rPr>
              <w:t>≥</w:t>
            </w:r>
            <w:r>
              <w:rPr>
                <w:rFonts w:ascii="Arial;Helvetica;Sans-Serif" w:hAnsi="Arial;Helvetica;Sans-Serif"/>
                <w:color w:val="58595B"/>
                <w:sz w:val="18"/>
              </w:rPr>
              <w:t>103%</w:t>
            </w:r>
          </w:p>
        </w:tc>
      </w:tr>
    </w:tbl>
    <w:p>
      <w:pPr>
        <w:pStyle w:val="TextBody"/>
        <w:spacing w:before="0" w:after="0"/>
        <w:rPr>
          <w:caps w:val="false"/>
          <w:smallCaps w:val="false"/>
        </w:rPr>
      </w:pPr>
      <w:r>
        <w:rPr>
          <w:caps w:val="false"/>
          <w:smallCaps w:val="false"/>
        </w:rPr>
        <w:t> </w:t>
      </w:r>
    </w:p>
    <w:p>
      <w:pPr>
        <w:pStyle w:val="TextBody"/>
        <w:spacing w:lineRule="auto" w:line="240"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Armando L. Netto :</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Mr. Netto’s 2022 Performance-Based RSU award was based on achievement against a target goal of net revenue, as adjusted, in the Brazil business.(1)</w:t>
      </w:r>
    </w:p>
    <w:p>
      <w:pPr>
        <w:pStyle w:val="TextBody"/>
        <w:spacing w:before="0" w:after="0"/>
        <w:ind w:left="800" w:right="0" w:hanging="0"/>
        <w:rPr>
          <w:caps w:val="false"/>
          <w:smallCaps w:val="false"/>
        </w:rPr>
      </w:pPr>
      <w:r>
        <w:rPr>
          <w:caps w:val="false"/>
          <w:smallCaps w:val="false"/>
        </w:rPr>
        <w:t> </w:t>
      </w:r>
    </w:p>
    <w:tbl>
      <w:tblPr>
        <w:tblW w:w="8695" w:type="dxa"/>
        <w:jc w:val="left"/>
        <w:tblInd w:w="0" w:type="dxa"/>
        <w:tblCellMar>
          <w:top w:w="0" w:type="dxa"/>
          <w:left w:w="0" w:type="dxa"/>
          <w:bottom w:w="0" w:type="dxa"/>
          <w:right w:w="0" w:type="dxa"/>
        </w:tblCellMar>
      </w:tblPr>
      <w:tblGrid>
        <w:gridCol w:w="845"/>
        <w:gridCol w:w="875"/>
        <w:gridCol w:w="875"/>
        <w:gridCol w:w="530"/>
        <w:gridCol w:w="560"/>
        <w:gridCol w:w="560"/>
        <w:gridCol w:w="785"/>
        <w:gridCol w:w="830"/>
        <w:gridCol w:w="980"/>
        <w:gridCol w:w="770"/>
        <w:gridCol w:w="1085"/>
      </w:tblGrid>
      <w:tr>
        <w:trPr/>
        <w:tc>
          <w:tcPr>
            <w:tcW w:w="845" w:type="dxa"/>
            <w:tcBorders/>
            <w:shd w:fill="EE0027" w:val="clear"/>
            <w:vAlign w:val="center"/>
          </w:tcPr>
          <w:p>
            <w:pPr>
              <w:pStyle w:val="TableContents"/>
              <w:spacing w:before="0" w:after="0"/>
              <w:ind w:left="80"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Threshold</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(0%)</w:t>
            </w:r>
          </w:p>
          <w:p>
            <w:pPr>
              <w:pStyle w:val="TableContents"/>
              <w:spacing w:before="0" w:after="0"/>
              <w:ind w:left="80" w:right="0" w:hanging="0"/>
              <w:jc w:val="left"/>
              <w:rPr>
                <w:caps w:val="false"/>
                <w:smallCaps w:val="false"/>
                <w:color w:val="FFFFFF"/>
              </w:rPr>
            </w:pPr>
            <w:r>
              <w:rPr>
                <w:caps w:val="false"/>
                <w:smallCaps w:val="false"/>
                <w:color w:val="FFFFFF"/>
              </w:rPr>
              <w:t> </w:t>
            </w:r>
          </w:p>
        </w:tc>
        <w:tc>
          <w:tcPr>
            <w:tcW w:w="875" w:type="dxa"/>
            <w:tcBorders/>
            <w:shd w:fill="EE0027" w:val="clear"/>
            <w:vAlign w:val="center"/>
          </w:tcPr>
          <w:p>
            <w:pPr>
              <w:pStyle w:val="TableContents"/>
              <w:spacing w:before="0" w:after="0"/>
              <w:ind w:left="145"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Threshold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(50%)</w:t>
            </w:r>
          </w:p>
          <w:p>
            <w:pPr>
              <w:pStyle w:val="TableContents"/>
              <w:spacing w:before="0" w:after="0"/>
              <w:ind w:left="145" w:right="0" w:hanging="0"/>
              <w:jc w:val="left"/>
              <w:rPr>
                <w:caps w:val="false"/>
                <w:smallCaps w:val="false"/>
                <w:color w:val="FFFFFF"/>
              </w:rPr>
            </w:pPr>
            <w:r>
              <w:rPr>
                <w:caps w:val="false"/>
                <w:smallCaps w:val="false"/>
                <w:color w:val="FFFFFF"/>
              </w:rPr>
              <w:t> </w:t>
            </w:r>
          </w:p>
        </w:tc>
        <w:tc>
          <w:tcPr>
            <w:tcW w:w="875" w:type="dxa"/>
            <w:tcBorders/>
            <w:shd w:fill="EE0027" w:val="clear"/>
            <w:vAlign w:val="center"/>
          </w:tcPr>
          <w:p>
            <w:pPr>
              <w:pStyle w:val="TableContents"/>
              <w:spacing w:before="0" w:after="0"/>
              <w:ind w:left="124"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Above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Threshold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(75%)</w:t>
            </w:r>
          </w:p>
          <w:p>
            <w:pPr>
              <w:pStyle w:val="TableContents"/>
              <w:spacing w:before="0" w:after="0"/>
              <w:ind w:left="124" w:right="0" w:hanging="0"/>
              <w:jc w:val="left"/>
              <w:rPr>
                <w:caps w:val="false"/>
                <w:smallCaps w:val="false"/>
                <w:color w:val="FFFFFF"/>
              </w:rPr>
            </w:pPr>
            <w:r>
              <w:rPr>
                <w:caps w:val="false"/>
                <w:smallCaps w:val="false"/>
                <w:color w:val="FFFFFF"/>
              </w:rPr>
              <w:t> </w:t>
            </w:r>
          </w:p>
        </w:tc>
        <w:tc>
          <w:tcPr>
            <w:tcW w:w="530" w:type="dxa"/>
            <w:tcBorders/>
            <w:shd w:fill="EE0027" w:val="clear"/>
            <w:vAlign w:val="center"/>
          </w:tcPr>
          <w:p>
            <w:pPr>
              <w:pStyle w:val="TableContents"/>
              <w:spacing w:before="0" w:after="0"/>
              <w:ind w:left="146"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Below</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(85%)</w:t>
            </w:r>
          </w:p>
          <w:p>
            <w:pPr>
              <w:pStyle w:val="TableContents"/>
              <w:spacing w:before="0" w:after="0"/>
              <w:ind w:left="146" w:right="0" w:hanging="0"/>
              <w:jc w:val="left"/>
              <w:rPr>
                <w:caps w:val="false"/>
                <w:smallCaps w:val="false"/>
                <w:color w:val="FFFFFF"/>
              </w:rPr>
            </w:pPr>
            <w:r>
              <w:rPr>
                <w:caps w:val="false"/>
                <w:smallCaps w:val="false"/>
                <w:color w:val="FFFFFF"/>
              </w:rPr>
              <w:t> </w:t>
            </w:r>
          </w:p>
        </w:tc>
        <w:tc>
          <w:tcPr>
            <w:tcW w:w="560" w:type="dxa"/>
            <w:tcBorders/>
            <w:shd w:fill="EE0027" w:val="clear"/>
            <w:vAlign w:val="center"/>
          </w:tcPr>
          <w:p>
            <w:pPr>
              <w:pStyle w:val="TableContents"/>
              <w:spacing w:before="0" w:after="0"/>
              <w:ind w:left="220"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(100%)</w:t>
            </w:r>
          </w:p>
          <w:p>
            <w:pPr>
              <w:pStyle w:val="TableContents"/>
              <w:spacing w:before="0" w:after="0"/>
              <w:ind w:left="220" w:right="0" w:hanging="0"/>
              <w:jc w:val="left"/>
              <w:rPr>
                <w:caps w:val="false"/>
                <w:smallCaps w:val="false"/>
                <w:color w:val="FFFFFF"/>
              </w:rPr>
            </w:pPr>
            <w:r>
              <w:rPr>
                <w:caps w:val="false"/>
                <w:smallCaps w:val="false"/>
                <w:color w:val="FFFFFF"/>
              </w:rPr>
              <w:t> </w:t>
            </w:r>
          </w:p>
        </w:tc>
        <w:tc>
          <w:tcPr>
            <w:tcW w:w="560" w:type="dxa"/>
            <w:tcBorders/>
            <w:shd w:fill="EE0027" w:val="clear"/>
            <w:vAlign w:val="center"/>
          </w:tcPr>
          <w:p>
            <w:pPr>
              <w:pStyle w:val="TableContents"/>
              <w:spacing w:before="0" w:after="0"/>
              <w:ind w:left="197"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Above</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(115%)</w:t>
            </w:r>
          </w:p>
          <w:p>
            <w:pPr>
              <w:pStyle w:val="TableContents"/>
              <w:spacing w:before="0" w:after="0"/>
              <w:ind w:left="197" w:right="0" w:hanging="0"/>
              <w:jc w:val="left"/>
              <w:rPr>
                <w:caps w:val="false"/>
                <w:smallCaps w:val="false"/>
                <w:color w:val="FFFFFF"/>
              </w:rPr>
            </w:pPr>
            <w:r>
              <w:rPr>
                <w:caps w:val="false"/>
                <w:smallCaps w:val="false"/>
                <w:color w:val="FFFFFF"/>
              </w:rPr>
              <w:t> </w:t>
            </w:r>
          </w:p>
        </w:tc>
        <w:tc>
          <w:tcPr>
            <w:tcW w:w="785" w:type="dxa"/>
            <w:tcBorders/>
            <w:shd w:fill="EE0027" w:val="clear"/>
            <w:vAlign w:val="center"/>
          </w:tcPr>
          <w:p>
            <w:pPr>
              <w:pStyle w:val="TableContents"/>
              <w:spacing w:before="0" w:after="0"/>
              <w:ind w:left="225"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Below</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Maximum</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(125%)</w:t>
            </w:r>
          </w:p>
          <w:p>
            <w:pPr>
              <w:pStyle w:val="TableContents"/>
              <w:spacing w:before="0" w:after="0"/>
              <w:ind w:left="225" w:right="0" w:hanging="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ind w:left="144"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Maximum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(150%)</w:t>
            </w:r>
          </w:p>
          <w:p>
            <w:pPr>
              <w:pStyle w:val="TableContents"/>
              <w:spacing w:before="0" w:after="0"/>
              <w:ind w:left="144" w:right="0" w:hanging="0"/>
              <w:jc w:val="left"/>
              <w:rPr>
                <w:caps w:val="false"/>
                <w:smallCaps w:val="false"/>
                <w:color w:val="FFFFFF"/>
              </w:rPr>
            </w:pPr>
            <w:r>
              <w:rPr>
                <w:caps w:val="false"/>
                <w:smallCaps w:val="false"/>
                <w:color w:val="FFFFFF"/>
              </w:rPr>
              <w:t> </w:t>
            </w:r>
          </w:p>
        </w:tc>
        <w:tc>
          <w:tcPr>
            <w:tcW w:w="980" w:type="dxa"/>
            <w:tcBorders/>
            <w:shd w:fill="EE0027" w:val="clear"/>
            <w:vAlign w:val="center"/>
          </w:tcPr>
          <w:p>
            <w:pPr>
              <w:pStyle w:val="TableContents"/>
              <w:spacing w:before="0" w:after="0"/>
              <w:ind w:left="115"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 of Target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Achieved</w:t>
            </w:r>
          </w:p>
          <w:p>
            <w:pPr>
              <w:pStyle w:val="TableContents"/>
              <w:spacing w:before="0" w:after="0"/>
              <w:ind w:left="115" w:right="0" w:hanging="0"/>
              <w:jc w:val="left"/>
              <w:rPr>
                <w:caps w:val="false"/>
                <w:smallCaps w:val="false"/>
                <w:color w:val="FFFFFF"/>
              </w:rPr>
            </w:pPr>
            <w:r>
              <w:rPr>
                <w:caps w:val="false"/>
                <w:smallCaps w:val="false"/>
                <w:color w:val="FFFFFF"/>
              </w:rPr>
              <w:t> </w:t>
            </w:r>
          </w:p>
        </w:tc>
        <w:tc>
          <w:tcPr>
            <w:tcW w:w="770" w:type="dxa"/>
            <w:tcBorders/>
            <w:shd w:fill="EE0027" w:val="clear"/>
            <w:vAlign w:val="center"/>
          </w:tcPr>
          <w:p>
            <w:pPr>
              <w:pStyle w:val="TableContents"/>
              <w:spacing w:before="0" w:after="0"/>
              <w:ind w:left="84"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Payout %</w:t>
            </w:r>
          </w:p>
          <w:p>
            <w:pPr>
              <w:pStyle w:val="TableContents"/>
              <w:spacing w:before="0" w:after="0"/>
              <w:ind w:left="84" w:right="0" w:hanging="0"/>
              <w:jc w:val="left"/>
              <w:rPr>
                <w:caps w:val="false"/>
                <w:smallCaps w:val="false"/>
                <w:color w:val="FFFFFF"/>
              </w:rPr>
            </w:pPr>
            <w:r>
              <w:rPr>
                <w:caps w:val="false"/>
                <w:smallCaps w:val="false"/>
                <w:color w:val="FFFFFF"/>
              </w:rPr>
              <w:t> </w:t>
            </w:r>
          </w:p>
        </w:tc>
        <w:tc>
          <w:tcPr>
            <w:tcW w:w="1085" w:type="dxa"/>
            <w:tcBorders/>
            <w:shd w:fill="EE0027" w:val="clear"/>
            <w:vAlign w:val="center"/>
          </w:tcPr>
          <w:p>
            <w:pPr>
              <w:pStyle w:val="TableContents"/>
              <w:spacing w:before="0" w:after="283"/>
              <w:jc w:val="left"/>
              <w:rPr/>
            </w:pPr>
            <w:r>
              <w:rPr>
                <w:rFonts w:ascii="Arial;Helvetica;Sans-Serif" w:hAnsi="Arial;Helvetica;Sans-Serif"/>
                <w:b/>
                <w:color w:val="FFFFFF"/>
                <w:sz w:val="16"/>
              </w:rPr>
              <w:t># of</w:t>
            </w:r>
            <w:r>
              <w:rPr>
                <w:rFonts w:ascii="Arial;Helvetica;Sans-Serif" w:hAnsi="Arial;Helvetica;Sans-Serif"/>
              </w:rPr>
              <w:br/>
            </w:r>
            <w:r>
              <w:rPr>
                <w:rFonts w:ascii="Arial;Helvetica;Sans-Serif" w:hAnsi="Arial;Helvetica;Sans-Serif"/>
                <w:b/>
                <w:color w:val="FFFFFF"/>
                <w:sz w:val="16"/>
              </w:rPr>
              <w:t xml:space="preserve">Performance </w:t>
            </w:r>
            <w:r>
              <w:rPr>
                <w:rFonts w:ascii="Arial;Helvetica;Sans-Serif" w:hAnsi="Arial;Helvetica;Sans-Serif"/>
              </w:rPr>
              <w:br/>
            </w:r>
            <w:r>
              <w:rPr>
                <w:rFonts w:ascii="Arial;Helvetica;Sans-Serif" w:hAnsi="Arial;Helvetica;Sans-Serif"/>
                <w:b/>
                <w:color w:val="FFFFFF"/>
                <w:sz w:val="16"/>
              </w:rPr>
              <w:t>Based RSUs</w:t>
            </w:r>
            <w:r>
              <w:rPr>
                <w:rFonts w:ascii="Arial;Helvetica;Sans-Serif" w:hAnsi="Arial;Helvetica;Sans-Serif"/>
              </w:rPr>
              <w:br/>
            </w:r>
            <w:r>
              <w:rPr>
                <w:rFonts w:ascii="Arial;Helvetica;Sans-Serif" w:hAnsi="Arial;Helvetica;Sans-Serif"/>
                <w:b/>
                <w:color w:val="FFFFFF"/>
                <w:sz w:val="16"/>
              </w:rPr>
              <w:t>Earned</w:t>
            </w:r>
          </w:p>
        </w:tc>
      </w:tr>
      <w:tr>
        <w:trPr/>
        <w:tc>
          <w:tcPr>
            <w:tcW w:w="8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&lt;97%</w:t>
            </w:r>
          </w:p>
        </w:tc>
        <w:tc>
          <w:tcPr>
            <w:tcW w:w="8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97%</w:t>
            </w:r>
          </w:p>
        </w:tc>
        <w:tc>
          <w:tcPr>
            <w:tcW w:w="8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98%</w:t>
            </w:r>
          </w:p>
        </w:tc>
        <w:tc>
          <w:tcPr>
            <w:tcW w:w="5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99%</w:t>
            </w:r>
          </w:p>
        </w:tc>
        <w:tc>
          <w:tcPr>
            <w:tcW w:w="5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100%</w:t>
            </w:r>
          </w:p>
        </w:tc>
        <w:tc>
          <w:tcPr>
            <w:tcW w:w="5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101%</w:t>
            </w:r>
          </w:p>
        </w:tc>
        <w:tc>
          <w:tcPr>
            <w:tcW w:w="78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102%</w:t>
            </w:r>
          </w:p>
        </w:tc>
        <w:tc>
          <w:tcPr>
            <w:tcW w:w="830" w:type="dxa"/>
            <w:tcBorders/>
            <w:shd w:fill="auto" w:val="clear"/>
            <w:vAlign w:val="center"/>
          </w:tcPr>
          <w:p>
            <w:pPr>
              <w:pStyle w:val="TableContents"/>
              <w:spacing w:before="0" w:after="283"/>
              <w:rPr>
                <w:color w:val="58595B"/>
              </w:rPr>
            </w:pPr>
            <w:r>
              <w:rPr>
                <w:color w:val="58595B"/>
              </w:rPr>
              <w:t>≥</w:t>
            </w:r>
            <w:r>
              <w:rPr>
                <w:rFonts w:ascii="Arial;Helvetica;Sans-Serif" w:hAnsi="Arial;Helvetica;Sans-Serif"/>
                <w:color w:val="58595B"/>
                <w:sz w:val="18"/>
              </w:rPr>
              <w:t>103%</w:t>
            </w:r>
          </w:p>
        </w:tc>
        <w:tc>
          <w:tcPr>
            <w:tcW w:w="98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103%</w:t>
            </w:r>
          </w:p>
        </w:tc>
        <w:tc>
          <w:tcPr>
            <w:tcW w:w="77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150%</w:t>
            </w:r>
          </w:p>
        </w:tc>
        <w:tc>
          <w:tcPr>
            <w:tcW w:w="108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7,985</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Brazil net revenue was adjusted to be consistent with the macro-economic environment assumed in the 2022 budget, but excludes the impact of foreign exchange rates.</w:t>
      </w:r>
    </w:p>
    <w:p>
      <w:pPr>
        <w:pStyle w:val="TextBody"/>
        <w:spacing w:before="0" w:after="0"/>
        <w:rPr>
          <w:caps w:val="false"/>
          <w:smallCaps w:val="false"/>
        </w:rPr>
      </w:pPr>
      <w:r>
        <w:rPr>
          <w:caps w:val="false"/>
          <w:smallCaps w:val="false"/>
        </w:rPr>
        <w:t> </w:t>
      </w:r>
    </w:p>
    <w:p>
      <w:pPr>
        <w:pStyle w:val="TextBody"/>
        <w:spacing w:lineRule="auto" w:line="240"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Alan King:</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Mr. King’s 2022 Performance-Based RSU award was based on achievement against a target goal of net revenue, as adjusted, in the International Fuel business.(1)</w:t>
      </w:r>
    </w:p>
    <w:p>
      <w:pPr>
        <w:pStyle w:val="TextBody"/>
        <w:spacing w:before="0" w:after="0"/>
        <w:ind w:left="804" w:right="0" w:hanging="0"/>
        <w:rPr>
          <w:caps w:val="false"/>
          <w:smallCaps w:val="false"/>
        </w:rPr>
      </w:pPr>
      <w:r>
        <w:rPr>
          <w:caps w:val="false"/>
          <w:smallCaps w:val="false"/>
        </w:rPr>
        <w:t> </w:t>
      </w:r>
    </w:p>
    <w:tbl>
      <w:tblPr>
        <w:tblW w:w="9175" w:type="dxa"/>
        <w:jc w:val="left"/>
        <w:tblInd w:w="0" w:type="dxa"/>
        <w:tblCellMar>
          <w:top w:w="0" w:type="dxa"/>
          <w:left w:w="0" w:type="dxa"/>
          <w:bottom w:w="0" w:type="dxa"/>
          <w:right w:w="0" w:type="dxa"/>
        </w:tblCellMar>
      </w:tblPr>
      <w:tblGrid>
        <w:gridCol w:w="1250"/>
        <w:gridCol w:w="830"/>
        <w:gridCol w:w="830"/>
        <w:gridCol w:w="530"/>
        <w:gridCol w:w="560"/>
        <w:gridCol w:w="560"/>
        <w:gridCol w:w="830"/>
        <w:gridCol w:w="830"/>
        <w:gridCol w:w="755"/>
        <w:gridCol w:w="770"/>
        <w:gridCol w:w="1430"/>
      </w:tblGrid>
      <w:tr>
        <w:trPr/>
        <w:tc>
          <w:tcPr>
            <w:tcW w:w="1250" w:type="dxa"/>
            <w:tcBorders/>
            <w:shd w:fill="EE0027" w:val="clear"/>
            <w:vAlign w:val="center"/>
          </w:tcPr>
          <w:p>
            <w:pPr>
              <w:pStyle w:val="TableContents"/>
              <w:spacing w:before="0" w:after="0"/>
              <w:ind w:left="80"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Below</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Threshold (0%)</w:t>
            </w:r>
          </w:p>
          <w:p>
            <w:pPr>
              <w:pStyle w:val="TableContents"/>
              <w:spacing w:before="0" w:after="0"/>
              <w:ind w:left="80" w:right="0" w:hanging="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ind w:left="103"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Threshold</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(50%)</w:t>
            </w:r>
          </w:p>
          <w:p>
            <w:pPr>
              <w:pStyle w:val="TableContents"/>
              <w:spacing w:before="0" w:after="0"/>
              <w:ind w:left="103" w:right="0" w:hanging="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ind w:left="167"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Above</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Threshold</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(75%)</w:t>
            </w:r>
          </w:p>
          <w:p>
            <w:pPr>
              <w:pStyle w:val="TableContents"/>
              <w:spacing w:before="0" w:after="0"/>
              <w:ind w:left="167" w:right="0" w:hanging="0"/>
              <w:jc w:val="left"/>
              <w:rPr>
                <w:caps w:val="false"/>
                <w:smallCaps w:val="false"/>
                <w:color w:val="FFFFFF"/>
              </w:rPr>
            </w:pPr>
            <w:r>
              <w:rPr>
                <w:caps w:val="false"/>
                <w:smallCaps w:val="false"/>
                <w:color w:val="FFFFFF"/>
              </w:rPr>
              <w:t> </w:t>
            </w:r>
          </w:p>
        </w:tc>
        <w:tc>
          <w:tcPr>
            <w:tcW w:w="530" w:type="dxa"/>
            <w:tcBorders/>
            <w:shd w:fill="EE0027" w:val="clear"/>
            <w:vAlign w:val="center"/>
          </w:tcPr>
          <w:p>
            <w:pPr>
              <w:pStyle w:val="TableContents"/>
              <w:spacing w:before="0" w:after="0"/>
              <w:ind w:left="145"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Below</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(85%)</w:t>
            </w:r>
          </w:p>
          <w:p>
            <w:pPr>
              <w:pStyle w:val="TableContents"/>
              <w:spacing w:before="0" w:after="0"/>
              <w:ind w:left="145" w:right="0" w:hanging="0"/>
              <w:jc w:val="left"/>
              <w:rPr>
                <w:caps w:val="false"/>
                <w:smallCaps w:val="false"/>
                <w:color w:val="FFFFFF"/>
              </w:rPr>
            </w:pPr>
            <w:r>
              <w:rPr>
                <w:caps w:val="false"/>
                <w:smallCaps w:val="false"/>
                <w:color w:val="FFFFFF"/>
              </w:rPr>
              <w:t> </w:t>
            </w:r>
          </w:p>
        </w:tc>
        <w:tc>
          <w:tcPr>
            <w:tcW w:w="560" w:type="dxa"/>
            <w:tcBorders/>
            <w:shd w:fill="EE0027" w:val="clear"/>
            <w:vAlign w:val="center"/>
          </w:tcPr>
          <w:p>
            <w:pPr>
              <w:pStyle w:val="TableContents"/>
              <w:spacing w:before="0" w:after="0"/>
              <w:ind w:left="229"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(100%)</w:t>
            </w:r>
          </w:p>
          <w:p>
            <w:pPr>
              <w:pStyle w:val="TableContents"/>
              <w:spacing w:before="0" w:after="0"/>
              <w:ind w:left="229" w:right="0" w:hanging="0"/>
              <w:jc w:val="left"/>
              <w:rPr>
                <w:caps w:val="false"/>
                <w:smallCaps w:val="false"/>
                <w:color w:val="FFFFFF"/>
              </w:rPr>
            </w:pPr>
            <w:r>
              <w:rPr>
                <w:caps w:val="false"/>
                <w:smallCaps w:val="false"/>
                <w:color w:val="FFFFFF"/>
              </w:rPr>
              <w:t> </w:t>
            </w:r>
          </w:p>
        </w:tc>
        <w:tc>
          <w:tcPr>
            <w:tcW w:w="560" w:type="dxa"/>
            <w:tcBorders/>
            <w:shd w:fill="EE0027" w:val="clear"/>
            <w:vAlign w:val="center"/>
          </w:tcPr>
          <w:p>
            <w:pPr>
              <w:pStyle w:val="TableContents"/>
              <w:spacing w:before="0" w:after="0"/>
              <w:ind w:left="213"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Above</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(115%)</w:t>
            </w:r>
          </w:p>
          <w:p>
            <w:pPr>
              <w:pStyle w:val="TableContents"/>
              <w:spacing w:before="0" w:after="0"/>
              <w:ind w:left="213" w:right="0" w:hanging="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ind w:left="211"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Maximum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(125%)</w:t>
            </w:r>
          </w:p>
          <w:p>
            <w:pPr>
              <w:pStyle w:val="TableContents"/>
              <w:spacing w:before="0" w:after="0"/>
              <w:ind w:left="211" w:right="0" w:hanging="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ind w:left="81"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Maximum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(150%)</w:t>
            </w:r>
          </w:p>
          <w:p>
            <w:pPr>
              <w:pStyle w:val="TableContents"/>
              <w:spacing w:before="0" w:after="0"/>
              <w:ind w:left="81" w:right="0" w:hanging="0"/>
              <w:jc w:val="left"/>
              <w:rPr>
                <w:caps w:val="false"/>
                <w:smallCaps w:val="false"/>
                <w:color w:val="FFFFFF"/>
              </w:rPr>
            </w:pPr>
            <w:r>
              <w:rPr>
                <w:caps w:val="false"/>
                <w:smallCaps w:val="false"/>
                <w:color w:val="FFFFFF"/>
              </w:rPr>
              <w:t> </w:t>
            </w:r>
          </w:p>
        </w:tc>
        <w:tc>
          <w:tcPr>
            <w:tcW w:w="755" w:type="dxa"/>
            <w:tcBorders/>
            <w:shd w:fill="EE0027" w:val="clear"/>
            <w:vAlign w:val="center"/>
          </w:tcPr>
          <w:p>
            <w:pPr>
              <w:pStyle w:val="TableContents"/>
              <w:spacing w:before="0" w:after="0"/>
              <w:ind w:left="81"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 of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Achieved</w:t>
            </w:r>
          </w:p>
          <w:p>
            <w:pPr>
              <w:pStyle w:val="TableContents"/>
              <w:spacing w:before="0" w:after="0"/>
              <w:ind w:left="81" w:right="0" w:hanging="0"/>
              <w:jc w:val="left"/>
              <w:rPr>
                <w:caps w:val="false"/>
                <w:smallCaps w:val="false"/>
                <w:color w:val="FFFFFF"/>
              </w:rPr>
            </w:pPr>
            <w:r>
              <w:rPr>
                <w:caps w:val="false"/>
                <w:smallCaps w:val="false"/>
                <w:color w:val="FFFFFF"/>
              </w:rPr>
              <w:t> </w:t>
            </w:r>
          </w:p>
        </w:tc>
        <w:tc>
          <w:tcPr>
            <w:tcW w:w="770" w:type="dxa"/>
            <w:tcBorders/>
            <w:shd w:fill="EE0027" w:val="clear"/>
            <w:vAlign w:val="center"/>
          </w:tcPr>
          <w:p>
            <w:pPr>
              <w:pStyle w:val="TableContents"/>
              <w:spacing w:before="0" w:after="0"/>
              <w:ind w:left="97"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Payout %</w:t>
            </w:r>
          </w:p>
          <w:p>
            <w:pPr>
              <w:pStyle w:val="TableContents"/>
              <w:spacing w:before="0" w:after="0"/>
              <w:ind w:left="97" w:right="0" w:hanging="0"/>
              <w:jc w:val="left"/>
              <w:rPr>
                <w:caps w:val="false"/>
                <w:smallCaps w:val="false"/>
                <w:color w:val="FFFFFF"/>
              </w:rPr>
            </w:pPr>
            <w:r>
              <w:rPr>
                <w:caps w:val="false"/>
                <w:smallCaps w:val="false"/>
                <w:color w:val="FFFFFF"/>
              </w:rPr>
              <w:t> </w:t>
            </w:r>
          </w:p>
        </w:tc>
        <w:tc>
          <w:tcPr>
            <w:tcW w:w="1430" w:type="dxa"/>
            <w:tcBorders/>
            <w:shd w:fill="EE0027" w:val="clear"/>
            <w:vAlign w:val="center"/>
          </w:tcPr>
          <w:p>
            <w:pPr>
              <w:pStyle w:val="TableContents"/>
              <w:spacing w:before="0" w:after="0"/>
              <w:ind w:left="126"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 of Performance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Based RSUs</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Earned</w:t>
            </w:r>
          </w:p>
          <w:p>
            <w:pPr>
              <w:pStyle w:val="TableContents"/>
              <w:spacing w:before="0" w:after="0"/>
              <w:ind w:left="126" w:right="0" w:hanging="0"/>
              <w:jc w:val="left"/>
              <w:rPr>
                <w:caps w:val="false"/>
                <w:smallCaps w:val="false"/>
                <w:color w:val="FFFFFF"/>
              </w:rPr>
            </w:pPr>
            <w:r>
              <w:rPr>
                <w:caps w:val="false"/>
                <w:smallCaps w:val="false"/>
                <w:color w:val="FFFFFF"/>
              </w:rPr>
              <w:t> </w:t>
            </w:r>
          </w:p>
        </w:tc>
      </w:tr>
      <w:tr>
        <w:trPr/>
        <w:tc>
          <w:tcPr>
            <w:tcW w:w="125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&lt;97%</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97%</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98%</w:t>
            </w:r>
          </w:p>
        </w:tc>
        <w:tc>
          <w:tcPr>
            <w:tcW w:w="5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99%</w:t>
            </w:r>
          </w:p>
        </w:tc>
        <w:tc>
          <w:tcPr>
            <w:tcW w:w="5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100%</w:t>
            </w:r>
          </w:p>
        </w:tc>
        <w:tc>
          <w:tcPr>
            <w:tcW w:w="5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101%</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102%</w:t>
            </w:r>
          </w:p>
        </w:tc>
        <w:tc>
          <w:tcPr>
            <w:tcW w:w="830" w:type="dxa"/>
            <w:tcBorders/>
            <w:shd w:fill="auto" w:val="clear"/>
            <w:vAlign w:val="center"/>
          </w:tcPr>
          <w:p>
            <w:pPr>
              <w:pStyle w:val="TableContents"/>
              <w:spacing w:before="0" w:after="283"/>
              <w:rPr>
                <w:color w:val="58595B"/>
              </w:rPr>
            </w:pPr>
            <w:r>
              <w:rPr>
                <w:color w:val="58595B"/>
              </w:rPr>
              <w:t>≥</w:t>
            </w:r>
            <w:r>
              <w:rPr>
                <w:rFonts w:ascii="Arial;Helvetica;Sans-Serif" w:hAnsi="Arial;Helvetica;Sans-Serif"/>
                <w:color w:val="58595B"/>
                <w:sz w:val="18"/>
              </w:rPr>
              <w:t>103%</w:t>
            </w:r>
          </w:p>
        </w:tc>
        <w:tc>
          <w:tcPr>
            <w:tcW w:w="7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104%</w:t>
            </w:r>
          </w:p>
        </w:tc>
        <w:tc>
          <w:tcPr>
            <w:tcW w:w="77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150%</w:t>
            </w:r>
          </w:p>
        </w:tc>
        <w:tc>
          <w:tcPr>
            <w:tcW w:w="14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7,985</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International Fuel net revenue was adjusted to be consistent with the macro-economic environment assumed in the 2022 budget, but excludes the impact of foreign exchange rates, fuel prices and fuel price spreads.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Alexey Gavrilenya:</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Mr. Gavrilenya’s 2022 Performance-Based RSU award was based on achievement against a target goal of net revenue (as adjusted) in the North American Fuel business. Because Mr. Gavrilenya ceased employment with the Company before the end of the performance period, he was not eligible to receive a payout with respect to this award, and the compensation committee did not evaluate performance against the goals.</w:t>
      </w:r>
    </w:p>
    <w:p>
      <w:pPr>
        <w:pStyle w:val="TextBody"/>
        <w:spacing w:before="0" w:after="0"/>
        <w:rPr>
          <w:caps w:val="false"/>
          <w:smallCaps w:val="false"/>
        </w:rPr>
      </w:pPr>
      <w:r>
        <w:rPr>
          <w:caps w:val="false"/>
          <w:smallCaps w:val="false"/>
        </w:rPr>
        <w:t> </w:t>
      </w:r>
    </w:p>
    <w:tbl>
      <w:tblPr>
        <w:tblW w:w="5875" w:type="dxa"/>
        <w:jc w:val="left"/>
        <w:tblInd w:w="0" w:type="dxa"/>
        <w:tblCellMar>
          <w:top w:w="0" w:type="dxa"/>
          <w:left w:w="0" w:type="dxa"/>
          <w:bottom w:w="0" w:type="dxa"/>
          <w:right w:w="0" w:type="dxa"/>
        </w:tblCellMar>
      </w:tblPr>
      <w:tblGrid>
        <w:gridCol w:w="890"/>
        <w:gridCol w:w="830"/>
        <w:gridCol w:w="830"/>
        <w:gridCol w:w="560"/>
        <w:gridCol w:w="560"/>
        <w:gridCol w:w="575"/>
        <w:gridCol w:w="830"/>
        <w:gridCol w:w="800"/>
      </w:tblGrid>
      <w:tr>
        <w:trPr/>
        <w:tc>
          <w:tcPr>
            <w:tcW w:w="890"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Threshold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(0%)</w:t>
            </w:r>
          </w:p>
          <w:p>
            <w:pPr>
              <w:pStyle w:val="TableContents"/>
              <w:spacing w:before="0" w:after="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Threshold</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(50%)</w:t>
            </w:r>
          </w:p>
          <w:p>
            <w:pPr>
              <w:pStyle w:val="TableContents"/>
              <w:spacing w:before="0" w:after="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Above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Threshold</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(75%)</w:t>
            </w:r>
          </w:p>
          <w:p>
            <w:pPr>
              <w:pStyle w:val="TableContents"/>
              <w:spacing w:before="0" w:after="0"/>
              <w:jc w:val="left"/>
              <w:rPr>
                <w:caps w:val="false"/>
                <w:smallCaps w:val="false"/>
                <w:color w:val="FFFFFF"/>
              </w:rPr>
            </w:pPr>
            <w:r>
              <w:rPr>
                <w:caps w:val="false"/>
                <w:smallCaps w:val="false"/>
                <w:color w:val="FFFFFF"/>
              </w:rPr>
              <w:t> </w:t>
            </w:r>
          </w:p>
        </w:tc>
        <w:tc>
          <w:tcPr>
            <w:tcW w:w="560"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(85%)</w:t>
            </w:r>
          </w:p>
          <w:p>
            <w:pPr>
              <w:pStyle w:val="TableContents"/>
              <w:spacing w:before="0" w:after="0"/>
              <w:jc w:val="left"/>
              <w:rPr>
                <w:caps w:val="false"/>
                <w:smallCaps w:val="false"/>
                <w:color w:val="FFFFFF"/>
              </w:rPr>
            </w:pPr>
            <w:r>
              <w:rPr>
                <w:caps w:val="false"/>
                <w:smallCaps w:val="false"/>
                <w:color w:val="FFFFFF"/>
              </w:rPr>
              <w:t> </w:t>
            </w:r>
          </w:p>
        </w:tc>
        <w:tc>
          <w:tcPr>
            <w:tcW w:w="560"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Target</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(100%)</w:t>
            </w:r>
          </w:p>
          <w:p>
            <w:pPr>
              <w:pStyle w:val="TableContents"/>
              <w:spacing w:before="0" w:after="0"/>
              <w:jc w:val="left"/>
              <w:rPr>
                <w:caps w:val="false"/>
                <w:smallCaps w:val="false"/>
                <w:color w:val="FFFFFF"/>
              </w:rPr>
            </w:pPr>
            <w:r>
              <w:rPr>
                <w:caps w:val="false"/>
                <w:smallCaps w:val="false"/>
                <w:color w:val="FFFFFF"/>
              </w:rPr>
              <w:t> </w:t>
            </w:r>
          </w:p>
        </w:tc>
        <w:tc>
          <w:tcPr>
            <w:tcW w:w="575"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Above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Target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(115%)</w:t>
            </w:r>
          </w:p>
          <w:p>
            <w:pPr>
              <w:pStyle w:val="TableContents"/>
              <w:spacing w:before="0" w:after="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Maximum </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(125%)</w:t>
            </w:r>
          </w:p>
          <w:p>
            <w:pPr>
              <w:pStyle w:val="TableContents"/>
              <w:spacing w:before="0" w:after="0"/>
              <w:jc w:val="left"/>
              <w:rPr>
                <w:caps w:val="false"/>
                <w:smallCaps w:val="false"/>
                <w:color w:val="FFFFFF"/>
              </w:rPr>
            </w:pPr>
            <w:r>
              <w:rPr>
                <w:caps w:val="false"/>
                <w:smallCaps w:val="false"/>
                <w:color w:val="FFFFFF"/>
              </w:rPr>
              <w:t> </w:t>
            </w:r>
          </w:p>
        </w:tc>
        <w:tc>
          <w:tcPr>
            <w:tcW w:w="800"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Maximum</w:t>
            </w:r>
            <w:r>
              <w:rPr>
                <w:rFonts w:ascii="Arial;Helvetica;Sans-Serif" w:hAnsi="Arial;Helvetica;Sans-Serif"/>
                <w:b w:val="false"/>
                <w:i w:val="false"/>
                <w:caps w:val="false"/>
                <w:smallCaps w:val="false"/>
                <w:color w:val="FFFFFF"/>
                <w:sz w:val="20"/>
              </w:rPr>
              <w:br/>
            </w:r>
            <w:r>
              <w:rPr>
                <w:rFonts w:ascii="Arial;Helvetica;Sans-Serif" w:hAnsi="Arial;Helvetica;Sans-Serif"/>
                <w:b/>
                <w:i w:val="false"/>
                <w:caps w:val="false"/>
                <w:smallCaps w:val="false"/>
                <w:color w:val="FFFFFF"/>
                <w:sz w:val="16"/>
              </w:rPr>
              <w:t>(150%)</w:t>
            </w:r>
          </w:p>
          <w:p>
            <w:pPr>
              <w:pStyle w:val="TableContents"/>
              <w:spacing w:before="0" w:after="0"/>
              <w:jc w:val="left"/>
              <w:rPr>
                <w:caps w:val="false"/>
                <w:smallCaps w:val="false"/>
                <w:color w:val="FFFFFF"/>
              </w:rPr>
            </w:pPr>
            <w:r>
              <w:rPr>
                <w:caps w:val="false"/>
                <w:smallCaps w:val="false"/>
                <w:color w:val="FFFFFF"/>
              </w:rPr>
              <w:t> </w:t>
            </w:r>
          </w:p>
        </w:tc>
      </w:tr>
      <w:tr>
        <w:trPr/>
        <w:tc>
          <w:tcPr>
            <w:tcW w:w="89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&lt;97%</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97%</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98%</w:t>
            </w:r>
          </w:p>
        </w:tc>
        <w:tc>
          <w:tcPr>
            <w:tcW w:w="5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99%</w:t>
            </w:r>
          </w:p>
        </w:tc>
        <w:tc>
          <w:tcPr>
            <w:tcW w:w="56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100%</w:t>
            </w:r>
          </w:p>
        </w:tc>
        <w:tc>
          <w:tcPr>
            <w:tcW w:w="5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101%</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102%</w:t>
            </w:r>
          </w:p>
        </w:tc>
        <w:tc>
          <w:tcPr>
            <w:tcW w:w="800" w:type="dxa"/>
            <w:tcBorders/>
            <w:shd w:fill="auto" w:val="clear"/>
            <w:vAlign w:val="center"/>
          </w:tcPr>
          <w:p>
            <w:pPr>
              <w:pStyle w:val="TableContents"/>
              <w:spacing w:before="0" w:after="283"/>
              <w:rPr>
                <w:color w:val="58595B"/>
              </w:rPr>
            </w:pPr>
            <w:r>
              <w:rPr>
                <w:color w:val="58595B"/>
              </w:rPr>
              <w:t>≥</w:t>
            </w:r>
            <w:r>
              <w:rPr>
                <w:rFonts w:ascii="Arial;Helvetica;Sans-Serif" w:hAnsi="Arial;Helvetica;Sans-Serif"/>
                <w:color w:val="58595B"/>
                <w:sz w:val="18"/>
              </w:rPr>
              <w:t>103%</w:t>
            </w:r>
          </w:p>
        </w:tc>
      </w:tr>
    </w:tbl>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18"/>
        </w:rPr>
        <w:t>John Coughlin :</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58595B"/>
          <w:sz w:val="18"/>
        </w:rPr>
        <w:t>Mr. Coughlin’s 2022 Performance-Based RSU award was based on achievement against a target goal of net revenue (as adjusted) in the Corporate Payments business. Because Mr. Coughlin ceased employment with the Company before the end of the performance period, he was not eligible to receive a payout with respect to this award, and the compensation committee did not evaluate performance against the goals.</w:t>
      </w:r>
    </w:p>
    <w:p>
      <w:pPr>
        <w:pStyle w:val="TextBody"/>
        <w:spacing w:before="0" w:after="0"/>
        <w:ind w:left="800" w:right="0" w:hanging="0"/>
        <w:rPr>
          <w:caps w:val="false"/>
          <w:smallCaps w:val="false"/>
        </w:rPr>
      </w:pPr>
      <w:r>
        <w:rPr>
          <w:caps w:val="false"/>
          <w:smallCaps w:val="false"/>
        </w:rPr>
        <w:t> </w:t>
      </w:r>
    </w:p>
    <w:tbl>
      <w:tblPr>
        <w:tblW w:w="5815" w:type="dxa"/>
        <w:jc w:val="left"/>
        <w:tblInd w:w="0" w:type="dxa"/>
        <w:tblCellMar>
          <w:top w:w="0" w:type="dxa"/>
          <w:left w:w="0" w:type="dxa"/>
          <w:bottom w:w="0" w:type="dxa"/>
          <w:right w:w="0" w:type="dxa"/>
        </w:tblCellMar>
      </w:tblPr>
      <w:tblGrid>
        <w:gridCol w:w="845"/>
        <w:gridCol w:w="830"/>
        <w:gridCol w:w="830"/>
        <w:gridCol w:w="530"/>
        <w:gridCol w:w="575"/>
        <w:gridCol w:w="575"/>
        <w:gridCol w:w="785"/>
        <w:gridCol w:w="845"/>
      </w:tblGrid>
      <w:tr>
        <w:trPr/>
        <w:tc>
          <w:tcPr>
            <w:tcW w:w="845" w:type="dxa"/>
            <w:tcBorders/>
            <w:shd w:fill="EE0027" w:val="clear"/>
            <w:vAlign w:val="center"/>
          </w:tcPr>
          <w:p>
            <w:pPr>
              <w:pStyle w:val="TableContents"/>
              <w:spacing w:before="0" w:after="0"/>
              <w:ind w:left="80"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Threshold</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(0%)</w:t>
            </w:r>
          </w:p>
          <w:p>
            <w:pPr>
              <w:pStyle w:val="TableContents"/>
              <w:spacing w:before="0" w:after="0"/>
              <w:ind w:left="80" w:right="0" w:hanging="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ind w:left="330"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Threshold</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(50%)</w:t>
            </w:r>
          </w:p>
          <w:p>
            <w:pPr>
              <w:pStyle w:val="TableContents"/>
              <w:spacing w:before="0" w:after="0"/>
              <w:ind w:left="330" w:right="0" w:hanging="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ind w:left="201"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Above</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Threshold</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(75%)</w:t>
            </w:r>
          </w:p>
          <w:p>
            <w:pPr>
              <w:pStyle w:val="TableContents"/>
              <w:spacing w:before="0" w:after="0"/>
              <w:ind w:left="201" w:right="0" w:hanging="0"/>
              <w:jc w:val="left"/>
              <w:rPr>
                <w:caps w:val="false"/>
                <w:smallCaps w:val="false"/>
                <w:color w:val="FFFFFF"/>
              </w:rPr>
            </w:pPr>
            <w:r>
              <w:rPr>
                <w:caps w:val="false"/>
                <w:smallCaps w:val="false"/>
                <w:color w:val="FFFFFF"/>
              </w:rPr>
              <w:t> </w:t>
            </w:r>
          </w:p>
        </w:tc>
        <w:tc>
          <w:tcPr>
            <w:tcW w:w="530" w:type="dxa"/>
            <w:tcBorders/>
            <w:shd w:fill="EE0027" w:val="clear"/>
            <w:vAlign w:val="center"/>
          </w:tcPr>
          <w:p>
            <w:pPr>
              <w:pStyle w:val="TableContents"/>
              <w:spacing w:before="0" w:after="0"/>
              <w:ind w:left="252"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Below</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(85%)</w:t>
            </w:r>
          </w:p>
          <w:p>
            <w:pPr>
              <w:pStyle w:val="TableContents"/>
              <w:spacing w:before="0" w:after="0"/>
              <w:ind w:left="252" w:right="0" w:hanging="0"/>
              <w:jc w:val="left"/>
              <w:rPr>
                <w:caps w:val="false"/>
                <w:smallCaps w:val="false"/>
                <w:color w:val="FFFFFF"/>
              </w:rPr>
            </w:pPr>
            <w:r>
              <w:rPr>
                <w:caps w:val="false"/>
                <w:smallCaps w:val="false"/>
                <w:color w:val="FFFFFF"/>
              </w:rPr>
              <w:t> </w:t>
            </w:r>
          </w:p>
        </w:tc>
        <w:tc>
          <w:tcPr>
            <w:tcW w:w="575" w:type="dxa"/>
            <w:tcBorders/>
            <w:shd w:fill="EE0027" w:val="clear"/>
            <w:vAlign w:val="center"/>
          </w:tcPr>
          <w:p>
            <w:pPr>
              <w:pStyle w:val="TableContents"/>
              <w:spacing w:before="0" w:after="0"/>
              <w:ind w:left="325"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Target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(100%)</w:t>
            </w:r>
          </w:p>
          <w:p>
            <w:pPr>
              <w:pStyle w:val="TableContents"/>
              <w:spacing w:before="0" w:after="0"/>
              <w:ind w:left="325" w:right="0" w:hanging="0"/>
              <w:jc w:val="left"/>
              <w:rPr>
                <w:caps w:val="false"/>
                <w:smallCaps w:val="false"/>
                <w:color w:val="FFFFFF"/>
              </w:rPr>
            </w:pPr>
            <w:r>
              <w:rPr>
                <w:caps w:val="false"/>
                <w:smallCaps w:val="false"/>
                <w:color w:val="FFFFFF"/>
              </w:rPr>
              <w:t> </w:t>
            </w:r>
          </w:p>
        </w:tc>
        <w:tc>
          <w:tcPr>
            <w:tcW w:w="575" w:type="dxa"/>
            <w:tcBorders/>
            <w:shd w:fill="EE0027" w:val="clear"/>
            <w:vAlign w:val="center"/>
          </w:tcPr>
          <w:p>
            <w:pPr>
              <w:pStyle w:val="TableContents"/>
              <w:spacing w:before="0" w:after="0"/>
              <w:ind w:left="359"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Above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Target</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(115%)</w:t>
            </w:r>
          </w:p>
          <w:p>
            <w:pPr>
              <w:pStyle w:val="TableContents"/>
              <w:spacing w:before="0" w:after="0"/>
              <w:ind w:left="359" w:right="0" w:hanging="0"/>
              <w:jc w:val="left"/>
              <w:rPr>
                <w:caps w:val="false"/>
                <w:smallCaps w:val="false"/>
                <w:color w:val="FFFFFF"/>
              </w:rPr>
            </w:pPr>
            <w:r>
              <w:rPr>
                <w:caps w:val="false"/>
                <w:smallCaps w:val="false"/>
                <w:color w:val="FFFFFF"/>
              </w:rPr>
              <w:t> </w:t>
            </w:r>
          </w:p>
        </w:tc>
        <w:tc>
          <w:tcPr>
            <w:tcW w:w="785" w:type="dxa"/>
            <w:tcBorders/>
            <w:shd w:fill="EE0027" w:val="clear"/>
            <w:vAlign w:val="center"/>
          </w:tcPr>
          <w:p>
            <w:pPr>
              <w:pStyle w:val="TableContents"/>
              <w:spacing w:before="0" w:after="0"/>
              <w:ind w:left="345"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Below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Maximum</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(125%)</w:t>
            </w:r>
          </w:p>
          <w:p>
            <w:pPr>
              <w:pStyle w:val="TableContents"/>
              <w:spacing w:before="0" w:after="0"/>
              <w:ind w:left="345" w:right="0" w:hanging="0"/>
              <w:jc w:val="left"/>
              <w:rPr>
                <w:caps w:val="false"/>
                <w:smallCaps w:val="false"/>
                <w:color w:val="FFFFFF"/>
              </w:rPr>
            </w:pPr>
            <w:r>
              <w:rPr>
                <w:caps w:val="false"/>
                <w:smallCaps w:val="false"/>
                <w:color w:val="FFFFFF"/>
              </w:rPr>
              <w:t> </w:t>
            </w:r>
          </w:p>
        </w:tc>
        <w:tc>
          <w:tcPr>
            <w:tcW w:w="845" w:type="dxa"/>
            <w:tcBorders/>
            <w:shd w:fill="EE0027" w:val="clear"/>
            <w:vAlign w:val="center"/>
          </w:tcPr>
          <w:p>
            <w:pPr>
              <w:pStyle w:val="TableContents"/>
              <w:spacing w:before="0" w:after="0"/>
              <w:ind w:left="211" w:right="0" w:hanging="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Maximum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(150%)</w:t>
            </w:r>
          </w:p>
          <w:p>
            <w:pPr>
              <w:pStyle w:val="TableContents"/>
              <w:spacing w:before="0" w:after="0"/>
              <w:ind w:left="211" w:right="0" w:hanging="0"/>
              <w:jc w:val="left"/>
              <w:rPr>
                <w:caps w:val="false"/>
                <w:smallCaps w:val="false"/>
                <w:color w:val="FFFFFF"/>
              </w:rPr>
            </w:pPr>
            <w:r>
              <w:rPr>
                <w:caps w:val="false"/>
                <w:smallCaps w:val="false"/>
                <w:color w:val="FFFFFF"/>
              </w:rPr>
              <w:t> </w:t>
            </w:r>
          </w:p>
        </w:tc>
      </w:tr>
      <w:tr>
        <w:trPr/>
        <w:tc>
          <w:tcPr>
            <w:tcW w:w="84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&lt;97%</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97%</w:t>
            </w:r>
          </w:p>
        </w:tc>
        <w:tc>
          <w:tcPr>
            <w:tcW w:w="8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98%</w:t>
            </w:r>
          </w:p>
        </w:tc>
        <w:tc>
          <w:tcPr>
            <w:tcW w:w="53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99%</w:t>
            </w:r>
          </w:p>
        </w:tc>
        <w:tc>
          <w:tcPr>
            <w:tcW w:w="5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100%</w:t>
            </w:r>
          </w:p>
        </w:tc>
        <w:tc>
          <w:tcPr>
            <w:tcW w:w="57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101%</w:t>
            </w:r>
          </w:p>
        </w:tc>
        <w:tc>
          <w:tcPr>
            <w:tcW w:w="78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102%</w:t>
            </w:r>
          </w:p>
        </w:tc>
        <w:tc>
          <w:tcPr>
            <w:tcW w:w="845" w:type="dxa"/>
            <w:tcBorders/>
            <w:shd w:fill="auto" w:val="clear"/>
            <w:vAlign w:val="center"/>
          </w:tcPr>
          <w:p>
            <w:pPr>
              <w:pStyle w:val="TableContents"/>
              <w:spacing w:before="0" w:after="283"/>
              <w:rPr>
                <w:color w:val="58595B"/>
              </w:rPr>
            </w:pPr>
            <w:r>
              <w:rPr>
                <w:color w:val="58595B"/>
              </w:rPr>
              <w:t>≥</w:t>
            </w:r>
            <w:r>
              <w:rPr>
                <w:rFonts w:ascii="Arial;Helvetica;Sans-Serif" w:hAnsi="Arial;Helvetica;Sans-Serif"/>
                <w:color w:val="58595B"/>
                <w:sz w:val="18"/>
              </w:rPr>
              <w:t>103%</w:t>
            </w:r>
          </w:p>
        </w:tc>
      </w:tr>
    </w:tbl>
    <w:p>
      <w:pPr>
        <w:pStyle w:val="TextBody"/>
        <w:spacing w:before="0" w:after="0"/>
        <w:jc w:val="right"/>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39</w:t>
            </w:r>
          </w:p>
        </w:tc>
      </w:tr>
    </w:tbl>
    <w:p>
      <w:pPr>
        <w:pStyle w:val="TextBody"/>
        <w:spacing w:before="0" w:after="0"/>
        <w:jc w:val="right"/>
        <w:rPr>
          <w:caps w:val="false"/>
          <w:smallCaps w:val="false"/>
          <w:color w:val="58595B"/>
        </w:rPr>
      </w:pPr>
      <w:r>
        <w:rPr>
          <w:caps w:val="false"/>
          <w:smallCaps w:val="false"/>
          <w:color w:val="58595B"/>
        </w:rPr>
        <w:t> </w:t>
      </w:r>
    </w:p>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color w:val="231F20"/>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231F20"/>
          <w:sz w:val="18"/>
        </w:rPr>
      </w:pPr>
      <w:bookmarkStart w:id="103" w:name="a058"/>
      <w:bookmarkEnd w:id="103"/>
      <w:r>
        <w:rPr>
          <w:rFonts w:ascii="Arial;Helvetica;Sans-Serif" w:hAnsi="Arial;Helvetica;Sans-Serif"/>
          <w:b/>
          <w:i w:val="false"/>
          <w:caps w:val="false"/>
          <w:smallCaps w:val="false"/>
          <w:color w:val="231F20"/>
          <w:sz w:val="18"/>
        </w:rPr>
        <w:t>Stock Option Grants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exercise price of each stock option grant is the fair market value of our common shares on the grant date (closing stock price). Stock option awards granted to our NEOs, other than Mr. Clarke, in 2022 generally vest ratably over a period of four years and are earned only with continued employment through the vesting period. We believe stock option awards are inherently performance-based, requiring stock price appreciation before there is any real value earned, while encouraging long-term employment with the Company. At the time we made our regular grants of stock options to our NEOs (other than Mr. Clarke), we also made special, additional stock option grants to such NEOs as an additional retention incentive (other than Ms. Vickery, who commenced service as our interim Chief Financial Officer after 2022 equity awards were granted). In January 2022, we granted the stock options set forth below to our NEOs other than the CEO:</w:t>
      </w:r>
    </w:p>
    <w:p>
      <w:pPr>
        <w:pStyle w:val="TextBody"/>
        <w:spacing w:before="0" w:after="0"/>
        <w:ind w:left="800" w:right="0" w:hanging="0"/>
        <w:rPr>
          <w:caps w:val="false"/>
          <w:smallCaps w:val="false"/>
          <w:color w:val="58595B"/>
        </w:rPr>
      </w:pPr>
      <w:r>
        <w:rPr>
          <w:caps w:val="false"/>
          <w:smallCaps w:val="false"/>
          <w:color w:val="58595B"/>
        </w:rPr>
        <w:t> </w:t>
      </w:r>
    </w:p>
    <w:tbl>
      <w:tblPr>
        <w:tblW w:w="7865" w:type="dxa"/>
        <w:jc w:val="left"/>
        <w:tblInd w:w="0" w:type="dxa"/>
        <w:tblCellMar>
          <w:top w:w="0" w:type="dxa"/>
          <w:left w:w="0" w:type="dxa"/>
          <w:bottom w:w="0" w:type="dxa"/>
          <w:right w:w="0" w:type="dxa"/>
        </w:tblCellMar>
      </w:tblPr>
      <w:tblGrid>
        <w:gridCol w:w="2180"/>
        <w:gridCol w:w="1040"/>
        <w:gridCol w:w="3125"/>
        <w:gridCol w:w="1520"/>
      </w:tblGrid>
      <w:tr>
        <w:trPr/>
        <w:tc>
          <w:tcPr>
            <w:tcW w:w="2180" w:type="dxa"/>
            <w:tcBorders/>
            <w:shd w:fill="EE0027" w:val="clear"/>
            <w:vAlign w:val="center"/>
          </w:tcPr>
          <w:p>
            <w:pPr>
              <w:pStyle w:val="TableContents"/>
              <w:spacing w:before="0" w:after="283"/>
              <w:rPr>
                <w:rFonts w:ascii="Arial;Helvetica;Sans-Serif" w:hAnsi="Arial;Helvetica;Sans-Serif"/>
                <w:b/>
                <w:color w:val="FFFFFF"/>
                <w:sz w:val="18"/>
              </w:rPr>
            </w:pPr>
            <w:r>
              <w:rPr>
                <w:rFonts w:ascii="Arial;Helvetica;Sans-Serif" w:hAnsi="Arial;Helvetica;Sans-Serif"/>
                <w:b/>
                <w:color w:val="FFFFFF"/>
                <w:sz w:val="18"/>
              </w:rPr>
              <w:t>Named Executive Officer</w:t>
            </w:r>
          </w:p>
        </w:tc>
        <w:tc>
          <w:tcPr>
            <w:tcW w:w="1040" w:type="dxa"/>
            <w:tcBorders/>
            <w:shd w:fill="EE0027" w:val="clear"/>
            <w:vAlign w:val="center"/>
          </w:tcPr>
          <w:p>
            <w:pPr>
              <w:pStyle w:val="TableContents"/>
              <w:spacing w:before="0" w:after="283"/>
              <w:rPr>
                <w:rFonts w:ascii="Arial;Helvetica;Sans-Serif" w:hAnsi="Arial;Helvetica;Sans-Serif"/>
                <w:b/>
                <w:color w:val="FFFFFF"/>
                <w:sz w:val="18"/>
              </w:rPr>
            </w:pPr>
            <w:r>
              <w:rPr>
                <w:rFonts w:ascii="Arial;Helvetica;Sans-Serif" w:hAnsi="Arial;Helvetica;Sans-Serif"/>
                <w:b/>
                <w:color w:val="FFFFFF"/>
                <w:sz w:val="18"/>
              </w:rPr>
              <w:t># of Options</w:t>
            </w:r>
          </w:p>
        </w:tc>
        <w:tc>
          <w:tcPr>
            <w:tcW w:w="3125" w:type="dxa"/>
            <w:tcBorders/>
            <w:shd w:fill="EE0027" w:val="clear"/>
            <w:vAlign w:val="center"/>
          </w:tcPr>
          <w:p>
            <w:pPr>
              <w:pStyle w:val="TableContents"/>
              <w:spacing w:before="0" w:after="283"/>
              <w:rPr>
                <w:rFonts w:ascii="Arial;Helvetica;Sans-Serif" w:hAnsi="Arial;Helvetica;Sans-Serif"/>
                <w:b/>
                <w:color w:val="FFFFFF"/>
                <w:sz w:val="18"/>
              </w:rPr>
            </w:pPr>
            <w:r>
              <w:rPr>
                <w:rFonts w:ascii="Arial;Helvetica;Sans-Serif" w:hAnsi="Arial;Helvetica;Sans-Serif"/>
                <w:b/>
                <w:color w:val="FFFFFF"/>
                <w:sz w:val="18"/>
              </w:rPr>
              <w:t># of Special Retention Stock Options</w:t>
            </w:r>
          </w:p>
        </w:tc>
        <w:tc>
          <w:tcPr>
            <w:tcW w:w="1520" w:type="dxa"/>
            <w:tcBorders/>
            <w:shd w:fill="EE0027" w:val="clear"/>
            <w:vAlign w:val="center"/>
          </w:tcPr>
          <w:p>
            <w:pPr>
              <w:pStyle w:val="TableContents"/>
              <w:spacing w:before="0" w:after="283"/>
              <w:rPr>
                <w:rFonts w:ascii="Arial;Helvetica;Sans-Serif" w:hAnsi="Arial;Helvetica;Sans-Serif"/>
                <w:b/>
                <w:color w:val="FFFFFF"/>
                <w:sz w:val="18"/>
              </w:rPr>
            </w:pPr>
            <w:r>
              <w:rPr>
                <w:rFonts w:ascii="Arial;Helvetica;Sans-Serif" w:hAnsi="Arial;Helvetica;Sans-Serif"/>
                <w:b/>
                <w:color w:val="FFFFFF"/>
                <w:sz w:val="18"/>
              </w:rPr>
              <w:t>Total # of Options</w:t>
            </w:r>
          </w:p>
        </w:tc>
      </w:tr>
      <w:tr>
        <w:trPr/>
        <w:tc>
          <w:tcPr>
            <w:tcW w:w="218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Alissa B. Vickery</w:t>
            </w:r>
          </w:p>
        </w:tc>
        <w:tc>
          <w:tcPr>
            <w:tcW w:w="10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4,588</w:t>
            </w:r>
          </w:p>
        </w:tc>
        <w:tc>
          <w:tcPr>
            <w:tcW w:w="312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w:t>
            </w:r>
          </w:p>
        </w:tc>
        <w:tc>
          <w:tcPr>
            <w:tcW w:w="152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4,588</w:t>
            </w:r>
          </w:p>
        </w:tc>
      </w:tr>
      <w:tr>
        <w:trPr/>
        <w:tc>
          <w:tcPr>
            <w:tcW w:w="2180" w:type="dxa"/>
            <w:tcBorders/>
            <w:shd w:fill="DDDCDC"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Charles R. Freund</w:t>
            </w:r>
          </w:p>
        </w:tc>
        <w:tc>
          <w:tcPr>
            <w:tcW w:w="1040"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3125"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1520"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36,704</w:t>
            </w:r>
          </w:p>
        </w:tc>
      </w:tr>
      <w:tr>
        <w:trPr/>
        <w:tc>
          <w:tcPr>
            <w:tcW w:w="218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Armando L. Netto</w:t>
            </w:r>
          </w:p>
        </w:tc>
        <w:tc>
          <w:tcPr>
            <w:tcW w:w="10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312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152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36,704</w:t>
            </w:r>
          </w:p>
        </w:tc>
      </w:tr>
      <w:tr>
        <w:trPr/>
        <w:tc>
          <w:tcPr>
            <w:tcW w:w="2180" w:type="dxa"/>
            <w:tcBorders/>
            <w:shd w:fill="DDDCDC"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Alan King</w:t>
            </w:r>
          </w:p>
        </w:tc>
        <w:tc>
          <w:tcPr>
            <w:tcW w:w="1040"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3125"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1520"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36,704</w:t>
            </w:r>
          </w:p>
        </w:tc>
      </w:tr>
      <w:tr>
        <w:trPr/>
        <w:tc>
          <w:tcPr>
            <w:tcW w:w="2180"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Alexey Gavrilenya</w:t>
            </w:r>
          </w:p>
        </w:tc>
        <w:tc>
          <w:tcPr>
            <w:tcW w:w="10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312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152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36,704</w:t>
            </w:r>
          </w:p>
        </w:tc>
      </w:tr>
      <w:tr>
        <w:trPr/>
        <w:tc>
          <w:tcPr>
            <w:tcW w:w="2180" w:type="dxa"/>
            <w:tcBorders/>
            <w:shd w:fill="DDDCDC"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John S. Coughlin</w:t>
            </w:r>
          </w:p>
        </w:tc>
        <w:tc>
          <w:tcPr>
            <w:tcW w:w="1040"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3125"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18,352</w:t>
            </w:r>
          </w:p>
        </w:tc>
        <w:tc>
          <w:tcPr>
            <w:tcW w:w="1520" w:type="dxa"/>
            <w:tcBorders/>
            <w:shd w:fill="DDDCDC"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36,704</w:t>
            </w:r>
          </w:p>
        </w:tc>
      </w:tr>
    </w:tbl>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104" w:name="a059"/>
      <w:bookmarkEnd w:id="104"/>
      <w:r>
        <w:rPr>
          <w:rFonts w:ascii="Arial;Helvetica;Sans-Serif" w:hAnsi="Arial;Helvetica;Sans-Serif"/>
          <w:b/>
          <w:i w:val="false"/>
          <w:caps w:val="false"/>
          <w:smallCaps w:val="false"/>
          <w:color w:val="231F20"/>
          <w:sz w:val="18"/>
        </w:rPr>
        <w:t>Prior-Year Equity Awards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z w:val="18"/>
        </w:rPr>
        <w:t xml:space="preserve">In 2020, Mr. Netto was granted a retention equity award in the form of 35,000 performance-based stock options with an exercise price equal to the fair market value of our common shares on the grant date (closing stock price). This award contemplated that vesting of the award would be subject to the achievement of performance goals. In April 2021, the compensation committee established the performance goals for the option award, which were based on achievement with respect to new active urban plan users (weighted at 75%) and consumer fueling transactions (weighted at 25%). The performance period for this award ended in the first quarter of 2023. The table below sets forth the goals, achievement levels and actual stock options earned under </w:t>
      </w:r>
      <w:r>
        <w:rPr>
          <w:rFonts w:ascii="Arial;Helvetica;Sans-Serif" w:hAnsi="Arial;Helvetica;Sans-Serif"/>
          <w:b w:val="false"/>
          <w:i w:val="false"/>
          <w:caps w:val="false"/>
          <w:smallCaps w:val="false"/>
          <w:color w:val="58595B"/>
          <w:sz w:val="20"/>
        </w:rPr>
        <w:t>the award:</w:t>
      </w:r>
    </w:p>
    <w:p>
      <w:pPr>
        <w:pStyle w:val="TextBody"/>
        <w:spacing w:before="0" w:after="0"/>
        <w:ind w:left="80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439"/>
        <w:gridCol w:w="905"/>
        <w:gridCol w:w="1016"/>
        <w:gridCol w:w="2797"/>
        <w:gridCol w:w="1068"/>
        <w:gridCol w:w="1179"/>
        <w:gridCol w:w="801"/>
      </w:tblGrid>
      <w:tr>
        <w:trPr/>
        <w:tc>
          <w:tcPr>
            <w:tcW w:w="2439" w:type="dxa"/>
            <w:tcBorders/>
            <w:shd w:fill="EE0027" w:val="clear"/>
            <w:vAlign w:val="center"/>
          </w:tcPr>
          <w:p>
            <w:pPr>
              <w:pStyle w:val="TableContents"/>
              <w:spacing w:before="0" w:after="283"/>
              <w:jc w:val="center"/>
              <w:rPr/>
            </w:pPr>
            <w:r>
              <w:rPr/>
              <w:t> </w:t>
            </w:r>
          </w:p>
        </w:tc>
        <w:tc>
          <w:tcPr>
            <w:tcW w:w="905" w:type="dxa"/>
            <w:tcBorders/>
            <w:shd w:fill="EE0027" w:val="clear"/>
            <w:vAlign w:val="center"/>
          </w:tcPr>
          <w:p>
            <w:pPr>
              <w:pStyle w:val="TableContents"/>
              <w:spacing w:before="0" w:after="283"/>
              <w:jc w:val="center"/>
              <w:rPr/>
            </w:pPr>
            <w:r>
              <w:rPr/>
              <w:t> </w:t>
            </w:r>
          </w:p>
        </w:tc>
        <w:tc>
          <w:tcPr>
            <w:tcW w:w="1016" w:type="dxa"/>
            <w:tcBorders/>
            <w:shd w:fill="EE0027" w:val="clear"/>
            <w:vAlign w:val="center"/>
          </w:tcPr>
          <w:p>
            <w:pPr>
              <w:pStyle w:val="TableContents"/>
              <w:spacing w:before="0" w:after="283"/>
              <w:jc w:val="center"/>
              <w:rPr/>
            </w:pPr>
            <w:r>
              <w:rPr/>
              <w:t> </w:t>
            </w:r>
          </w:p>
        </w:tc>
        <w:tc>
          <w:tcPr>
            <w:tcW w:w="2797" w:type="dxa"/>
            <w:tcBorders/>
            <w:shd w:fill="EE0027" w:val="clear"/>
            <w:vAlign w:val="center"/>
          </w:tcPr>
          <w:p>
            <w:pPr>
              <w:pStyle w:val="TableContents"/>
              <w:spacing w:before="0" w:after="283"/>
              <w:jc w:val="center"/>
              <w:rPr/>
            </w:pPr>
            <w:r>
              <w:rPr/>
              <w:t> </w:t>
            </w:r>
          </w:p>
        </w:tc>
        <w:tc>
          <w:tcPr>
            <w:tcW w:w="1068" w:type="dxa"/>
            <w:tcBorders/>
            <w:shd w:fill="EE0027" w:val="clear"/>
            <w:vAlign w:val="center"/>
          </w:tcPr>
          <w:p>
            <w:pPr>
              <w:pStyle w:val="TableContents"/>
              <w:spacing w:before="0" w:after="283"/>
              <w:jc w:val="center"/>
              <w:rPr/>
            </w:pPr>
            <w:r>
              <w:rPr/>
              <w:t> </w:t>
            </w:r>
          </w:p>
        </w:tc>
        <w:tc>
          <w:tcPr>
            <w:tcW w:w="1179" w:type="dxa"/>
            <w:tcBorders/>
            <w:shd w:fill="EE0027" w:val="clear"/>
            <w:vAlign w:val="center"/>
          </w:tcPr>
          <w:p>
            <w:pPr>
              <w:pStyle w:val="TableContents"/>
              <w:spacing w:before="0" w:after="283"/>
              <w:jc w:val="center"/>
              <w:rPr/>
            </w:pPr>
            <w:r>
              <w:rPr/>
              <w:t> </w:t>
            </w:r>
          </w:p>
        </w:tc>
        <w:tc>
          <w:tcPr>
            <w:tcW w:w="801" w:type="dxa"/>
            <w:tcBorders/>
            <w:shd w:fill="EE0027" w:val="clear"/>
            <w:vAlign w:val="center"/>
          </w:tcPr>
          <w:p>
            <w:pPr>
              <w:pStyle w:val="TableContents"/>
              <w:spacing w:before="0" w:after="283"/>
              <w:jc w:val="center"/>
              <w:rPr/>
            </w:pPr>
            <w:r>
              <w:rPr/>
              <w:t> </w:t>
            </w:r>
          </w:p>
        </w:tc>
      </w:tr>
      <w:tr>
        <w:trPr/>
        <w:tc>
          <w:tcPr>
            <w:tcW w:w="2439" w:type="dxa"/>
            <w:tcBorders/>
            <w:shd w:fill="EE0027" w:val="clear"/>
            <w:vAlign w:val="center"/>
          </w:tcPr>
          <w:p>
            <w:pPr>
              <w:pStyle w:val="TableContents"/>
              <w:spacing w:before="0" w:after="283"/>
              <w:jc w:val="center"/>
              <w:rPr/>
            </w:pPr>
            <w:r>
              <w:rPr/>
              <w:t> </w:t>
            </w:r>
          </w:p>
        </w:tc>
        <w:tc>
          <w:tcPr>
            <w:tcW w:w="905" w:type="dxa"/>
            <w:tcBorders/>
            <w:shd w:fill="EE0027" w:val="clear"/>
            <w:vAlign w:val="center"/>
          </w:tcPr>
          <w:p>
            <w:pPr>
              <w:pStyle w:val="TableContents"/>
              <w:spacing w:before="0" w:after="283"/>
              <w:jc w:val="center"/>
              <w:rPr/>
            </w:pPr>
            <w:r>
              <w:rPr/>
              <w:t> </w:t>
            </w:r>
          </w:p>
        </w:tc>
        <w:tc>
          <w:tcPr>
            <w:tcW w:w="4881" w:type="dxa"/>
            <w:gridSpan w:val="3"/>
            <w:tcBorders>
              <w:bottom w:val="single" w:sz="8" w:space="0" w:color="FFFFFF"/>
            </w:tcBorders>
            <w:shd w:fill="EE0027" w:val="clear"/>
            <w:tcMar>
              <w:bottom w:w="28" w:type="dxa"/>
            </w:tcMar>
            <w:vAlign w:val="center"/>
          </w:tcPr>
          <w:p>
            <w:pPr>
              <w:pStyle w:val="TableContents"/>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PERFORMANCE LEVEL</w:t>
            </w:r>
          </w:p>
        </w:tc>
        <w:tc>
          <w:tcPr>
            <w:tcW w:w="1179" w:type="dxa"/>
            <w:tcBorders/>
            <w:shd w:fill="EE0027" w:val="clear"/>
            <w:vAlign w:val="center"/>
          </w:tcPr>
          <w:p>
            <w:pPr>
              <w:pStyle w:val="TableContents"/>
              <w:spacing w:before="0" w:after="283"/>
              <w:jc w:val="center"/>
              <w:rPr/>
            </w:pPr>
            <w:r>
              <w:rPr/>
              <w:t> </w:t>
            </w:r>
          </w:p>
        </w:tc>
        <w:tc>
          <w:tcPr>
            <w:tcW w:w="801" w:type="dxa"/>
            <w:tcBorders/>
            <w:shd w:fill="EE0027" w:val="clear"/>
            <w:vAlign w:val="center"/>
          </w:tcPr>
          <w:p>
            <w:pPr>
              <w:pStyle w:val="TableContents"/>
              <w:spacing w:before="0" w:after="283"/>
              <w:jc w:val="center"/>
              <w:rPr/>
            </w:pPr>
            <w:r>
              <w:rPr/>
              <w:t> </w:t>
            </w:r>
          </w:p>
        </w:tc>
      </w:tr>
      <w:tr>
        <w:trPr/>
        <w:tc>
          <w:tcPr>
            <w:tcW w:w="2439" w:type="dxa"/>
            <w:tcBorders/>
            <w:shd w:fill="EE0027" w:val="clear"/>
            <w:vAlign w:val="center"/>
          </w:tcPr>
          <w:p>
            <w:pPr>
              <w:pStyle w:val="TableContents"/>
              <w:spacing w:before="0" w:after="0"/>
              <w:rPr>
                <w:caps w:val="false"/>
                <w:smallCaps w:val="false"/>
                <w:color w:val="FFFFFF"/>
              </w:rPr>
            </w:pPr>
            <w:r>
              <w:rPr>
                <w:caps w:val="false"/>
                <w:smallCaps w:val="false"/>
                <w:color w:val="FFFFFF"/>
              </w:rPr>
              <w:t> </w:t>
            </w:r>
          </w:p>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Goal </w:t>
            </w:r>
          </w:p>
        </w:tc>
        <w:tc>
          <w:tcPr>
            <w:tcW w:w="905" w:type="dxa"/>
            <w:tcBorders/>
            <w:shd w:fill="EE0027" w:val="clear"/>
            <w:vAlign w:val="center"/>
          </w:tcPr>
          <w:p>
            <w:pPr>
              <w:pStyle w:val="TableContents"/>
              <w:spacing w:before="0" w:after="0"/>
              <w:rPr>
                <w:caps w:val="false"/>
                <w:smallCaps w:val="false"/>
                <w:color w:val="FFFFFF"/>
              </w:rPr>
            </w:pPr>
            <w:r>
              <w:rPr>
                <w:caps w:val="false"/>
                <w:smallCaps w:val="false"/>
                <w:color w:val="FFFFFF"/>
              </w:rPr>
              <w:t> </w:t>
            </w:r>
          </w:p>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Weighting </w:t>
            </w:r>
          </w:p>
        </w:tc>
        <w:tc>
          <w:tcPr>
            <w:tcW w:w="1016" w:type="dxa"/>
            <w:tcBorders/>
            <w:shd w:fill="EE0027" w:val="clear"/>
            <w:vAlign w:val="center"/>
          </w:tcPr>
          <w:p>
            <w:pPr>
              <w:pStyle w:val="TableContents"/>
              <w:spacing w:before="0" w:after="0"/>
              <w:rPr>
                <w:caps w:val="false"/>
                <w:smallCaps w:val="false"/>
                <w:color w:val="FFFFFF"/>
              </w:rPr>
            </w:pPr>
            <w:r>
              <w:rPr>
                <w:caps w:val="false"/>
                <w:smallCaps w:val="false"/>
                <w:color w:val="FFFFFF"/>
              </w:rPr>
              <w:t> </w:t>
            </w:r>
          </w:p>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Threshold </w:t>
              <w:br/>
              <w:t>(50% earned) </w:t>
            </w:r>
          </w:p>
        </w:tc>
        <w:tc>
          <w:tcPr>
            <w:tcW w:w="2797" w:type="dxa"/>
            <w:tcBorders/>
            <w:shd w:fill="EE0027" w:val="clear"/>
            <w:vAlign w:val="center"/>
          </w:tcPr>
          <w:p>
            <w:pPr>
              <w:pStyle w:val="TableContents"/>
              <w:spacing w:before="0" w:after="0"/>
              <w:rPr>
                <w:caps w:val="false"/>
                <w:smallCaps w:val="false"/>
                <w:color w:val="FFFFFF"/>
              </w:rPr>
            </w:pPr>
            <w:r>
              <w:rPr>
                <w:caps w:val="false"/>
                <w:smallCaps w:val="false"/>
                <w:color w:val="FFFFFF"/>
              </w:rPr>
              <w:t> </w:t>
            </w:r>
          </w:p>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Target </w:t>
            </w:r>
          </w:p>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(100% earned)</w:t>
            </w:r>
          </w:p>
          <w:p>
            <w:pPr>
              <w:pStyle w:val="TableContents"/>
              <w:spacing w:before="0" w:after="0"/>
              <w:rPr>
                <w:caps w:val="false"/>
                <w:smallCaps w:val="false"/>
                <w:color w:val="FFFFFF"/>
              </w:rPr>
            </w:pPr>
            <w:r>
              <w:rPr>
                <w:caps w:val="false"/>
                <w:smallCaps w:val="false"/>
                <w:color w:val="FFFFFF"/>
              </w:rPr>
              <w:t> </w:t>
            </w:r>
          </w:p>
        </w:tc>
        <w:tc>
          <w:tcPr>
            <w:tcW w:w="1068" w:type="dxa"/>
            <w:tcBorders/>
            <w:shd w:fill="EE0027" w:val="clear"/>
            <w:vAlign w:val="center"/>
          </w:tcPr>
          <w:p>
            <w:pPr>
              <w:pStyle w:val="TableContents"/>
              <w:spacing w:before="0" w:after="0"/>
              <w:rPr>
                <w:caps w:val="false"/>
                <w:smallCaps w:val="false"/>
                <w:color w:val="FFFFFF"/>
              </w:rPr>
            </w:pPr>
            <w:r>
              <w:rPr>
                <w:caps w:val="false"/>
                <w:smallCaps w:val="false"/>
                <w:color w:val="FFFFFF"/>
              </w:rPr>
              <w:t> </w:t>
            </w:r>
          </w:p>
          <w:p>
            <w:pPr>
              <w:pStyle w:val="TableContents"/>
              <w:spacing w:before="0" w:after="0"/>
              <w:rPr>
                <w:caps w:val="false"/>
                <w:smallCaps w:val="false"/>
                <w:color w:val="FFFFFF"/>
              </w:rPr>
            </w:pPr>
            <w:r>
              <w:rPr>
                <w:caps w:val="false"/>
                <w:smallCaps w:val="false"/>
                <w:color w:val="FFFFFF"/>
              </w:rPr>
              <w:t> </w:t>
            </w:r>
            <w:r>
              <w:rPr>
                <w:rFonts w:ascii="Arial;Helvetica;Sans-Serif" w:hAnsi="Arial;Helvetica;Sans-Serif"/>
                <w:b/>
                <w:i w:val="false"/>
                <w:caps w:val="false"/>
                <w:smallCaps w:val="false"/>
                <w:color w:val="FFFFFF"/>
                <w:sz w:val="18"/>
              </w:rPr>
              <w:t xml:space="preserve">Maximum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8"/>
              </w:rPr>
              <w:t>(150% earned)</w:t>
            </w:r>
          </w:p>
          <w:p>
            <w:pPr>
              <w:pStyle w:val="TableContents"/>
              <w:spacing w:before="0" w:after="0"/>
              <w:rPr>
                <w:caps w:val="false"/>
                <w:smallCaps w:val="false"/>
                <w:color w:val="FFFFFF"/>
              </w:rPr>
            </w:pPr>
            <w:r>
              <w:rPr>
                <w:caps w:val="false"/>
                <w:smallCaps w:val="false"/>
                <w:color w:val="FFFFFF"/>
              </w:rPr>
              <w:t> </w:t>
            </w:r>
          </w:p>
        </w:tc>
        <w:tc>
          <w:tcPr>
            <w:tcW w:w="1179"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Achievement </w:t>
              <w:br/>
              <w:t xml:space="preserve">(as % of </w:t>
              <w:br/>
              <w:t>Target) </w:t>
            </w:r>
          </w:p>
        </w:tc>
        <w:tc>
          <w:tcPr>
            <w:tcW w:w="801"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 xml:space="preserve"># of Stock </w:t>
              <w:br/>
              <w:t xml:space="preserve">Options </w:t>
              <w:br/>
              <w:t>Earned </w:t>
            </w:r>
          </w:p>
          <w:p>
            <w:pPr>
              <w:pStyle w:val="TableContents"/>
              <w:spacing w:before="0" w:after="0"/>
              <w:rPr>
                <w:caps w:val="false"/>
                <w:smallCaps w:val="false"/>
                <w:color w:val="FFFFFF"/>
              </w:rPr>
            </w:pPr>
            <w:r>
              <w:rPr>
                <w:caps w:val="false"/>
                <w:smallCaps w:val="false"/>
                <w:color w:val="FFFFFF"/>
              </w:rPr>
              <w:t> </w:t>
            </w:r>
          </w:p>
        </w:tc>
      </w:tr>
      <w:tr>
        <w:trPr/>
        <w:tc>
          <w:tcPr>
            <w:tcW w:w="2439" w:type="dxa"/>
            <w:tcBorders/>
            <w:shd w:fill="auto" w:val="clear"/>
            <w:vAlign w:val="center"/>
          </w:tcPr>
          <w:p>
            <w:pPr>
              <w:pStyle w:val="TableContents"/>
              <w:spacing w:lineRule="auto" w:line="240" w:before="0" w:after="283"/>
              <w:rPr/>
            </w:pPr>
            <w:r>
              <w:rPr>
                <w:rFonts w:ascii="Arial;Helvetica;Sans-Serif" w:hAnsi="Arial;Helvetica;Sans-Serif"/>
                <w:color w:val="58595B"/>
                <w:sz w:val="18"/>
              </w:rPr>
              <w:t xml:space="preserve">Active Urban Plan Users </w:t>
            </w:r>
            <w:r>
              <w:rPr>
                <w:rFonts w:ascii="Arial;Helvetica;Sans-Serif" w:hAnsi="Arial;Helvetica;Sans-Serif"/>
                <w:color w:val="58595B"/>
              </w:rPr>
              <w:t>(1)</w:t>
            </w:r>
          </w:p>
        </w:tc>
        <w:tc>
          <w:tcPr>
            <w:tcW w:w="90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75%</w:t>
            </w:r>
          </w:p>
        </w:tc>
        <w:tc>
          <w:tcPr>
            <w:tcW w:w="1016"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N/A</w:t>
            </w:r>
          </w:p>
        </w:tc>
        <w:tc>
          <w:tcPr>
            <w:tcW w:w="2797"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Achieve 750,000 active Urban Plan Users by the first quarter of 2023</w:t>
            </w:r>
          </w:p>
        </w:tc>
        <w:tc>
          <w:tcPr>
            <w:tcW w:w="1068"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N/A</w:t>
            </w:r>
          </w:p>
        </w:tc>
        <w:tc>
          <w:tcPr>
            <w:tcW w:w="1179"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103%</w:t>
            </w:r>
          </w:p>
        </w:tc>
        <w:tc>
          <w:tcPr>
            <w:tcW w:w="801"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26,250</w:t>
            </w:r>
          </w:p>
        </w:tc>
      </w:tr>
      <w:tr>
        <w:trPr/>
        <w:tc>
          <w:tcPr>
            <w:tcW w:w="2439"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Consumer Fueling Transactions (dollars in millions)</w:t>
            </w:r>
          </w:p>
        </w:tc>
        <w:tc>
          <w:tcPr>
            <w:tcW w:w="905"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25%</w:t>
            </w:r>
          </w:p>
        </w:tc>
        <w:tc>
          <w:tcPr>
            <w:tcW w:w="1016"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$2.25</w:t>
            </w:r>
          </w:p>
        </w:tc>
        <w:tc>
          <w:tcPr>
            <w:tcW w:w="2797"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$3.0</w:t>
            </w:r>
          </w:p>
        </w:tc>
        <w:tc>
          <w:tcPr>
            <w:tcW w:w="1068"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$3.75</w:t>
            </w:r>
          </w:p>
        </w:tc>
        <w:tc>
          <w:tcPr>
            <w:tcW w:w="1179"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80%</w:t>
            </w:r>
          </w:p>
        </w:tc>
        <w:tc>
          <w:tcPr>
            <w:tcW w:w="801"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4,375</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For purposes of this award, “Active Urban Plan Users” is the number of users of our Brazil toll product that are urban. If the “Target” level for this metric was achieved, then 100% of the portion of the options subject to this metric would vest. No options would be earned for this metric if performance was below the “Target” level, and the earned portion of the options would not increase for performance above the “Target” level.</w:t>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40</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color w:val="231F20"/>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231F20"/>
        </w:rPr>
      </w:pPr>
      <w:r>
        <w:rPr>
          <w:caps w:val="false"/>
          <w:smallCaps w:val="false"/>
          <w:color w:val="231F20"/>
        </w:rPr>
        <w:t> </w:t>
      </w:r>
    </w:p>
    <w:p>
      <w:pPr>
        <w:pStyle w:val="TextBody"/>
        <w:spacing w:before="0" w:after="0"/>
        <w:rPr/>
      </w:pPr>
      <w:r>
        <w:rPr/>
      </w:r>
      <w:r>
        <mc:AlternateContent>
          <mc:Choice Requires="wps">
            <w:drawing>
              <wp:anchor behindDoc="0" distT="0" distB="0" distL="0" distR="0" simplePos="0" locked="0" layoutInCell="1" allowOverlap="1" relativeHeight="168">
                <wp:simplePos x="0" y="0"/>
                <wp:positionH relativeFrom="column">
                  <wp:align>right</wp:align>
                </wp:positionH>
                <wp:positionV relativeFrom="line">
                  <wp:posOffset>635</wp:posOffset>
                </wp:positionV>
                <wp:extent cx="3110230" cy="7392035"/>
                <wp:effectExtent l="0" t="0" r="0" b="0"/>
                <wp:wrapSquare wrapText="largest"/>
                <wp:docPr id="387" name="Frame61"/>
                <a:graphic xmlns:a="http://schemas.openxmlformats.org/drawingml/2006/main">
                  <a:graphicData uri="http://schemas.microsoft.com/office/word/2010/wordprocessingShape">
                    <wps:wsp>
                      <wps:cNvSpPr txBox="1"/>
                      <wps:spPr>
                        <a:xfrm>
                          <a:off x="0" y="0"/>
                          <a:ext cx="3110230" cy="739203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After their cessation of employment in 2022, each of Messrs. Coughlin, Gavrilenya and Freund continued to serve FLEETCOR in a consulting capacity to help ensure a smooth transition of their responsibilities. Messrs. Gavrilenya and Freund ceased such service on December 31, 2022, and Mr. Coughlin is expect to continue such service until May 1, 2023. During such consulting service, each such officer is or was eligible to exercise his vested stock option awards, but did not receive any other compensation.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Certain Perquisites.</w:t>
                            </w:r>
                            <w:r>
                              <w:rPr>
                                <w:rFonts w:ascii="Arial;Helvetica;Sans-Serif" w:hAnsi="Arial;Helvetica;Sans-Serif"/>
                                <w:b w:val="false"/>
                                <w:i w:val="false"/>
                                <w:caps w:val="false"/>
                                <w:smallCaps w:val="false"/>
                                <w:color w:val="58595B"/>
                                <w:sz w:val="18"/>
                              </w:rPr>
                              <w:t xml:space="preserve"> In 2022, we provided relocation benefits to Mr. King, in connection with his relocation from the United Kingdom to the United States. Also during 2022, we provided vehicle allowances to Mr. Netto and Mr. King. For more information, see the “2022 Summary Compensation Table” below.</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18"/>
                              </w:rPr>
                            </w:pPr>
                            <w:bookmarkStart w:id="105" w:name="a062"/>
                            <w:bookmarkEnd w:id="105"/>
                            <w:r>
                              <w:rPr>
                                <w:rFonts w:ascii="Arial;Helvetica;Sans-Serif" w:hAnsi="Arial;Helvetica;Sans-Serif"/>
                                <w:b/>
                                <w:i w:val="false"/>
                                <w:caps w:val="false"/>
                                <w:smallCaps w:val="false"/>
                                <w:color w:val="EE0027"/>
                                <w:sz w:val="18"/>
                              </w:rPr>
                              <w:t>Process to Review, Revise, and Set Compensation</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is responsible for administering our executive compensation program and making decisions with respect to the compensation paid to our NEOs. In making such decisions, the compensation committee considers a variety of factors, including:</w:t>
                            </w:r>
                          </w:p>
                          <w:p>
                            <w:pPr>
                              <w:pStyle w:val="TextBody"/>
                              <w:spacing w:before="0" w:after="0"/>
                              <w:rPr>
                                <w:caps w:val="false"/>
                                <w:smallCaps w:val="false"/>
                                <w:color w:val="58595B"/>
                              </w:rPr>
                            </w:pPr>
                            <w:r>
                              <w:rPr>
                                <w:caps w:val="false"/>
                                <w:smallCaps w:val="false"/>
                                <w:color w:val="58595B"/>
                              </w:rPr>
                              <w:t> </w:t>
                            </w:r>
                          </w:p>
                          <w:tbl>
                            <w:tblPr>
                              <w:tblW w:w="8885" w:type="dxa"/>
                              <w:jc w:val="left"/>
                              <w:tblInd w:w="0" w:type="dxa"/>
                              <w:tblCellMar>
                                <w:top w:w="0" w:type="dxa"/>
                                <w:left w:w="0" w:type="dxa"/>
                                <w:bottom w:w="0" w:type="dxa"/>
                                <w:right w:w="0" w:type="dxa"/>
                              </w:tblCellMar>
                            </w:tblPr>
                            <w:tblGrid>
                              <w:gridCol w:w="180"/>
                              <w:gridCol w:w="870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88"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196" descr=""/>
                                                <pic:cNvPicPr>
                                                  <a:picLocks noChangeAspect="1" noChangeArrowheads="1"/>
                                                </pic:cNvPicPr>
                                              </pic:nvPicPr>
                                              <pic:blipFill>
                                                <a:blip r:embed="rId197"/>
                                                <a:stretch>
                                                  <a:fillRect/>
                                                </a:stretch>
                                              </pic:blipFill>
                                              <pic:spPr bwMode="auto">
                                                <a:xfrm>
                                                  <a:off x="0" y="0"/>
                                                  <a:ext cx="104775" cy="85725"/>
                                                </a:xfrm>
                                                <a:prstGeom prst="rect">
                                                  <a:avLst/>
                                                </a:prstGeom>
                                              </pic:spPr>
                                            </pic:pic>
                                          </a:graphicData>
                                        </a:graphic>
                                      </wp:inline>
                                    </w:drawing>
                                  </w:r>
                                </w:p>
                              </w:tc>
                              <w:tc>
                                <w:tcPr>
                                  <w:tcW w:w="870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committee’s evaluation of the competitive market, including referencing peer group data</w:t>
                                  </w:r>
                                </w:p>
                              </w:tc>
                            </w:tr>
                          </w:tbl>
                          <w:tbl>
                            <w:tblPr>
                              <w:tblW w:w="5945" w:type="dxa"/>
                              <w:jc w:val="left"/>
                              <w:tblInd w:w="0" w:type="dxa"/>
                              <w:tblCellMar>
                                <w:top w:w="0" w:type="dxa"/>
                                <w:left w:w="0" w:type="dxa"/>
                                <w:bottom w:w="0" w:type="dxa"/>
                                <w:right w:w="0" w:type="dxa"/>
                              </w:tblCellMar>
                            </w:tblPr>
                            <w:tblGrid>
                              <w:gridCol w:w="180"/>
                              <w:gridCol w:w="576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89"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Image197" descr=""/>
                                                <pic:cNvPicPr>
                                                  <a:picLocks noChangeAspect="1" noChangeArrowheads="1"/>
                                                </pic:cNvPicPr>
                                              </pic:nvPicPr>
                                              <pic:blipFill>
                                                <a:blip r:embed="rId198"/>
                                                <a:stretch>
                                                  <a:fillRect/>
                                                </a:stretch>
                                              </pic:blipFill>
                                              <pic:spPr bwMode="auto">
                                                <a:xfrm>
                                                  <a:off x="0" y="0"/>
                                                  <a:ext cx="104775" cy="85725"/>
                                                </a:xfrm>
                                                <a:prstGeom prst="rect">
                                                  <a:avLst/>
                                                </a:prstGeom>
                                              </pic:spPr>
                                            </pic:pic>
                                          </a:graphicData>
                                        </a:graphic>
                                      </wp:inline>
                                    </w:drawing>
                                  </w:r>
                                </w:p>
                              </w:tc>
                              <w:tc>
                                <w:tcPr>
                                  <w:tcW w:w="576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feedback received from our shareholders and proxy advisory firms</w:t>
                                  </w:r>
                                </w:p>
                              </w:tc>
                            </w:tr>
                          </w:tbl>
                          <w:tbl>
                            <w:tblPr>
                              <w:tblW w:w="9365" w:type="dxa"/>
                              <w:jc w:val="left"/>
                              <w:tblInd w:w="0" w:type="dxa"/>
                              <w:tblCellMar>
                                <w:top w:w="0" w:type="dxa"/>
                                <w:left w:w="0" w:type="dxa"/>
                                <w:bottom w:w="0" w:type="dxa"/>
                                <w:right w:w="0" w:type="dxa"/>
                              </w:tblCellMar>
                            </w:tblPr>
                            <w:tblGrid>
                              <w:gridCol w:w="180"/>
                              <w:gridCol w:w="918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0"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98" descr=""/>
                                                <pic:cNvPicPr>
                                                  <a:picLocks noChangeAspect="1" noChangeArrowheads="1"/>
                                                </pic:cNvPicPr>
                                              </pic:nvPicPr>
                                              <pic:blipFill>
                                                <a:blip r:embed="rId199"/>
                                                <a:stretch>
                                                  <a:fillRect/>
                                                </a:stretch>
                                              </pic:blipFill>
                                              <pic:spPr bwMode="auto">
                                                <a:xfrm>
                                                  <a:off x="0" y="0"/>
                                                  <a:ext cx="104775" cy="85725"/>
                                                </a:xfrm>
                                                <a:prstGeom prst="rect">
                                                  <a:avLst/>
                                                </a:prstGeom>
                                              </pic:spPr>
                                            </pic:pic>
                                          </a:graphicData>
                                        </a:graphic>
                                      </wp:inline>
                                    </w:drawing>
                                  </w:r>
                                </w:p>
                              </w:tc>
                              <w:tc>
                                <w:tcPr>
                                  <w:tcW w:w="918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roles and responsibilities of our executives, including each executive’s impact on creating shareholder value</w:t>
                                  </w:r>
                                </w:p>
                              </w:tc>
                            </w:tr>
                          </w:tbl>
                          <w:tbl>
                            <w:tblPr>
                              <w:tblW w:w="7310" w:type="dxa"/>
                              <w:jc w:val="left"/>
                              <w:tblInd w:w="0" w:type="dxa"/>
                              <w:tblCellMar>
                                <w:top w:w="0" w:type="dxa"/>
                                <w:left w:w="0" w:type="dxa"/>
                                <w:bottom w:w="0" w:type="dxa"/>
                                <w:right w:w="0" w:type="dxa"/>
                              </w:tblCellMar>
                            </w:tblPr>
                            <w:tblGrid>
                              <w:gridCol w:w="180"/>
                              <w:gridCol w:w="713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1"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 name="Image199" descr=""/>
                                                <pic:cNvPicPr>
                                                  <a:picLocks noChangeAspect="1" noChangeArrowheads="1"/>
                                                </pic:cNvPicPr>
                                              </pic:nvPicPr>
                                              <pic:blipFill>
                                                <a:blip r:embed="rId200"/>
                                                <a:stretch>
                                                  <a:fillRect/>
                                                </a:stretch>
                                              </pic:blipFill>
                                              <pic:spPr bwMode="auto">
                                                <a:xfrm>
                                                  <a:off x="0" y="0"/>
                                                  <a:ext cx="104775" cy="85725"/>
                                                </a:xfrm>
                                                <a:prstGeom prst="rect">
                                                  <a:avLst/>
                                                </a:prstGeom>
                                              </pic:spPr>
                                            </pic:pic>
                                          </a:graphicData>
                                        </a:graphic>
                                      </wp:inline>
                                    </w:drawing>
                                  </w:r>
                                </w:p>
                              </w:tc>
                              <w:tc>
                                <w:tcPr>
                                  <w:tcW w:w="713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individual experience and skills of, and expected contributions from, our executives</w:t>
                                  </w:r>
                                </w:p>
                              </w:tc>
                            </w:tr>
                          </w:tbl>
                          <w:tbl>
                            <w:tblPr>
                              <w:tblW w:w="3695" w:type="dxa"/>
                              <w:jc w:val="left"/>
                              <w:tblInd w:w="0" w:type="dxa"/>
                              <w:tblCellMar>
                                <w:top w:w="0" w:type="dxa"/>
                                <w:left w:w="0" w:type="dxa"/>
                                <w:bottom w:w="0" w:type="dxa"/>
                                <w:right w:w="0" w:type="dxa"/>
                              </w:tblCellMar>
                            </w:tblPr>
                            <w:tblGrid>
                              <w:gridCol w:w="180"/>
                              <w:gridCol w:w="351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2"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Image200" descr=""/>
                                                <pic:cNvPicPr>
                                                  <a:picLocks noChangeAspect="1" noChangeArrowheads="1"/>
                                                </pic:cNvPicPr>
                                              </pic:nvPicPr>
                                              <pic:blipFill>
                                                <a:blip r:embed="rId201"/>
                                                <a:stretch>
                                                  <a:fillRect/>
                                                </a:stretch>
                                              </pic:blipFill>
                                              <pic:spPr bwMode="auto">
                                                <a:xfrm>
                                                  <a:off x="0" y="0"/>
                                                  <a:ext cx="104775" cy="85725"/>
                                                </a:xfrm>
                                                <a:prstGeom prst="rect">
                                                  <a:avLst/>
                                                </a:prstGeom>
                                              </pic:spPr>
                                            </pic:pic>
                                          </a:graphicData>
                                        </a:graphic>
                                      </wp:inline>
                                    </w:drawing>
                                  </w:r>
                                </w:p>
                              </w:tc>
                              <w:tc>
                                <w:tcPr>
                                  <w:tcW w:w="351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Pay relative to other NEOs at the Company</w:t>
                                  </w:r>
                                </w:p>
                              </w:tc>
                            </w:tr>
                          </w:tbl>
                          <w:tbl>
                            <w:tblPr>
                              <w:tblW w:w="9620" w:type="dxa"/>
                              <w:jc w:val="left"/>
                              <w:tblInd w:w="0" w:type="dxa"/>
                              <w:tblCellMar>
                                <w:top w:w="0" w:type="dxa"/>
                                <w:left w:w="0" w:type="dxa"/>
                                <w:bottom w:w="0" w:type="dxa"/>
                                <w:right w:w="0" w:type="dxa"/>
                              </w:tblCellMar>
                            </w:tblPr>
                            <w:tblGrid>
                              <w:gridCol w:w="180"/>
                              <w:gridCol w:w="944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3"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Image201" descr=""/>
                                                <pic:cNvPicPr>
                                                  <a:picLocks noChangeAspect="1" noChangeArrowheads="1"/>
                                                </pic:cNvPicPr>
                                              </pic:nvPicPr>
                                              <pic:blipFill>
                                                <a:blip r:embed="rId202"/>
                                                <a:stretch>
                                                  <a:fillRect/>
                                                </a:stretch>
                                              </pic:blipFill>
                                              <pic:spPr bwMode="auto">
                                                <a:xfrm>
                                                  <a:off x="0" y="0"/>
                                                  <a:ext cx="104775" cy="85725"/>
                                                </a:xfrm>
                                                <a:prstGeom prst="rect">
                                                  <a:avLst/>
                                                </a:prstGeom>
                                              </pic:spPr>
                                            </pic:pic>
                                          </a:graphicData>
                                        </a:graphic>
                                      </wp:inline>
                                    </w:drawing>
                                  </w:r>
                                </w:p>
                              </w:tc>
                              <w:tc>
                                <w:tcPr>
                                  <w:tcW w:w="944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individual performance of our executives during the year and the historical performance levels of our executives</w:t>
                                  </w:r>
                                </w:p>
                              </w:tc>
                            </w:tr>
                          </w:tbl>
                          <w:tbl>
                            <w:tblPr>
                              <w:tblW w:w="2930" w:type="dxa"/>
                              <w:jc w:val="left"/>
                              <w:tblInd w:w="0" w:type="dxa"/>
                              <w:tblCellMar>
                                <w:top w:w="0" w:type="dxa"/>
                                <w:left w:w="0" w:type="dxa"/>
                                <w:bottom w:w="0" w:type="dxa"/>
                                <w:right w:w="0" w:type="dxa"/>
                              </w:tblCellMar>
                            </w:tblPr>
                            <w:tblGrid>
                              <w:gridCol w:w="180"/>
                              <w:gridCol w:w="275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4"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Image202" descr=""/>
                                                <pic:cNvPicPr>
                                                  <a:picLocks noChangeAspect="1" noChangeArrowheads="1"/>
                                                </pic:cNvPicPr>
                                              </pic:nvPicPr>
                                              <pic:blipFill>
                                                <a:blip r:embed="rId203"/>
                                                <a:stretch>
                                                  <a:fillRect/>
                                                </a:stretch>
                                              </pic:blipFill>
                                              <pic:spPr bwMode="auto">
                                                <a:xfrm>
                                                  <a:off x="0" y="0"/>
                                                  <a:ext cx="104775" cy="85725"/>
                                                </a:xfrm>
                                                <a:prstGeom prst="rect">
                                                  <a:avLst/>
                                                </a:prstGeom>
                                              </pic:spPr>
                                            </pic:pic>
                                          </a:graphicData>
                                        </a:graphic>
                                      </wp:inline>
                                    </w:drawing>
                                  </w:r>
                                </w:p>
                              </w:tc>
                              <w:tc>
                                <w:tcPr>
                                  <w:tcW w:w="27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Our overall financial performance</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Role of Independent Compensation Consultant:</w:t>
                            </w:r>
                            <w:r>
                              <w:rPr>
                                <w:rFonts w:ascii="Arial;Helvetica;Sans-Serif" w:hAnsi="Arial;Helvetica;Sans-Serif"/>
                                <w:b w:val="false"/>
                                <w:i w:val="false"/>
                                <w:caps w:val="false"/>
                                <w:smallCaps w:val="false"/>
                                <w:color w:val="58595B"/>
                                <w:sz w:val="18"/>
                              </w:rPr>
                              <w:t xml:space="preserve"> All services performed by Exequity were conducted under the direction or authority of the compensation committee. The compensation committee has considered the required independence factors outlined by the SEC and NYSE rules in assessing the independence of Exequity. Consideration was also given by the compensation committee under those required independence factors, plus all other relevant factors, to whether the work performed by Exequity could give rise to a potential conflict of interest. Based on this review, the compensation committee did not identify any conflict of interest raised by the work performed by Exequity.</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2.0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After their cessation of employment in 2022, each of Messrs. Coughlin, Gavrilenya and Freund continued to serve FLEETCOR in a consulting capacity to help ensure a smooth transition of their responsibilities. Messrs. Gavrilenya and Freund ceased such service on December 31, 2022, and Mr. Coughlin is expect to continue such service until May 1, 2023. During such consulting service, each such officer is or was eligible to exercise his vested stock option awards, but did not receive any other compensation.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Certain Perquisites.</w:t>
                      </w:r>
                      <w:r>
                        <w:rPr>
                          <w:rFonts w:ascii="Arial;Helvetica;Sans-Serif" w:hAnsi="Arial;Helvetica;Sans-Serif"/>
                          <w:b w:val="false"/>
                          <w:i w:val="false"/>
                          <w:caps w:val="false"/>
                          <w:smallCaps w:val="false"/>
                          <w:color w:val="58595B"/>
                          <w:sz w:val="18"/>
                        </w:rPr>
                        <w:t xml:space="preserve"> In 2022, we provided relocation benefits to Mr. King, in connection with his relocation from the United Kingdom to the United States. Also during 2022, we provided vehicle allowances to Mr. Netto and Mr. King. For more information, see the “2022 Summary Compensation Table” below.</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18"/>
                        </w:rPr>
                      </w:pPr>
                      <w:bookmarkStart w:id="106" w:name="a062"/>
                      <w:bookmarkEnd w:id="106"/>
                      <w:r>
                        <w:rPr>
                          <w:rFonts w:ascii="Arial;Helvetica;Sans-Serif" w:hAnsi="Arial;Helvetica;Sans-Serif"/>
                          <w:b/>
                          <w:i w:val="false"/>
                          <w:caps w:val="false"/>
                          <w:smallCaps w:val="false"/>
                          <w:color w:val="EE0027"/>
                          <w:sz w:val="18"/>
                        </w:rPr>
                        <w:t>Process to Review, Revise, and Set Compensation</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is responsible for administering our executive compensation program and making decisions with respect to the compensation paid to our NEOs. In making such decisions, the compensation committee considers a variety of factors, including:</w:t>
                      </w:r>
                    </w:p>
                    <w:p>
                      <w:pPr>
                        <w:pStyle w:val="TextBody"/>
                        <w:spacing w:before="0" w:after="0"/>
                        <w:rPr>
                          <w:caps w:val="false"/>
                          <w:smallCaps w:val="false"/>
                          <w:color w:val="58595B"/>
                        </w:rPr>
                      </w:pPr>
                      <w:r>
                        <w:rPr>
                          <w:caps w:val="false"/>
                          <w:smallCaps w:val="false"/>
                          <w:color w:val="58595B"/>
                        </w:rPr>
                        <w:t> </w:t>
                      </w:r>
                    </w:p>
                    <w:tbl>
                      <w:tblPr>
                        <w:tblW w:w="8885" w:type="dxa"/>
                        <w:jc w:val="left"/>
                        <w:tblInd w:w="0" w:type="dxa"/>
                        <w:tblCellMar>
                          <w:top w:w="0" w:type="dxa"/>
                          <w:left w:w="0" w:type="dxa"/>
                          <w:bottom w:w="0" w:type="dxa"/>
                          <w:right w:w="0" w:type="dxa"/>
                        </w:tblCellMar>
                      </w:tblPr>
                      <w:tblGrid>
                        <w:gridCol w:w="180"/>
                        <w:gridCol w:w="870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5" name="Image1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Image196" descr=""/>
                                          <pic:cNvPicPr>
                                            <a:picLocks noChangeAspect="1" noChangeArrowheads="1"/>
                                          </pic:cNvPicPr>
                                        </pic:nvPicPr>
                                        <pic:blipFill>
                                          <a:blip r:embed="rId197"/>
                                          <a:stretch>
                                            <a:fillRect/>
                                          </a:stretch>
                                        </pic:blipFill>
                                        <pic:spPr bwMode="auto">
                                          <a:xfrm>
                                            <a:off x="0" y="0"/>
                                            <a:ext cx="104775" cy="85725"/>
                                          </a:xfrm>
                                          <a:prstGeom prst="rect">
                                            <a:avLst/>
                                          </a:prstGeom>
                                        </pic:spPr>
                                      </pic:pic>
                                    </a:graphicData>
                                  </a:graphic>
                                </wp:inline>
                              </w:drawing>
                            </w:r>
                          </w:p>
                        </w:tc>
                        <w:tc>
                          <w:tcPr>
                            <w:tcW w:w="870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committee’s evaluation of the competitive market, including referencing peer group data</w:t>
                            </w:r>
                          </w:p>
                        </w:tc>
                      </w:tr>
                    </w:tbl>
                    <w:tbl>
                      <w:tblPr>
                        <w:tblW w:w="5945" w:type="dxa"/>
                        <w:jc w:val="left"/>
                        <w:tblInd w:w="0" w:type="dxa"/>
                        <w:tblCellMar>
                          <w:top w:w="0" w:type="dxa"/>
                          <w:left w:w="0" w:type="dxa"/>
                          <w:bottom w:w="0" w:type="dxa"/>
                          <w:right w:w="0" w:type="dxa"/>
                        </w:tblCellMar>
                      </w:tblPr>
                      <w:tblGrid>
                        <w:gridCol w:w="180"/>
                        <w:gridCol w:w="576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6" name="Image1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97" descr=""/>
                                          <pic:cNvPicPr>
                                            <a:picLocks noChangeAspect="1" noChangeArrowheads="1"/>
                                          </pic:cNvPicPr>
                                        </pic:nvPicPr>
                                        <pic:blipFill>
                                          <a:blip r:embed="rId198"/>
                                          <a:stretch>
                                            <a:fillRect/>
                                          </a:stretch>
                                        </pic:blipFill>
                                        <pic:spPr bwMode="auto">
                                          <a:xfrm>
                                            <a:off x="0" y="0"/>
                                            <a:ext cx="104775" cy="85725"/>
                                          </a:xfrm>
                                          <a:prstGeom prst="rect">
                                            <a:avLst/>
                                          </a:prstGeom>
                                        </pic:spPr>
                                      </pic:pic>
                                    </a:graphicData>
                                  </a:graphic>
                                </wp:inline>
                              </w:drawing>
                            </w:r>
                          </w:p>
                        </w:tc>
                        <w:tc>
                          <w:tcPr>
                            <w:tcW w:w="576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feedback received from our shareholders and proxy advisory firms</w:t>
                            </w:r>
                          </w:p>
                        </w:tc>
                      </w:tr>
                    </w:tbl>
                    <w:tbl>
                      <w:tblPr>
                        <w:tblW w:w="9365" w:type="dxa"/>
                        <w:jc w:val="left"/>
                        <w:tblInd w:w="0" w:type="dxa"/>
                        <w:tblCellMar>
                          <w:top w:w="0" w:type="dxa"/>
                          <w:left w:w="0" w:type="dxa"/>
                          <w:bottom w:w="0" w:type="dxa"/>
                          <w:right w:w="0" w:type="dxa"/>
                        </w:tblCellMar>
                      </w:tblPr>
                      <w:tblGrid>
                        <w:gridCol w:w="180"/>
                        <w:gridCol w:w="918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7" name="Image1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Image198" descr=""/>
                                          <pic:cNvPicPr>
                                            <a:picLocks noChangeAspect="1" noChangeArrowheads="1"/>
                                          </pic:cNvPicPr>
                                        </pic:nvPicPr>
                                        <pic:blipFill>
                                          <a:blip r:embed="rId199"/>
                                          <a:stretch>
                                            <a:fillRect/>
                                          </a:stretch>
                                        </pic:blipFill>
                                        <pic:spPr bwMode="auto">
                                          <a:xfrm>
                                            <a:off x="0" y="0"/>
                                            <a:ext cx="104775" cy="85725"/>
                                          </a:xfrm>
                                          <a:prstGeom prst="rect">
                                            <a:avLst/>
                                          </a:prstGeom>
                                        </pic:spPr>
                                      </pic:pic>
                                    </a:graphicData>
                                  </a:graphic>
                                </wp:inline>
                              </w:drawing>
                            </w:r>
                          </w:p>
                        </w:tc>
                        <w:tc>
                          <w:tcPr>
                            <w:tcW w:w="918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roles and responsibilities of our executives, including each executive’s impact on creating shareholder value</w:t>
                            </w:r>
                          </w:p>
                        </w:tc>
                      </w:tr>
                    </w:tbl>
                    <w:tbl>
                      <w:tblPr>
                        <w:tblW w:w="7310" w:type="dxa"/>
                        <w:jc w:val="left"/>
                        <w:tblInd w:w="0" w:type="dxa"/>
                        <w:tblCellMar>
                          <w:top w:w="0" w:type="dxa"/>
                          <w:left w:w="0" w:type="dxa"/>
                          <w:bottom w:w="0" w:type="dxa"/>
                          <w:right w:w="0" w:type="dxa"/>
                        </w:tblCellMar>
                      </w:tblPr>
                      <w:tblGrid>
                        <w:gridCol w:w="180"/>
                        <w:gridCol w:w="713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8" name="Image1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 name="Image199" descr=""/>
                                          <pic:cNvPicPr>
                                            <a:picLocks noChangeAspect="1" noChangeArrowheads="1"/>
                                          </pic:cNvPicPr>
                                        </pic:nvPicPr>
                                        <pic:blipFill>
                                          <a:blip r:embed="rId200"/>
                                          <a:stretch>
                                            <a:fillRect/>
                                          </a:stretch>
                                        </pic:blipFill>
                                        <pic:spPr bwMode="auto">
                                          <a:xfrm>
                                            <a:off x="0" y="0"/>
                                            <a:ext cx="104775" cy="85725"/>
                                          </a:xfrm>
                                          <a:prstGeom prst="rect">
                                            <a:avLst/>
                                          </a:prstGeom>
                                        </pic:spPr>
                                      </pic:pic>
                                    </a:graphicData>
                                  </a:graphic>
                                </wp:inline>
                              </w:drawing>
                            </w:r>
                          </w:p>
                        </w:tc>
                        <w:tc>
                          <w:tcPr>
                            <w:tcW w:w="713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individual experience and skills of, and expected contributions from, our executives</w:t>
                            </w:r>
                          </w:p>
                        </w:tc>
                      </w:tr>
                    </w:tbl>
                    <w:tbl>
                      <w:tblPr>
                        <w:tblW w:w="3695" w:type="dxa"/>
                        <w:jc w:val="left"/>
                        <w:tblInd w:w="0" w:type="dxa"/>
                        <w:tblCellMar>
                          <w:top w:w="0" w:type="dxa"/>
                          <w:left w:w="0" w:type="dxa"/>
                          <w:bottom w:w="0" w:type="dxa"/>
                          <w:right w:w="0" w:type="dxa"/>
                        </w:tblCellMar>
                      </w:tblPr>
                      <w:tblGrid>
                        <w:gridCol w:w="180"/>
                        <w:gridCol w:w="351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399" name="Image2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200" descr=""/>
                                          <pic:cNvPicPr>
                                            <a:picLocks noChangeAspect="1" noChangeArrowheads="1"/>
                                          </pic:cNvPicPr>
                                        </pic:nvPicPr>
                                        <pic:blipFill>
                                          <a:blip r:embed="rId201"/>
                                          <a:stretch>
                                            <a:fillRect/>
                                          </a:stretch>
                                        </pic:blipFill>
                                        <pic:spPr bwMode="auto">
                                          <a:xfrm>
                                            <a:off x="0" y="0"/>
                                            <a:ext cx="104775" cy="85725"/>
                                          </a:xfrm>
                                          <a:prstGeom prst="rect">
                                            <a:avLst/>
                                          </a:prstGeom>
                                        </pic:spPr>
                                      </pic:pic>
                                    </a:graphicData>
                                  </a:graphic>
                                </wp:inline>
                              </w:drawing>
                            </w:r>
                          </w:p>
                        </w:tc>
                        <w:tc>
                          <w:tcPr>
                            <w:tcW w:w="351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Pay relative to other NEOs at the Company</w:t>
                            </w:r>
                          </w:p>
                        </w:tc>
                      </w:tr>
                    </w:tbl>
                    <w:tbl>
                      <w:tblPr>
                        <w:tblW w:w="9620" w:type="dxa"/>
                        <w:jc w:val="left"/>
                        <w:tblInd w:w="0" w:type="dxa"/>
                        <w:tblCellMar>
                          <w:top w:w="0" w:type="dxa"/>
                          <w:left w:w="0" w:type="dxa"/>
                          <w:bottom w:w="0" w:type="dxa"/>
                          <w:right w:w="0" w:type="dxa"/>
                        </w:tblCellMar>
                      </w:tblPr>
                      <w:tblGrid>
                        <w:gridCol w:w="180"/>
                        <w:gridCol w:w="944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400" name="Image2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Image201" descr=""/>
                                          <pic:cNvPicPr>
                                            <a:picLocks noChangeAspect="1" noChangeArrowheads="1"/>
                                          </pic:cNvPicPr>
                                        </pic:nvPicPr>
                                        <pic:blipFill>
                                          <a:blip r:embed="rId202"/>
                                          <a:stretch>
                                            <a:fillRect/>
                                          </a:stretch>
                                        </pic:blipFill>
                                        <pic:spPr bwMode="auto">
                                          <a:xfrm>
                                            <a:off x="0" y="0"/>
                                            <a:ext cx="104775" cy="85725"/>
                                          </a:xfrm>
                                          <a:prstGeom prst="rect">
                                            <a:avLst/>
                                          </a:prstGeom>
                                        </pic:spPr>
                                      </pic:pic>
                                    </a:graphicData>
                                  </a:graphic>
                                </wp:inline>
                              </w:drawing>
                            </w:r>
                          </w:p>
                        </w:tc>
                        <w:tc>
                          <w:tcPr>
                            <w:tcW w:w="944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individual performance of our executives during the year and the historical performance levels of our executives</w:t>
                            </w:r>
                          </w:p>
                        </w:tc>
                      </w:tr>
                    </w:tbl>
                    <w:tbl>
                      <w:tblPr>
                        <w:tblW w:w="2930" w:type="dxa"/>
                        <w:jc w:val="left"/>
                        <w:tblInd w:w="0" w:type="dxa"/>
                        <w:tblCellMar>
                          <w:top w:w="0" w:type="dxa"/>
                          <w:left w:w="0" w:type="dxa"/>
                          <w:bottom w:w="0" w:type="dxa"/>
                          <w:right w:w="0" w:type="dxa"/>
                        </w:tblCellMar>
                      </w:tblPr>
                      <w:tblGrid>
                        <w:gridCol w:w="180"/>
                        <w:gridCol w:w="275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401" name="Image2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202" descr=""/>
                                          <pic:cNvPicPr>
                                            <a:picLocks noChangeAspect="1" noChangeArrowheads="1"/>
                                          </pic:cNvPicPr>
                                        </pic:nvPicPr>
                                        <pic:blipFill>
                                          <a:blip r:embed="rId203"/>
                                          <a:stretch>
                                            <a:fillRect/>
                                          </a:stretch>
                                        </pic:blipFill>
                                        <pic:spPr bwMode="auto">
                                          <a:xfrm>
                                            <a:off x="0" y="0"/>
                                            <a:ext cx="104775" cy="85725"/>
                                          </a:xfrm>
                                          <a:prstGeom prst="rect">
                                            <a:avLst/>
                                          </a:prstGeom>
                                        </pic:spPr>
                                      </pic:pic>
                                    </a:graphicData>
                                  </a:graphic>
                                </wp:inline>
                              </w:drawing>
                            </w:r>
                          </w:p>
                        </w:tc>
                        <w:tc>
                          <w:tcPr>
                            <w:tcW w:w="27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Our overall financial performance</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Role of Independent Compensation Consultant:</w:t>
                      </w:r>
                      <w:r>
                        <w:rPr>
                          <w:rFonts w:ascii="Arial;Helvetica;Sans-Serif" w:hAnsi="Arial;Helvetica;Sans-Serif"/>
                          <w:b w:val="false"/>
                          <w:i w:val="false"/>
                          <w:caps w:val="false"/>
                          <w:smallCaps w:val="false"/>
                          <w:color w:val="58595B"/>
                          <w:sz w:val="18"/>
                        </w:rPr>
                        <w:t xml:space="preserve"> All services performed by Exequity were conducted under the direction or authority of the compensation committee. The compensation committee has considered the required independence factors outlined by the SEC and NYSE rules in assessing the independence of Exequity. Consideration was also given by the compensation committee under those required independence factors, plus all other relevant factors, to whether the work performed by Exequity could give rise to a potential conflict of interest. Based on this review, the compensation committee did not identify any conflict of interest raised by the work performed by Exequity.</w:t>
                      </w:r>
                    </w:p>
                  </w:txbxContent>
                </v:textbox>
                <w10:wrap type="square" side="left"/>
              </v:rect>
            </w:pict>
          </mc:Fallback>
        </mc:AlternateContent>
      </w:r>
      <w:r>
        <mc:AlternateContent>
          <mc:Choice Requires="wps">
            <w:drawing>
              <wp:anchor behindDoc="0" distT="0" distB="0" distL="0" distR="0" simplePos="0" locked="0" layoutInCell="1" allowOverlap="1" relativeHeight="202">
                <wp:simplePos x="0" y="0"/>
                <wp:positionH relativeFrom="column">
                  <wp:align>left</wp:align>
                </wp:positionH>
                <wp:positionV relativeFrom="line">
                  <wp:posOffset>635</wp:posOffset>
                </wp:positionV>
                <wp:extent cx="3110230" cy="7273290"/>
                <wp:effectExtent l="0" t="0" r="0" b="0"/>
                <wp:wrapSquare wrapText="largest"/>
                <wp:docPr id="402" name="Frame60"/>
                <a:graphic xmlns:a="http://schemas.openxmlformats.org/drawingml/2006/main">
                  <a:graphicData uri="http://schemas.microsoft.com/office/word/2010/wordprocessingShape">
                    <wps:wsp>
                      <wps:cNvSpPr txBox="1"/>
                      <wps:spPr>
                        <a:xfrm>
                          <a:off x="0" y="0"/>
                          <a:ext cx="3110230" cy="7273290"/>
                        </a:xfrm>
                        <a:prstGeom prst="rect"/>
                      </wps:spPr>
                      <wps:txbx>
                        <w:txbxContent>
                          <w:p>
                            <w:pPr>
                              <w:pStyle w:val="TextBody"/>
                              <w:spacing w:before="0" w:after="0"/>
                              <w:rPr>
                                <w:rFonts w:ascii="Arial;Helvetica;Sans-Serif" w:hAnsi="Arial;Helvetica;Sans-Serif"/>
                                <w:b/>
                                <w:i w:val="false"/>
                                <w:caps w:val="false"/>
                                <w:smallCaps w:val="false"/>
                                <w:color w:val="231F20"/>
                                <w:sz w:val="18"/>
                              </w:rPr>
                            </w:pPr>
                            <w:bookmarkStart w:id="107" w:name="a060"/>
                            <w:bookmarkEnd w:id="107"/>
                            <w:r>
                              <w:rPr>
                                <w:rFonts w:ascii="Arial;Helvetica;Sans-Serif" w:hAnsi="Arial;Helvetica;Sans-Serif"/>
                                <w:b/>
                                <w:i w:val="false"/>
                                <w:caps w:val="false"/>
                                <w:smallCaps w:val="false"/>
                                <w:color w:val="231F20"/>
                                <w:sz w:val="18"/>
                              </w:rPr>
                              <w:t>Omission of Certain Goal Levels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believe that disclosure of certain goal levels for our NEOs’ annual cash incentive and equity awards described above would cause us competitive harm. However, we have provided information regarding the payout levels that would be applied based on percentage achievement against the target levels for such goals. In setting the applicable target levels, the compensation committee considered how achievement of the performance goals could be impacted by events expected to occur in the coming years, and how likely it would be for the goals to be achieved. We believe that the below-target goals (where applicable) have been established at levels that should be appropriately difficult to attain, and that the target goals require considerable effort on the part of each NEO to achieve. Achievement of above-target goals (where applicable) is considered to be a “stretch” target given market conditions.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108" w:name="a061"/>
                            <w:bookmarkEnd w:id="108"/>
                            <w:r>
                              <w:rPr>
                                <w:rFonts w:ascii="Arial;Helvetica;Sans-Serif" w:hAnsi="Arial;Helvetica;Sans-Serif"/>
                                <w:b/>
                                <w:i w:val="false"/>
                                <w:caps w:val="false"/>
                                <w:smallCaps w:val="false"/>
                                <w:color w:val="231F20"/>
                                <w:sz w:val="18"/>
                              </w:rPr>
                              <w:t>Other Compensation and Benefits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Employee Benefits. </w:t>
                            </w:r>
                            <w:r>
                              <w:rPr>
                                <w:rFonts w:ascii="Arial;Helvetica;Sans-Serif" w:hAnsi="Arial;Helvetica;Sans-Serif"/>
                                <w:b w:val="false"/>
                                <w:i w:val="false"/>
                                <w:caps w:val="false"/>
                                <w:smallCaps w:val="false"/>
                                <w:color w:val="58595B"/>
                                <w:sz w:val="18"/>
                              </w:rPr>
                              <w:t>All U.S.-based salaried employees including NEOs may participate in a 401(k) plan. Our 401(k) plan provides that we match 25% of an employee’s contribution, up to an employee contribution of 4% of salary. Our NEOs in the U.S. may participate in this 401(k) plan on the same basis as all of our other participating employees. Consistent with local employment practices, our senior executives in Brazil, including Mr. Netto, receive a car allowance on a monthly basis to assist with the cost of transportation. We provide health benefits to all of our eligible employees and pay the premiums for these benefits on behalf of our NEOs. We provide to our NEOs life insurance benefits, long term care insurance and concierge doctor services and also pay these premiums. We do not provide any nonqualified deferred compensation arrangements or defined benefit pension plans to our NEOs.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Employment Agreements and Offer Letters; Severance and Change-in-Control Benefits. </w:t>
                            </w:r>
                            <w:r>
                              <w:rPr>
                                <w:rFonts w:ascii="Arial;Helvetica;Sans-Serif" w:hAnsi="Arial;Helvetica;Sans-Serif"/>
                                <w:b w:val="false"/>
                                <w:i w:val="false"/>
                                <w:caps w:val="false"/>
                                <w:smallCaps w:val="false"/>
                                <w:color w:val="58595B"/>
                                <w:sz w:val="18"/>
                              </w:rPr>
                              <w:t>We entered into an employment agreement with our CEO in 2010. We have also entered into offer letter agreements with each of our other NEOs other than Ms. Vickery. Mr. Clarke’s and the other applicable NEOs’ (except for Mr. Freund’s) agreements provide that in the case of their termination under specific circumstances, they will be entitled to certain severance payments. These agreements are discussed below in “Potential Payments Upon Termination or Change in Control.” We provide severance compensation if certain NEOs are terminated without cause to attract and retain qualified executive talent, and, with respect to post-change in control benefits, to incentivize such NEOs to act in the best interests of our shareholders in the face of a transaction even if they may be terminated as a result.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2.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231F20"/>
                          <w:sz w:val="18"/>
                        </w:rPr>
                      </w:pPr>
                      <w:bookmarkStart w:id="109" w:name="a060"/>
                      <w:bookmarkEnd w:id="109"/>
                      <w:r>
                        <w:rPr>
                          <w:rFonts w:ascii="Arial;Helvetica;Sans-Serif" w:hAnsi="Arial;Helvetica;Sans-Serif"/>
                          <w:b/>
                          <w:i w:val="false"/>
                          <w:caps w:val="false"/>
                          <w:smallCaps w:val="false"/>
                          <w:color w:val="231F20"/>
                          <w:sz w:val="18"/>
                        </w:rPr>
                        <w:t>Omission of Certain Goal Levels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believe that disclosure of certain goal levels for our NEOs’ annual cash incentive and equity awards described above would cause us competitive harm. However, we have provided information regarding the payout levels that would be applied based on percentage achievement against the target levels for such goals. In setting the applicable target levels, the compensation committee considered how achievement of the performance goals could be impacted by events expected to occur in the coming years, and how likely it would be for the goals to be achieved. We believe that the below-target goals (where applicable) have been established at levels that should be appropriately difficult to attain, and that the target goals require considerable effort on the part of each NEO to achieve. Achievement of above-target goals (where applicable) is considered to be a “stretch” target given market conditions.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110" w:name="a061"/>
                      <w:bookmarkEnd w:id="110"/>
                      <w:r>
                        <w:rPr>
                          <w:rFonts w:ascii="Arial;Helvetica;Sans-Serif" w:hAnsi="Arial;Helvetica;Sans-Serif"/>
                          <w:b/>
                          <w:i w:val="false"/>
                          <w:caps w:val="false"/>
                          <w:smallCaps w:val="false"/>
                          <w:color w:val="231F20"/>
                          <w:sz w:val="18"/>
                        </w:rPr>
                        <w:t>Other Compensation and Benefits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Employee Benefits. </w:t>
                      </w:r>
                      <w:r>
                        <w:rPr>
                          <w:rFonts w:ascii="Arial;Helvetica;Sans-Serif" w:hAnsi="Arial;Helvetica;Sans-Serif"/>
                          <w:b w:val="false"/>
                          <w:i w:val="false"/>
                          <w:caps w:val="false"/>
                          <w:smallCaps w:val="false"/>
                          <w:color w:val="58595B"/>
                          <w:sz w:val="18"/>
                        </w:rPr>
                        <w:t>All U.S.-based salaried employees including NEOs may participate in a 401(k) plan. Our 401(k) plan provides that we match 25% of an employee’s contribution, up to an employee contribution of 4% of salary. Our NEOs in the U.S. may participate in this 401(k) plan on the same basis as all of our other participating employees. Consistent with local employment practices, our senior executives in Brazil, including Mr. Netto, receive a car allowance on a monthly basis to assist with the cost of transportation. We provide health benefits to all of our eligible employees and pay the premiums for these benefits on behalf of our NEOs. We provide to our NEOs life insurance benefits, long term care insurance and concierge doctor services and also pay these premiums. We do not provide any nonqualified deferred compensation arrangements or defined benefit pension plans to our NEOs.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Employment Agreements and Offer Letters; Severance and Change-in-Control Benefits. </w:t>
                      </w:r>
                      <w:r>
                        <w:rPr>
                          <w:rFonts w:ascii="Arial;Helvetica;Sans-Serif" w:hAnsi="Arial;Helvetica;Sans-Serif"/>
                          <w:b w:val="false"/>
                          <w:i w:val="false"/>
                          <w:caps w:val="false"/>
                          <w:smallCaps w:val="false"/>
                          <w:color w:val="58595B"/>
                          <w:sz w:val="18"/>
                        </w:rPr>
                        <w:t>We entered into an employment agreement with our CEO in 2010. We have also entered into offer letter agreements with each of our other NEOs other than Ms. Vickery. Mr. Clarke’s and the other applicable NEOs’ (except for Mr. Freund’s) agreements provide that in the case of their termination under specific circumstances, they will be entitled to certain severance payments. These agreements are discussed below in “Potential Payments Upon Termination or Change in Control.” We provide severance compensation if certain NEOs are terminated without cause to attract and retain qualified executive talent, and, with respect to post-change in control benefits, to incentivize such NEOs to act in the best interests of our shareholders in the face of a transaction even if they may be terminated as a result.</w:t>
                      </w:r>
                    </w:p>
                  </w:txbxContent>
                </v:textbox>
                <w10:wrap type="square" side="right"/>
              </v:rect>
            </w:pict>
          </mc:Fallback>
        </mc:AlternateConten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41</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color w:val="58595B"/>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203">
                <wp:simplePos x="0" y="0"/>
                <wp:positionH relativeFrom="column">
                  <wp:align>left</wp:align>
                </wp:positionH>
                <wp:positionV relativeFrom="line">
                  <wp:posOffset>635</wp:posOffset>
                </wp:positionV>
                <wp:extent cx="3110230" cy="6396990"/>
                <wp:effectExtent l="0" t="0" r="0" b="0"/>
                <wp:wrapSquare wrapText="largest"/>
                <wp:docPr id="403" name="Frame62"/>
                <a:graphic xmlns:a="http://schemas.openxmlformats.org/drawingml/2006/main">
                  <a:graphicData uri="http://schemas.microsoft.com/office/word/2010/wordprocessingShape">
                    <wps:wsp>
                      <wps:cNvSpPr txBox="1"/>
                      <wps:spPr>
                        <a:xfrm>
                          <a:off x="0" y="0"/>
                          <a:ext cx="3110230" cy="639699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Role of Management: </w:t>
                            </w:r>
                            <w:r>
                              <w:rPr>
                                <w:rFonts w:ascii="Arial;Helvetica;Sans-Serif" w:hAnsi="Arial;Helvetica;Sans-Serif"/>
                                <w:b w:val="false"/>
                                <w:i w:val="false"/>
                                <w:caps w:val="false"/>
                                <w:smallCaps w:val="false"/>
                                <w:color w:val="58595B"/>
                                <w:sz w:val="18"/>
                              </w:rPr>
                              <w:t>Our CEO provides substantial input to the compensation committee in reviewing the performance of the other executive officers and making compensation recommendations for executive officers who report directly to him.</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CEO does not participate in determining the amount of his own compensation. Decisions regarding the compensation of our CEO are made by the compensation committee.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18"/>
                              </w:rPr>
                            </w:pPr>
                            <w:bookmarkStart w:id="111" w:name="a063"/>
                            <w:bookmarkEnd w:id="111"/>
                            <w:r>
                              <w:rPr>
                                <w:rFonts w:ascii="Arial;Helvetica;Sans-Serif" w:hAnsi="Arial;Helvetica;Sans-Serif"/>
                                <w:b/>
                                <w:i w:val="false"/>
                                <w:caps w:val="false"/>
                                <w:smallCaps w:val="false"/>
                                <w:color w:val="EE0027"/>
                                <w:sz w:val="18"/>
                              </w:rPr>
                              <w:t>Compensation Peer Group</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considered the compensation levels, programs and practices of industry peer companies to assist us in setting compensation for our NEOs by considering market competitiveness and the goal of motivating our executives to appropriately drive corporate performance. The compensation committee periodically reviews and updates the list of companies comprising the peer group to provide an appropriate marketplace focus.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last modified the peer group for purposes of 2021 compensation decisions, as disclosed in our 2022 proxy statement. The compensation committee evaluates multiple criteria in determining the appropriate peer group, including industry, revenue, market capitalization, competitors to our various lines of business, business models and profitability. The compensation committee determined that it was appropriate to continue to use the same peer group for purposes of 2022 compensation decisions for our NEOs.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referred to the 2022 Industry Peer Group (as defined below) in setting compensation for 2022 for our NEOs. Generally, the compensation committee references cash-based compensation at or below market levels and equity-based compensation (based on target levels) at or above market levels, resulting in total target compensation at or above the peer median for our CEO and generally below the peer median for our other NEOs. Although the compensation committee includes this market data and its general understanding of current compensation practices in the market in the overall mix of factors it considers in assessing NEO compensation, it does not target a mathematically precise market position for total compensation or any individual element of</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03.7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Role of Management: </w:t>
                      </w:r>
                      <w:r>
                        <w:rPr>
                          <w:rFonts w:ascii="Arial;Helvetica;Sans-Serif" w:hAnsi="Arial;Helvetica;Sans-Serif"/>
                          <w:b w:val="false"/>
                          <w:i w:val="false"/>
                          <w:caps w:val="false"/>
                          <w:smallCaps w:val="false"/>
                          <w:color w:val="58595B"/>
                          <w:sz w:val="18"/>
                        </w:rPr>
                        <w:t>Our CEO provides substantial input to the compensation committee in reviewing the performance of the other executive officers and making compensation recommendations for executive officers who report directly to him.</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CEO does not participate in determining the amount of his own compensation. Decisions regarding the compensation of our CEO are made by the compensation committee.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18"/>
                        </w:rPr>
                      </w:pPr>
                      <w:bookmarkStart w:id="112" w:name="a063"/>
                      <w:bookmarkEnd w:id="112"/>
                      <w:r>
                        <w:rPr>
                          <w:rFonts w:ascii="Arial;Helvetica;Sans-Serif" w:hAnsi="Arial;Helvetica;Sans-Serif"/>
                          <w:b/>
                          <w:i w:val="false"/>
                          <w:caps w:val="false"/>
                          <w:smallCaps w:val="false"/>
                          <w:color w:val="EE0027"/>
                          <w:sz w:val="18"/>
                        </w:rPr>
                        <w:t>Compensation Peer Group</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considered the compensation levels, programs and practices of industry peer companies to assist us in setting compensation for our NEOs by considering market competitiveness and the goal of motivating our executives to appropriately drive corporate performance. The compensation committee periodically reviews and updates the list of companies comprising the peer group to provide an appropriate marketplace focus.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last modified the peer group for purposes of 2021 compensation decisions, as disclosed in our 2022 proxy statement. The compensation committee evaluates multiple criteria in determining the appropriate peer group, including industry, revenue, market capitalization, competitors to our various lines of business, business models and profitability. The compensation committee determined that it was appropriate to continue to use the same peer group for purposes of 2022 compensation decisions for our NEOs.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compensation committee referred to the 2022 Industry Peer Group (as defined below) in setting compensation for 2022 for our NEOs. Generally, the compensation committee references cash-based compensation at or below market levels and equity-based compensation (based on target levels) at or above market levels, resulting in total target compensation at or above the peer median for our CEO and generally below the peer median for our other NEOs. Although the compensation committee includes this market data and its general understanding of current compensation practices in the market in the overall mix of factors it considers in assessing NEO compensation, it does not target a mathematically precise market position for total compensation or any individual element of</w:t>
                      </w:r>
                    </w:p>
                  </w:txbxContent>
                </v:textbox>
                <w10:wrap type="square" side="right"/>
              </v:rect>
            </w:pict>
          </mc:Fallback>
        </mc:AlternateContent>
      </w:r>
      <w:r>
        <mc:AlternateContent>
          <mc:Choice Requires="wps">
            <w:drawing>
              <wp:anchor behindDoc="0" distT="0" distB="0" distL="0" distR="0" simplePos="0" locked="0" layoutInCell="1" allowOverlap="1" relativeHeight="204">
                <wp:simplePos x="0" y="0"/>
                <wp:positionH relativeFrom="column">
                  <wp:align>right</wp:align>
                </wp:positionH>
                <wp:positionV relativeFrom="line">
                  <wp:posOffset>635</wp:posOffset>
                </wp:positionV>
                <wp:extent cx="3110230" cy="8190230"/>
                <wp:effectExtent l="0" t="0" r="0" b="0"/>
                <wp:wrapSquare wrapText="largest"/>
                <wp:docPr id="404" name="Frame63"/>
                <a:graphic xmlns:a="http://schemas.openxmlformats.org/drawingml/2006/main">
                  <a:graphicData uri="http://schemas.microsoft.com/office/word/2010/wordprocessingShape">
                    <wps:wsp>
                      <wps:cNvSpPr txBox="1"/>
                      <wps:spPr>
                        <a:xfrm>
                          <a:off x="0" y="0"/>
                          <a:ext cx="3110230" cy="819023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compensation. Comparisons to the peer group for purposes of this Proxy Statement are based on an adjustment of the peer group compensation data by the Company to account for the passage of time.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peer group used for purposes of 2022 compensation decisions (the “2022 Industry Peer Group”) is illustrated in the following table:</w:t>
                            </w:r>
                          </w:p>
                          <w:p>
                            <w:pPr>
                              <w:pStyle w:val="TextBody"/>
                              <w:spacing w:before="0" w:after="0"/>
                              <w:ind w:left="191" w:right="0" w:hanging="0"/>
                              <w:rPr>
                                <w:caps w:val="false"/>
                                <w:smallCaps w:val="false"/>
                                <w:color w:val="58595B"/>
                              </w:rPr>
                            </w:pPr>
                            <w:r>
                              <w:rPr>
                                <w:caps w:val="false"/>
                                <w:smallCaps w:val="false"/>
                                <w:color w:val="58595B"/>
                              </w:rPr>
                              <w:t> </w:t>
                            </w:r>
                          </w:p>
                          <w:tbl>
                            <w:tblPr>
                              <w:tblW w:w="3610" w:type="dxa"/>
                              <w:jc w:val="left"/>
                              <w:tblInd w:w="0" w:type="dxa"/>
                              <w:tblCellMar>
                                <w:top w:w="0" w:type="dxa"/>
                                <w:left w:w="0" w:type="dxa"/>
                                <w:bottom w:w="0" w:type="dxa"/>
                                <w:right w:w="0" w:type="dxa"/>
                              </w:tblCellMar>
                            </w:tblPr>
                            <w:tblGrid>
                              <w:gridCol w:w="3440"/>
                              <w:gridCol w:w="170"/>
                            </w:tblGrid>
                            <w:tr>
                              <w:trPr/>
                              <w:tc>
                                <w:tcPr>
                                  <w:tcW w:w="3440" w:type="dxa"/>
                                  <w:tcBorders/>
                                  <w:shd w:fill="EE0027" w:val="clear"/>
                                  <w:vAlign w:val="center"/>
                                </w:tcPr>
                                <w:p>
                                  <w:pPr>
                                    <w:pStyle w:val="TableContents"/>
                                    <w:spacing w:before="0" w:after="283"/>
                                    <w:rPr>
                                      <w:rFonts w:ascii="Arial;Helvetica;Sans-Serif" w:hAnsi="Arial;Helvetica;Sans-Serif"/>
                                      <w:b/>
                                      <w:color w:val="FFFFFF"/>
                                      <w:sz w:val="18"/>
                                    </w:rPr>
                                  </w:pPr>
                                  <w:r>
                                    <w:rPr>
                                      <w:rFonts w:ascii="Arial;Helvetica;Sans-Serif" w:hAnsi="Arial;Helvetica;Sans-Serif"/>
                                      <w:b/>
                                      <w:color w:val="FFFFFF"/>
                                      <w:sz w:val="18"/>
                                    </w:rPr>
                                    <w:t>2022 Industry Peer Group</w:t>
                                  </w:r>
                                </w:p>
                              </w:tc>
                              <w:tc>
                                <w:tcPr>
                                  <w:tcW w:w="170" w:type="dxa"/>
                                  <w:tcBorders/>
                                  <w:shd w:fill="EE0027"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Alliance Data Systems Corporation</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Automatic Data Processing,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Black Knight,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Broadridge Financial Solutions,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Ceridian HCM Holding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Equifax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Euronet Worldwide,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Fair Isaac Corporation</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Fidelity National Information Services,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Fiserv,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Global Payments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Intuit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Jack Henry &amp; Associates,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Mastercard Incorporated</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Paychex,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Paycom Software,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SS&amp;C Technologies Holdings,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Wex, Inc.</w:t>
                                  </w:r>
                                </w:p>
                              </w:tc>
                              <w:tc>
                                <w:tcPr>
                                  <w:tcW w:w="170" w:type="dxa"/>
                                  <w:tcBorders/>
                                  <w:shd w:fill="DCDDDE" w:val="clear"/>
                                  <w:vAlign w:val="center"/>
                                </w:tcPr>
                                <w:p>
                                  <w:pPr>
                                    <w:pStyle w:val="TableContents"/>
                                    <w:spacing w:before="0" w:after="283"/>
                                    <w:rPr>
                                      <w:color w:val="58595B"/>
                                    </w:rPr>
                                  </w:pPr>
                                  <w:r>
                                    <w:rPr>
                                      <w:color w:val="58595B"/>
                                    </w:rPr>
                                    <w:t>√</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44.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compensation. Comparisons to the peer group for purposes of this Proxy Statement are based on an adjustment of the peer group compensation data by the Company to account for the passage of time.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peer group used for purposes of 2022 compensation decisions (the “2022 Industry Peer Group”) is illustrated in the following table:</w:t>
                      </w:r>
                    </w:p>
                    <w:p>
                      <w:pPr>
                        <w:pStyle w:val="TextBody"/>
                        <w:spacing w:before="0" w:after="0"/>
                        <w:ind w:left="191" w:right="0" w:hanging="0"/>
                        <w:rPr>
                          <w:caps w:val="false"/>
                          <w:smallCaps w:val="false"/>
                          <w:color w:val="58595B"/>
                        </w:rPr>
                      </w:pPr>
                      <w:r>
                        <w:rPr>
                          <w:caps w:val="false"/>
                          <w:smallCaps w:val="false"/>
                          <w:color w:val="58595B"/>
                        </w:rPr>
                        <w:t> </w:t>
                      </w:r>
                    </w:p>
                    <w:tbl>
                      <w:tblPr>
                        <w:tblW w:w="3610" w:type="dxa"/>
                        <w:jc w:val="left"/>
                        <w:tblInd w:w="0" w:type="dxa"/>
                        <w:tblCellMar>
                          <w:top w:w="0" w:type="dxa"/>
                          <w:left w:w="0" w:type="dxa"/>
                          <w:bottom w:w="0" w:type="dxa"/>
                          <w:right w:w="0" w:type="dxa"/>
                        </w:tblCellMar>
                      </w:tblPr>
                      <w:tblGrid>
                        <w:gridCol w:w="3440"/>
                        <w:gridCol w:w="170"/>
                      </w:tblGrid>
                      <w:tr>
                        <w:trPr/>
                        <w:tc>
                          <w:tcPr>
                            <w:tcW w:w="3440" w:type="dxa"/>
                            <w:tcBorders/>
                            <w:shd w:fill="EE0027" w:val="clear"/>
                            <w:vAlign w:val="center"/>
                          </w:tcPr>
                          <w:p>
                            <w:pPr>
                              <w:pStyle w:val="TableContents"/>
                              <w:spacing w:before="0" w:after="283"/>
                              <w:rPr>
                                <w:rFonts w:ascii="Arial;Helvetica;Sans-Serif" w:hAnsi="Arial;Helvetica;Sans-Serif"/>
                                <w:b/>
                                <w:color w:val="FFFFFF"/>
                                <w:sz w:val="18"/>
                              </w:rPr>
                            </w:pPr>
                            <w:r>
                              <w:rPr>
                                <w:rFonts w:ascii="Arial;Helvetica;Sans-Serif" w:hAnsi="Arial;Helvetica;Sans-Serif"/>
                                <w:b/>
                                <w:color w:val="FFFFFF"/>
                                <w:sz w:val="18"/>
                              </w:rPr>
                              <w:t>2022 Industry Peer Group</w:t>
                            </w:r>
                          </w:p>
                        </w:tc>
                        <w:tc>
                          <w:tcPr>
                            <w:tcW w:w="170" w:type="dxa"/>
                            <w:tcBorders/>
                            <w:shd w:fill="EE0027" w:val="clear"/>
                            <w:vAlign w:val="center"/>
                          </w:tcPr>
                          <w:p>
                            <w:pPr>
                              <w:pStyle w:val="TableContents"/>
                              <w:spacing w:before="0" w:after="283"/>
                              <w:rPr/>
                            </w:pPr>
                            <w:r>
                              <w:rPr/>
                              <w:t> </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Alliance Data Systems Corporation</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Automatic Data Processing,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Black Knight,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Broadridge Financial Solutions,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Ceridian HCM Holding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Equifax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Euronet Worldwide,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Fair Isaac Corporation</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Fidelity National Information Services,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Fiserv,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Global Payments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Intuit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Jack Henry &amp; Associates,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Mastercard Incorporated</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Paychex,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Paycom Software, Inc.</w:t>
                            </w:r>
                          </w:p>
                        </w:tc>
                        <w:tc>
                          <w:tcPr>
                            <w:tcW w:w="170" w:type="dxa"/>
                            <w:tcBorders/>
                            <w:shd w:fill="DCDDDE" w:val="clear"/>
                            <w:vAlign w:val="center"/>
                          </w:tcPr>
                          <w:p>
                            <w:pPr>
                              <w:pStyle w:val="TableContents"/>
                              <w:spacing w:before="0" w:after="283"/>
                              <w:rPr>
                                <w:color w:val="58595B"/>
                              </w:rPr>
                            </w:pPr>
                            <w:r>
                              <w:rPr>
                                <w:color w:val="58595B"/>
                              </w:rPr>
                              <w:t>√</w:t>
                            </w:r>
                          </w:p>
                        </w:tc>
                      </w:tr>
                      <w:tr>
                        <w:trPr/>
                        <w:tc>
                          <w:tcPr>
                            <w:tcW w:w="3440"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SS&amp;C Technologies Holdings, Inc.</w:t>
                            </w:r>
                          </w:p>
                        </w:tc>
                        <w:tc>
                          <w:tcPr>
                            <w:tcW w:w="170" w:type="dxa"/>
                            <w:tcBorders/>
                            <w:shd w:fill="auto" w:val="clear"/>
                            <w:vAlign w:val="center"/>
                          </w:tcPr>
                          <w:p>
                            <w:pPr>
                              <w:pStyle w:val="TableContents"/>
                              <w:spacing w:before="0" w:after="283"/>
                              <w:rPr>
                                <w:color w:val="58595B"/>
                              </w:rPr>
                            </w:pPr>
                            <w:r>
                              <w:rPr>
                                <w:color w:val="58595B"/>
                              </w:rPr>
                              <w:t>√</w:t>
                            </w:r>
                          </w:p>
                        </w:tc>
                      </w:tr>
                      <w:tr>
                        <w:trPr/>
                        <w:tc>
                          <w:tcPr>
                            <w:tcW w:w="3440" w:type="dxa"/>
                            <w:tcBorders/>
                            <w:shd w:fill="DCDDDE"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Wex, Inc.</w:t>
                            </w:r>
                          </w:p>
                        </w:tc>
                        <w:tc>
                          <w:tcPr>
                            <w:tcW w:w="170" w:type="dxa"/>
                            <w:tcBorders/>
                            <w:shd w:fill="DCDDDE" w:val="clear"/>
                            <w:vAlign w:val="center"/>
                          </w:tcPr>
                          <w:p>
                            <w:pPr>
                              <w:pStyle w:val="TableContents"/>
                              <w:spacing w:before="0" w:after="283"/>
                              <w:rPr>
                                <w:color w:val="58595B"/>
                              </w:rPr>
                            </w:pPr>
                            <w:r>
                              <w:rPr>
                                <w:color w:val="58595B"/>
                              </w:rPr>
                              <w:t>√</w:t>
                            </w:r>
                          </w:p>
                        </w:tc>
                      </w:tr>
                    </w:tbl>
                    <w:p>
                      <w:pPr>
                        <w:pStyle w:val="TextBody"/>
                        <w:spacing w:before="0" w:after="283"/>
                        <w:rPr/>
                      </w:pPr>
                      <w:r>
                        <w:rPr/>
                      </w:r>
                    </w:p>
                  </w:txbxContent>
                </v:textbox>
                <w10:wrap type="square" side="left"/>
              </v:rect>
            </w:pict>
          </mc:Fallback>
        </mc:AlternateConten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42</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color w:val="EE0027"/>
          <w:sz w:val="20"/>
        </w:rPr>
      </w:pPr>
      <w:r>
        <w:rPr>
          <w:rFonts w:ascii="Arial;Helvetica;Sans-Serif" w:hAnsi="Arial;Helvetica;Sans-Serif"/>
          <w:b/>
          <w:i w:val="false"/>
          <w:caps w:val="false"/>
          <w:smallCaps w:val="false"/>
          <w:color w:val="231F20"/>
          <w:sz w:val="20"/>
        </w:rPr>
        <w:t xml:space="preserve">05. </w:t>
      </w:r>
      <w:r>
        <w:rPr>
          <w:rFonts w:ascii="Arial;Helvetica;Sans-Serif" w:hAnsi="Arial;Helvetica;Sans-Serif"/>
          <w:b w:val="false"/>
          <w:i w:val="false"/>
          <w:caps w:val="false"/>
          <w:smallCaps w:val="false"/>
          <w:color w:val="EE0027"/>
          <w:sz w:val="20"/>
        </w:rPr>
        <w:t>COMPENSATION DISCUSSION AND ANALYSIS</w:t>
      </w:r>
    </w:p>
    <w:p>
      <w:pPr>
        <w:pStyle w:val="TextBody"/>
        <w:spacing w:before="0" w:after="0"/>
        <w:rPr>
          <w:caps w:val="false"/>
          <w:smallCaps w:val="false"/>
          <w:color w:val="EE0027"/>
        </w:rPr>
      </w:pPr>
      <w:r>
        <w:rPr>
          <w:caps w:val="false"/>
          <w:smallCaps w:val="false"/>
          <w:color w:val="EE0027"/>
        </w:rPr>
        <w:t> </w:t>
      </w:r>
    </w:p>
    <w:p>
      <w:pPr>
        <w:pStyle w:val="TextBody"/>
        <w:rPr/>
      </w:pPr>
      <w:r>
        <w:rPr/>
      </w:r>
      <w:r>
        <mc:AlternateContent>
          <mc:Choice Requires="wps">
            <w:drawing>
              <wp:anchor behindDoc="0" distT="0" distB="0" distL="0" distR="0" simplePos="0" locked="0" layoutInCell="1" allowOverlap="1" relativeHeight="69">
                <wp:simplePos x="0" y="0"/>
                <wp:positionH relativeFrom="column">
                  <wp:align>left</wp:align>
                </wp:positionH>
                <wp:positionV relativeFrom="line">
                  <wp:posOffset>635</wp:posOffset>
                </wp:positionV>
                <wp:extent cx="3110230" cy="7359650"/>
                <wp:effectExtent l="0" t="0" r="0" b="0"/>
                <wp:wrapSquare wrapText="largest"/>
                <wp:docPr id="405" name="Frame64"/>
                <a:graphic xmlns:a="http://schemas.openxmlformats.org/drawingml/2006/main">
                  <a:graphicData uri="http://schemas.microsoft.com/office/word/2010/wordprocessingShape">
                    <wps:wsp>
                      <wps:cNvSpPr txBox="1"/>
                      <wps:spPr>
                        <a:xfrm>
                          <a:off x="0" y="0"/>
                          <a:ext cx="3110230" cy="7359650"/>
                        </a:xfrm>
                        <a:prstGeom prst="rect"/>
                      </wps:spPr>
                      <wps:txbx>
                        <w:txbxContent>
                          <w:p>
                            <w:pPr>
                              <w:pStyle w:val="TextBody"/>
                              <w:spacing w:before="0" w:after="0"/>
                              <w:rPr>
                                <w:rFonts w:ascii="Arial;Helvetica;Sans-Serif" w:hAnsi="Arial;Helvetica;Sans-Serif"/>
                                <w:b/>
                                <w:i w:val="false"/>
                                <w:caps w:val="false"/>
                                <w:smallCaps w:val="false"/>
                                <w:color w:val="EE0027"/>
                                <w:sz w:val="20"/>
                              </w:rPr>
                            </w:pPr>
                            <w:bookmarkStart w:id="113" w:name="a064"/>
                            <w:bookmarkEnd w:id="113"/>
                            <w:r>
                              <w:rPr>
                                <w:rFonts w:ascii="Arial;Helvetica;Sans-Serif" w:hAnsi="Arial;Helvetica;Sans-Serif"/>
                                <w:b/>
                                <w:i w:val="false"/>
                                <w:caps w:val="false"/>
                                <w:smallCaps w:val="false"/>
                                <w:color w:val="EE0027"/>
                                <w:sz w:val="20"/>
                              </w:rPr>
                              <w:t>Information on Other Compensation-Related Topics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Stock Ownership Policy. </w:t>
                            </w:r>
                            <w:r>
                              <w:rPr>
                                <w:rFonts w:ascii="Arial;Helvetica;Sans-Serif" w:hAnsi="Arial;Helvetica;Sans-Serif"/>
                                <w:b w:val="false"/>
                                <w:i w:val="false"/>
                                <w:caps w:val="false"/>
                                <w:smallCaps w:val="false"/>
                                <w:color w:val="58595B"/>
                                <w:sz w:val="18"/>
                              </w:rPr>
                              <w:t>Our continuing executive officers (other than Ms. Vickery) are subject to stock ownership requirements (expressed as a multiple of base salary). In response to input in our shareholder outreach process, we increased the stock ownership guideline requirements in 2019 to the following levels (which must be obtained within five years):</w:t>
                            </w:r>
                          </w:p>
                          <w:p>
                            <w:pPr>
                              <w:pStyle w:val="TextBody"/>
                              <w:spacing w:before="0" w:after="0"/>
                              <w:rPr>
                                <w:caps w:val="false"/>
                                <w:smallCaps w:val="false"/>
                                <w:color w:val="58595B"/>
                              </w:rPr>
                            </w:pPr>
                            <w:r>
                              <w:rPr>
                                <w:caps w:val="false"/>
                                <w:smallCaps w:val="false"/>
                                <w:color w:val="58595B"/>
                              </w:rPr>
                              <w:t> </w:t>
                            </w:r>
                          </w:p>
                          <w:tbl>
                            <w:tblPr>
                              <w:tblW w:w="2450" w:type="dxa"/>
                              <w:jc w:val="left"/>
                              <w:tblInd w:w="0" w:type="dxa"/>
                              <w:tblCellMar>
                                <w:top w:w="0" w:type="dxa"/>
                                <w:left w:w="0" w:type="dxa"/>
                                <w:bottom w:w="0" w:type="dxa"/>
                                <w:right w:w="0" w:type="dxa"/>
                              </w:tblCellMar>
                            </w:tblPr>
                            <w:tblGrid>
                              <w:gridCol w:w="180"/>
                              <w:gridCol w:w="227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406"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 name="Image203" descr=""/>
                                                <pic:cNvPicPr>
                                                  <a:picLocks noChangeAspect="1" noChangeArrowheads="1"/>
                                                </pic:cNvPicPr>
                                              </pic:nvPicPr>
                                              <pic:blipFill>
                                                <a:blip r:embed="rId204"/>
                                                <a:stretch>
                                                  <a:fillRect/>
                                                </a:stretch>
                                              </pic:blipFill>
                                              <pic:spPr bwMode="auto">
                                                <a:xfrm>
                                                  <a:off x="0" y="0"/>
                                                  <a:ext cx="104775" cy="85725"/>
                                                </a:xfrm>
                                                <a:prstGeom prst="rect">
                                                  <a:avLst/>
                                                </a:prstGeom>
                                              </pic:spPr>
                                            </pic:pic>
                                          </a:graphicData>
                                        </a:graphic>
                                      </wp:inline>
                                    </w:drawing>
                                  </w:r>
                                </w:p>
                              </w:tc>
                              <w:tc>
                                <w:tcPr>
                                  <w:tcW w:w="2270"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Chief Executive Officer 6x</w:t>
                                  </w:r>
                                </w:p>
                              </w:tc>
                            </w:tr>
                          </w:tbl>
                          <w:tbl>
                            <w:tblPr>
                              <w:tblW w:w="2360" w:type="dxa"/>
                              <w:jc w:val="left"/>
                              <w:tblInd w:w="0" w:type="dxa"/>
                              <w:tblCellMar>
                                <w:top w:w="0" w:type="dxa"/>
                                <w:left w:w="0" w:type="dxa"/>
                                <w:bottom w:w="0" w:type="dxa"/>
                                <w:right w:w="0" w:type="dxa"/>
                              </w:tblCellMar>
                            </w:tblPr>
                            <w:tblGrid>
                              <w:gridCol w:w="180"/>
                              <w:gridCol w:w="218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407"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 name="Image204" descr=""/>
                                                <pic:cNvPicPr>
                                                  <a:picLocks noChangeAspect="1" noChangeArrowheads="1"/>
                                                </pic:cNvPicPr>
                                              </pic:nvPicPr>
                                              <pic:blipFill>
                                                <a:blip r:embed="rId205"/>
                                                <a:stretch>
                                                  <a:fillRect/>
                                                </a:stretch>
                                              </pic:blipFill>
                                              <pic:spPr bwMode="auto">
                                                <a:xfrm>
                                                  <a:off x="0" y="0"/>
                                                  <a:ext cx="104775" cy="85725"/>
                                                </a:xfrm>
                                                <a:prstGeom prst="rect">
                                                  <a:avLst/>
                                                </a:prstGeom>
                                              </pic:spPr>
                                            </pic:pic>
                                          </a:graphicData>
                                        </a:graphic>
                                      </wp:inline>
                                    </w:drawing>
                                  </w:r>
                                </w:p>
                              </w:tc>
                              <w:tc>
                                <w:tcPr>
                                  <w:tcW w:w="2180"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Chief Financial Officer 4x</w:t>
                                  </w:r>
                                </w:p>
                              </w:tc>
                            </w:tr>
                          </w:tbl>
                          <w:tbl>
                            <w:tblPr>
                              <w:tblW w:w="2855" w:type="dxa"/>
                              <w:jc w:val="left"/>
                              <w:tblInd w:w="0" w:type="dxa"/>
                              <w:tblCellMar>
                                <w:top w:w="0" w:type="dxa"/>
                                <w:left w:w="0" w:type="dxa"/>
                                <w:bottom w:w="0" w:type="dxa"/>
                                <w:right w:w="0" w:type="dxa"/>
                              </w:tblCellMar>
                            </w:tblPr>
                            <w:tblGrid>
                              <w:gridCol w:w="180"/>
                              <w:gridCol w:w="267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408"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 name="Image205" descr=""/>
                                                <pic:cNvPicPr>
                                                  <a:picLocks noChangeAspect="1" noChangeArrowheads="1"/>
                                                </pic:cNvPicPr>
                                              </pic:nvPicPr>
                                              <pic:blipFill>
                                                <a:blip r:embed="rId206"/>
                                                <a:stretch>
                                                  <a:fillRect/>
                                                </a:stretch>
                                              </pic:blipFill>
                                              <pic:spPr bwMode="auto">
                                                <a:xfrm>
                                                  <a:off x="0" y="0"/>
                                                  <a:ext cx="104775" cy="85725"/>
                                                </a:xfrm>
                                                <a:prstGeom prst="rect">
                                                  <a:avLst/>
                                                </a:prstGeom>
                                              </pic:spPr>
                                            </pic:pic>
                                          </a:graphicData>
                                        </a:graphic>
                                      </wp:inline>
                                    </w:drawing>
                                  </w:r>
                                </w:p>
                              </w:tc>
                              <w:tc>
                                <w:tcPr>
                                  <w:tcW w:w="2675"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All Other Executive Officers 3x</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Ms. Vickery, who is currently serving as our interim Chief Financial Officer and was not previously an executive officer, is not subject to the stock ownership requirements. Currently, all of our other continuing NEOs are in compliance with this policy or (in our view) are on track to meet the required ownership level within the applicable time period.</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Insider Trading Policy.</w:t>
                            </w:r>
                            <w:r>
                              <w:rPr>
                                <w:rFonts w:ascii="Arial;Helvetica;Sans-Serif" w:hAnsi="Arial;Helvetica;Sans-Serif"/>
                                <w:b w:val="false"/>
                                <w:i w:val="false"/>
                                <w:caps w:val="false"/>
                                <w:smallCaps w:val="false"/>
                                <w:color w:val="58595B"/>
                                <w:sz w:val="18"/>
                              </w:rPr>
                              <w:t xml:space="preserve"> The Company maintains an insider trading policy applicable to all directors and employees. The policy provides that Company personnel may not buy, sell or engage in other transactions in the Company’s stock while in possession of material non-public information, buy or sell securities of other companies while in possession of material non-public information about those companies they become aware of as a result of business dealings between the Company and those companies, or disclose material non-public information to any unauthorized persons outside of the Company. The policy also restricts trading for a limited group of Company employees (including all directors and NEOs) to defined window periods which align with our quarterly earnings releases.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Anti-Hedging and Pledging Policy. </w:t>
                            </w:r>
                            <w:r>
                              <w:rPr>
                                <w:rFonts w:ascii="Arial;Helvetica;Sans-Serif" w:hAnsi="Arial;Helvetica;Sans-Serif"/>
                                <w:b w:val="false"/>
                                <w:i w:val="false"/>
                                <w:caps w:val="false"/>
                                <w:smallCaps w:val="false"/>
                                <w:color w:val="58595B"/>
                                <w:sz w:val="18"/>
                              </w:rPr>
                              <w:t>Derivative securities are securities, contracts or arrangements the value of which varies in relation to the price of our securities. For example, derivative securities would include exchange-traded put or call options, as well as individually arranged derivative transactions, such as prepaid forwards. Many forms of derivatives are speculative in nature (meaning that their value fluctuates based on short-term changes in the price of our shares), and the purchase or sale of such derivatives by our employees could motivate them to take actions that are in conflict with the long-term interests of other shareholders and could also cause the appearance of misuse of inside information.</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Arial;Helvetica;Sans-Serif" w:hAnsi="Arial;Helvetica;Sans-Serif"/>
                          <w:b/>
                          <w:i w:val="false"/>
                          <w:caps w:val="false"/>
                          <w:smallCaps w:val="false"/>
                          <w:color w:val="EE0027"/>
                          <w:sz w:val="20"/>
                        </w:rPr>
                      </w:pPr>
                      <w:bookmarkStart w:id="114" w:name="a064"/>
                      <w:bookmarkEnd w:id="114"/>
                      <w:r>
                        <w:rPr>
                          <w:rFonts w:ascii="Arial;Helvetica;Sans-Serif" w:hAnsi="Arial;Helvetica;Sans-Serif"/>
                          <w:b/>
                          <w:i w:val="false"/>
                          <w:caps w:val="false"/>
                          <w:smallCaps w:val="false"/>
                          <w:color w:val="EE0027"/>
                          <w:sz w:val="20"/>
                        </w:rPr>
                        <w:t>Information on Other Compensation-Related Topics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Stock Ownership Policy. </w:t>
                      </w:r>
                      <w:r>
                        <w:rPr>
                          <w:rFonts w:ascii="Arial;Helvetica;Sans-Serif" w:hAnsi="Arial;Helvetica;Sans-Serif"/>
                          <w:b w:val="false"/>
                          <w:i w:val="false"/>
                          <w:caps w:val="false"/>
                          <w:smallCaps w:val="false"/>
                          <w:color w:val="58595B"/>
                          <w:sz w:val="18"/>
                        </w:rPr>
                        <w:t>Our continuing executive officers (other than Ms. Vickery) are subject to stock ownership requirements (expressed as a multiple of base salary). In response to input in our shareholder outreach process, we increased the stock ownership guideline requirements in 2019 to the following levels (which must be obtained within five years):</w:t>
                      </w:r>
                    </w:p>
                    <w:p>
                      <w:pPr>
                        <w:pStyle w:val="TextBody"/>
                        <w:spacing w:before="0" w:after="0"/>
                        <w:rPr>
                          <w:caps w:val="false"/>
                          <w:smallCaps w:val="false"/>
                          <w:color w:val="58595B"/>
                        </w:rPr>
                      </w:pPr>
                      <w:r>
                        <w:rPr>
                          <w:caps w:val="false"/>
                          <w:smallCaps w:val="false"/>
                          <w:color w:val="58595B"/>
                        </w:rPr>
                        <w:t> </w:t>
                      </w:r>
                    </w:p>
                    <w:tbl>
                      <w:tblPr>
                        <w:tblW w:w="2450" w:type="dxa"/>
                        <w:jc w:val="left"/>
                        <w:tblInd w:w="0" w:type="dxa"/>
                        <w:tblCellMar>
                          <w:top w:w="0" w:type="dxa"/>
                          <w:left w:w="0" w:type="dxa"/>
                          <w:bottom w:w="0" w:type="dxa"/>
                          <w:right w:w="0" w:type="dxa"/>
                        </w:tblCellMar>
                      </w:tblPr>
                      <w:tblGrid>
                        <w:gridCol w:w="180"/>
                        <w:gridCol w:w="227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409" name="Image2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 name="Image203" descr=""/>
                                          <pic:cNvPicPr>
                                            <a:picLocks noChangeAspect="1" noChangeArrowheads="1"/>
                                          </pic:cNvPicPr>
                                        </pic:nvPicPr>
                                        <pic:blipFill>
                                          <a:blip r:embed="rId204"/>
                                          <a:stretch>
                                            <a:fillRect/>
                                          </a:stretch>
                                        </pic:blipFill>
                                        <pic:spPr bwMode="auto">
                                          <a:xfrm>
                                            <a:off x="0" y="0"/>
                                            <a:ext cx="104775" cy="85725"/>
                                          </a:xfrm>
                                          <a:prstGeom prst="rect">
                                            <a:avLst/>
                                          </a:prstGeom>
                                        </pic:spPr>
                                      </pic:pic>
                                    </a:graphicData>
                                  </a:graphic>
                                </wp:inline>
                              </w:drawing>
                            </w:r>
                          </w:p>
                        </w:tc>
                        <w:tc>
                          <w:tcPr>
                            <w:tcW w:w="2270"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Chief Executive Officer 6x</w:t>
                            </w:r>
                          </w:p>
                        </w:tc>
                      </w:tr>
                    </w:tbl>
                    <w:tbl>
                      <w:tblPr>
                        <w:tblW w:w="2360" w:type="dxa"/>
                        <w:jc w:val="left"/>
                        <w:tblInd w:w="0" w:type="dxa"/>
                        <w:tblCellMar>
                          <w:top w:w="0" w:type="dxa"/>
                          <w:left w:w="0" w:type="dxa"/>
                          <w:bottom w:w="0" w:type="dxa"/>
                          <w:right w:w="0" w:type="dxa"/>
                        </w:tblCellMar>
                      </w:tblPr>
                      <w:tblGrid>
                        <w:gridCol w:w="180"/>
                        <w:gridCol w:w="2180"/>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410" name="Image2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 name="Image204" descr=""/>
                                          <pic:cNvPicPr>
                                            <a:picLocks noChangeAspect="1" noChangeArrowheads="1"/>
                                          </pic:cNvPicPr>
                                        </pic:nvPicPr>
                                        <pic:blipFill>
                                          <a:blip r:embed="rId205"/>
                                          <a:stretch>
                                            <a:fillRect/>
                                          </a:stretch>
                                        </pic:blipFill>
                                        <pic:spPr bwMode="auto">
                                          <a:xfrm>
                                            <a:off x="0" y="0"/>
                                            <a:ext cx="104775" cy="85725"/>
                                          </a:xfrm>
                                          <a:prstGeom prst="rect">
                                            <a:avLst/>
                                          </a:prstGeom>
                                        </pic:spPr>
                                      </pic:pic>
                                    </a:graphicData>
                                  </a:graphic>
                                </wp:inline>
                              </w:drawing>
                            </w:r>
                          </w:p>
                        </w:tc>
                        <w:tc>
                          <w:tcPr>
                            <w:tcW w:w="2180"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Chief Financial Officer 4x</w:t>
                            </w:r>
                          </w:p>
                        </w:tc>
                      </w:tr>
                    </w:tbl>
                    <w:tbl>
                      <w:tblPr>
                        <w:tblW w:w="2855" w:type="dxa"/>
                        <w:jc w:val="left"/>
                        <w:tblInd w:w="0" w:type="dxa"/>
                        <w:tblCellMar>
                          <w:top w:w="0" w:type="dxa"/>
                          <w:left w:w="0" w:type="dxa"/>
                          <w:bottom w:w="0" w:type="dxa"/>
                          <w:right w:w="0" w:type="dxa"/>
                        </w:tblCellMar>
                      </w:tblPr>
                      <w:tblGrid>
                        <w:gridCol w:w="180"/>
                        <w:gridCol w:w="2675"/>
                      </w:tblGrid>
                      <w:tr>
                        <w:trPr/>
                        <w:tc>
                          <w:tcPr>
                            <w:tcW w:w="180" w:type="dxa"/>
                            <w:tcBorders/>
                            <w:shd w:fill="auto" w:val="clear"/>
                            <w:vAlign w:val="center"/>
                          </w:tcPr>
                          <w:p>
                            <w:pPr>
                              <w:pStyle w:val="TableContents"/>
                              <w:spacing w:before="0" w:after="283"/>
                              <w:jc w:val="left"/>
                              <w:rPr/>
                            </w:pPr>
                            <w:r>
                              <w:rPr/>
                              <w:drawing>
                                <wp:inline distT="0" distB="0" distL="0" distR="0">
                                  <wp:extent cx="104775" cy="85725"/>
                                  <wp:effectExtent l="0" t="0" r="0" b="0"/>
                                  <wp:docPr id="411" name="Image2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1" name="Image205" descr=""/>
                                          <pic:cNvPicPr>
                                            <a:picLocks noChangeAspect="1" noChangeArrowheads="1"/>
                                          </pic:cNvPicPr>
                                        </pic:nvPicPr>
                                        <pic:blipFill>
                                          <a:blip r:embed="rId206"/>
                                          <a:stretch>
                                            <a:fillRect/>
                                          </a:stretch>
                                        </pic:blipFill>
                                        <pic:spPr bwMode="auto">
                                          <a:xfrm>
                                            <a:off x="0" y="0"/>
                                            <a:ext cx="104775" cy="85725"/>
                                          </a:xfrm>
                                          <a:prstGeom prst="rect">
                                            <a:avLst/>
                                          </a:prstGeom>
                                        </pic:spPr>
                                      </pic:pic>
                                    </a:graphicData>
                                  </a:graphic>
                                </wp:inline>
                              </w:drawing>
                            </w:r>
                          </w:p>
                        </w:tc>
                        <w:tc>
                          <w:tcPr>
                            <w:tcW w:w="2675"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All Other Executive Officers 3x</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Ms. Vickery, who is currently serving as our interim Chief Financial Officer and was not previously an executive officer, is not subject to the stock ownership requirements. Currently, all of our other continuing NEOs are in compliance with this policy or (in our view) are on track to meet the required ownership level within the applicable time period.</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Insider Trading Policy.</w:t>
                      </w:r>
                      <w:r>
                        <w:rPr>
                          <w:rFonts w:ascii="Arial;Helvetica;Sans-Serif" w:hAnsi="Arial;Helvetica;Sans-Serif"/>
                          <w:b w:val="false"/>
                          <w:i w:val="false"/>
                          <w:caps w:val="false"/>
                          <w:smallCaps w:val="false"/>
                          <w:color w:val="58595B"/>
                          <w:sz w:val="18"/>
                        </w:rPr>
                        <w:t xml:space="preserve"> The Company maintains an insider trading policy applicable to all directors and employees. The policy provides that Company personnel may not buy, sell or engage in other transactions in the Company’s stock while in possession of material non-public information, buy or sell securities of other companies while in possession of material non-public information about those companies they become aware of as a result of business dealings between the Company and those companies, or disclose material non-public information to any unauthorized persons outside of the Company. The policy also restricts trading for a limited group of Company employees (including all directors and NEOs) to defined window periods which align with our quarterly earnings releases.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Anti-Hedging and Pledging Policy. </w:t>
                      </w:r>
                      <w:r>
                        <w:rPr>
                          <w:rFonts w:ascii="Arial;Helvetica;Sans-Serif" w:hAnsi="Arial;Helvetica;Sans-Serif"/>
                          <w:b w:val="false"/>
                          <w:i w:val="false"/>
                          <w:caps w:val="false"/>
                          <w:smallCaps w:val="false"/>
                          <w:color w:val="58595B"/>
                          <w:sz w:val="18"/>
                        </w:rPr>
                        <w:t>Derivative securities are securities, contracts or arrangements the value of which varies in relation to the price of our securities. For example, derivative securities would include exchange-traded put or call options, as well as individually arranged derivative transactions, such as prepaid forwards. Many forms of derivatives are speculative in nature (meaning that their value fluctuates based on short-term changes in the price of our shares), and the purchase or sale of such derivatives by our employees could motivate them to take actions that are in conflict with the long-term interests of other shareholders and could also cause the appearance of misuse of inside information.</w:t>
                      </w:r>
                    </w:p>
                  </w:txbxContent>
                </v:textbox>
                <w10:wrap type="square" side="right"/>
              </v:rect>
            </w:pict>
          </mc:Fallback>
        </mc:AlternateContent>
      </w:r>
      <w:r>
        <mc:AlternateContent>
          <mc:Choice Requires="wps">
            <w:drawing>
              <wp:anchor behindDoc="0" distT="0" distB="0" distL="0" distR="0" simplePos="0" locked="0" layoutInCell="1" allowOverlap="1" relativeHeight="205">
                <wp:simplePos x="0" y="0"/>
                <wp:positionH relativeFrom="column">
                  <wp:align>right</wp:align>
                </wp:positionH>
                <wp:positionV relativeFrom="line">
                  <wp:posOffset>635</wp:posOffset>
                </wp:positionV>
                <wp:extent cx="3110230" cy="6484620"/>
                <wp:effectExtent l="0" t="0" r="0" b="0"/>
                <wp:wrapSquare wrapText="largest"/>
                <wp:docPr id="412" name="Frame65"/>
                <a:graphic xmlns:a="http://schemas.openxmlformats.org/drawingml/2006/main">
                  <a:graphicData uri="http://schemas.microsoft.com/office/word/2010/wordprocessingShape">
                    <wps:wsp>
                      <wps:cNvSpPr txBox="1"/>
                      <wps:spPr>
                        <a:xfrm>
                          <a:off x="0" y="0"/>
                          <a:ext cx="3110230" cy="6484620"/>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employees, officers and directors are prohibited from purchasing or selling derivative securities, entering into derivatives contracts relating to our stock or otherwise engaging in hedging transactions. The prohibition on hedging transactions does not apply to stock options and awards under employee plans. Furthermore, our insider trading compliance policy prohibits executive officers and directors from pledging or otherwise using our common shares as collateral.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Equity Grant Practices. </w:t>
                            </w:r>
                            <w:r>
                              <w:rPr>
                                <w:rFonts w:ascii="Arial;Helvetica;Sans-Serif" w:hAnsi="Arial;Helvetica;Sans-Serif"/>
                                <w:b w:val="false"/>
                                <w:i w:val="false"/>
                                <w:caps w:val="false"/>
                                <w:smallCaps w:val="false"/>
                                <w:color w:val="58595B"/>
                                <w:sz w:val="18"/>
                              </w:rPr>
                              <w:t xml:space="preserve">We </w:t>
                            </w:r>
                            <w:r>
                              <w:rPr>
                                <w:rFonts w:ascii="Arial;Helvetica;Sans-Serif" w:hAnsi="Arial;Helvetica;Sans-Serif"/>
                                <w:b w:val="false"/>
                                <w:i w:val="false"/>
                                <w:caps w:val="false"/>
                                <w:smallCaps w:val="false"/>
                                <w:color w:val="58595B"/>
                                <w:sz w:val="20"/>
                              </w:rPr>
                              <w:t>generally grant equity-based incentives annually during the first calendar quarter. To date there has been no set program for the award of incremental periodic grants, and our compensation committee retains discretion to make equity awards at any time, including in connection with the promotion of an executive, to reward an executive for extraordinary performance or the assumption of additional responsibilities or for retention purposes.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Clawback Policy. </w:t>
                            </w:r>
                            <w:r>
                              <w:rPr>
                                <w:rFonts w:ascii="Arial;Helvetica;Sans-Serif" w:hAnsi="Arial;Helvetica;Sans-Serif"/>
                                <w:b w:val="false"/>
                                <w:i w:val="false"/>
                                <w:caps w:val="false"/>
                                <w:smallCaps w:val="false"/>
                                <w:color w:val="58595B"/>
                                <w:sz w:val="18"/>
                              </w:rPr>
                              <w:t>In 2019, in response to shareholder input received during our outreach process, as well as the results of a shareholder proposal submitted to shareholders in 2019, we adopted a new clawback policy applicable to our executive officers, including our NEOs, which applies to all incentive-based compensation earned by our executive officers. The clawback policy provides that if our compensation committee determines that an executive officer engaged in misconduct that contributed to the Company being required to make a restatement of its financial statements, the Company will promptly recover from such executive officer all incentive-based compensation received that was in excess of the incentive-based compensation such executive officer would have received under the restated financial results of the Company.</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No Excise Tax Gross-Ups. </w:t>
                            </w:r>
                            <w:r>
                              <w:rPr>
                                <w:rFonts w:ascii="Arial;Helvetica;Sans-Serif" w:hAnsi="Arial;Helvetica;Sans-Serif"/>
                                <w:b w:val="false"/>
                                <w:i w:val="false"/>
                                <w:caps w:val="false"/>
                                <w:smallCaps w:val="false"/>
                                <w:color w:val="58595B"/>
                                <w:sz w:val="18"/>
                              </w:rPr>
                              <w:t>The Company does not provide excise tax gross-ups for any of its NEOs.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Risk Assessment in Compensation Programs. </w:t>
                            </w:r>
                            <w:r>
                              <w:rPr>
                                <w:rFonts w:ascii="Arial;Helvetica;Sans-Serif" w:hAnsi="Arial;Helvetica;Sans-Serif"/>
                                <w:b w:val="false"/>
                                <w:i w:val="false"/>
                                <w:caps w:val="false"/>
                                <w:smallCaps w:val="false"/>
                                <w:color w:val="58595B"/>
                                <w:sz w:val="18"/>
                              </w:rPr>
                              <w:t>We believe our compensation programs encourage and reward prudent business judgment without encouraging undue risk. The compensation committee reviews our compensation programs for features that might encourage inappropriate risk-taking. We believe our compensation policies and practices do not create undue risks that are reasonably likely to have a material adverse effect on us.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10.6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employees, officers and directors are prohibited from purchasing or selling derivative securities, entering into derivatives contracts relating to our stock or otherwise engaging in hedging transactions. The prohibition on hedging transactions does not apply to stock options and awards under employee plans. Furthermore, our insider trading compliance policy prohibits executive officers and directors from pledging or otherwise using our common shares as collateral.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Equity Grant Practices. </w:t>
                      </w:r>
                      <w:r>
                        <w:rPr>
                          <w:rFonts w:ascii="Arial;Helvetica;Sans-Serif" w:hAnsi="Arial;Helvetica;Sans-Serif"/>
                          <w:b w:val="false"/>
                          <w:i w:val="false"/>
                          <w:caps w:val="false"/>
                          <w:smallCaps w:val="false"/>
                          <w:color w:val="58595B"/>
                          <w:sz w:val="18"/>
                        </w:rPr>
                        <w:t xml:space="preserve">We </w:t>
                      </w:r>
                      <w:r>
                        <w:rPr>
                          <w:rFonts w:ascii="Arial;Helvetica;Sans-Serif" w:hAnsi="Arial;Helvetica;Sans-Serif"/>
                          <w:b w:val="false"/>
                          <w:i w:val="false"/>
                          <w:caps w:val="false"/>
                          <w:smallCaps w:val="false"/>
                          <w:color w:val="58595B"/>
                          <w:sz w:val="20"/>
                        </w:rPr>
                        <w:t>generally grant equity-based incentives annually during the first calendar quarter. To date there has been no set program for the award of incremental periodic grants, and our compensation committee retains discretion to make equity awards at any time, including in connection with the promotion of an executive, to reward an executive for extraordinary performance or the assumption of additional responsibilities or for retention purposes.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Clawback Policy. </w:t>
                      </w:r>
                      <w:r>
                        <w:rPr>
                          <w:rFonts w:ascii="Arial;Helvetica;Sans-Serif" w:hAnsi="Arial;Helvetica;Sans-Serif"/>
                          <w:b w:val="false"/>
                          <w:i w:val="false"/>
                          <w:caps w:val="false"/>
                          <w:smallCaps w:val="false"/>
                          <w:color w:val="58595B"/>
                          <w:sz w:val="18"/>
                        </w:rPr>
                        <w:t>In 2019, in response to shareholder input received during our outreach process, as well as the results of a shareholder proposal submitted to shareholders in 2019, we adopted a new clawback policy applicable to our executive officers, including our NEOs, which applies to all incentive-based compensation earned by our executive officers. The clawback policy provides that if our compensation committee determines that an executive officer engaged in misconduct that contributed to the Company being required to make a restatement of its financial statements, the Company will promptly recover from such executive officer all incentive-based compensation received that was in excess of the incentive-based compensation such executive officer would have received under the restated financial results of the Company.</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No Excise Tax Gross-Ups. </w:t>
                      </w:r>
                      <w:r>
                        <w:rPr>
                          <w:rFonts w:ascii="Arial;Helvetica;Sans-Serif" w:hAnsi="Arial;Helvetica;Sans-Serif"/>
                          <w:b w:val="false"/>
                          <w:i w:val="false"/>
                          <w:caps w:val="false"/>
                          <w:smallCaps w:val="false"/>
                          <w:color w:val="58595B"/>
                          <w:sz w:val="18"/>
                        </w:rPr>
                        <w:t>The Company does not provide excise tax gross-ups for any of its NEOs.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Risk Assessment in Compensation Programs. </w:t>
                      </w:r>
                      <w:r>
                        <w:rPr>
                          <w:rFonts w:ascii="Arial;Helvetica;Sans-Serif" w:hAnsi="Arial;Helvetica;Sans-Serif"/>
                          <w:b w:val="false"/>
                          <w:i w:val="false"/>
                          <w:caps w:val="false"/>
                          <w:smallCaps w:val="false"/>
                          <w:color w:val="58595B"/>
                          <w:sz w:val="18"/>
                        </w:rPr>
                        <w:t>We believe our compensation programs encourage and reward prudent business judgment without encouraging undue risk. The compensation committee reviews our compensation programs for features that might encourage inappropriate risk-taking. We believe our compensation policies and practices do not create undue risks that are reasonably likely to have a material adverse effect on us.</w:t>
                      </w:r>
                    </w:p>
                  </w:txbxContent>
                </v:textbox>
                <w10:wrap type="square" side="left"/>
              </v:rect>
            </w:pict>
          </mc:Fallback>
        </mc:AlternateContent>
      </w:r>
    </w:p>
    <w:p>
      <w:pPr>
        <w:pStyle w:val="TextBody"/>
        <w:spacing w:before="0" w:after="0"/>
        <w:ind w:left="0" w:right="0" w:hanging="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43</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sz w:val="20"/>
        </w:rPr>
      </w:pPr>
      <w:bookmarkStart w:id="115" w:name="a065"/>
      <w:bookmarkEnd w:id="115"/>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r>
        <w:rPr>
          <w:rFonts w:ascii="Times New Roman;Times;Serif" w:hAnsi="Times New Roman;Times;Serif"/>
          <w:b w:val="false"/>
          <w:i w:val="false"/>
          <w:caps w:val="false"/>
          <w:smallCaps w:val="false"/>
          <w:sz w:val="20"/>
        </w:rPr>
        <w:t xml:space="preserve">  </w:t>
      </w:r>
    </w:p>
    <w:p>
      <w:pPr>
        <w:pStyle w:val="TextBody"/>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bookmarkStart w:id="116" w:name="a066"/>
      <w:bookmarkEnd w:id="116"/>
      <w:r>
        <w:rPr>
          <w:rFonts w:ascii="Arial;Helvetica;Sans-Serif" w:hAnsi="Arial;Helvetica;Sans-Serif"/>
          <w:b/>
          <w:i w:val="false"/>
          <w:caps w:val="false"/>
          <w:smallCaps w:val="false"/>
          <w:color w:val="EE0027"/>
          <w:sz w:val="20"/>
        </w:rPr>
        <w:t>2022 Summary Compensation Table</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231F20"/>
          <w:sz w:val="20"/>
        </w:rPr>
      </w:pPr>
      <w:r>
        <w:rPr>
          <w:rFonts w:ascii="Arial;Helvetica;Sans-Serif" w:hAnsi="Arial;Helvetica;Sans-Serif"/>
          <w:b/>
          <w:i w:val="false"/>
          <w:caps w:val="false"/>
          <w:smallCaps w:val="false"/>
          <w:color w:val="231F20"/>
          <w:sz w:val="20"/>
        </w:rPr>
        <w:t>The following table shows the compensation for each of the NEOs.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The amounts presented below in the “Stock Awards” and “Option Awards” columns represent the grant date fair value of awards granted to the NEOs and may not reflect the actual value to be realized by each NEO. The actual value realized will not be determined until the time of vesting in the case of Performance Shares and Performance-Based RSUs, or until option exercise in the case of option awards.</w:t>
      </w:r>
    </w:p>
    <w:p>
      <w:pPr>
        <w:pStyle w:val="TextBody"/>
        <w:spacing w:before="0" w:after="0"/>
        <w:rPr>
          <w:caps w:val="false"/>
          <w:smallCaps w:val="false"/>
        </w:rPr>
      </w:pPr>
      <w:r>
        <w:rPr>
          <w:caps w:val="false"/>
          <w:smallCaps w:val="false"/>
        </w:rPr>
        <w:t> </w:t>
      </w:r>
    </w:p>
    <w:tbl>
      <w:tblPr>
        <w:tblW w:w="9375" w:type="dxa"/>
        <w:jc w:val="left"/>
        <w:tblInd w:w="0" w:type="dxa"/>
        <w:tblCellMar>
          <w:top w:w="0" w:type="dxa"/>
          <w:left w:w="0" w:type="dxa"/>
          <w:bottom w:w="0" w:type="dxa"/>
          <w:right w:w="0" w:type="dxa"/>
        </w:tblCellMar>
      </w:tblPr>
      <w:tblGrid>
        <w:gridCol w:w="1865"/>
        <w:gridCol w:w="380"/>
        <w:gridCol w:w="830"/>
        <w:gridCol w:w="650"/>
        <w:gridCol w:w="830"/>
        <w:gridCol w:w="920"/>
        <w:gridCol w:w="1730"/>
        <w:gridCol w:w="1235"/>
        <w:gridCol w:w="935"/>
      </w:tblGrid>
      <w:tr>
        <w:trPr/>
        <w:tc>
          <w:tcPr>
            <w:tcW w:w="1865" w:type="dxa"/>
            <w:tcBorders/>
            <w:shd w:fill="EE0027" w:val="clear"/>
            <w:vAlign w:val="center"/>
          </w:tcPr>
          <w:p>
            <w:pPr>
              <w:pStyle w:val="TableContents"/>
              <w:spacing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Name and Principal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z w:val="16"/>
              </w:rPr>
              <w:t>Position</w:t>
            </w:r>
          </w:p>
        </w:tc>
        <w:tc>
          <w:tcPr>
            <w:tcW w:w="38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w:t>
            </w:r>
          </w:p>
        </w:tc>
        <w:tc>
          <w:tcPr>
            <w:tcW w:w="830" w:type="dxa"/>
            <w:tcBorders/>
            <w:shd w:fill="EE0027" w:val="clear"/>
            <w:vAlign w:val="center"/>
          </w:tcPr>
          <w:p>
            <w:pPr>
              <w:pStyle w:val="TableContents"/>
              <w:spacing w:lineRule="auto" w:line="240"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Salary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w:t>
            </w:r>
            <w:r>
              <w:rPr>
                <w:rFonts w:ascii="Arial;Helvetica;Sans-Serif" w:hAnsi="Arial;Helvetica;Sans-Serif"/>
                <w:b/>
                <w:i w:val="false"/>
                <w:caps w:val="false"/>
                <w:smallCaps w:val="false"/>
                <w:color w:val="FFFFFF"/>
                <w:sz w:val="20"/>
              </w:rPr>
              <w:t>(1)</w:t>
            </w:r>
          </w:p>
        </w:tc>
        <w:tc>
          <w:tcPr>
            <w:tcW w:w="650" w:type="dxa"/>
            <w:tcBorders/>
            <w:shd w:fill="EE0027" w:val="clear"/>
            <w:vAlign w:val="center"/>
          </w:tcPr>
          <w:p>
            <w:pPr>
              <w:pStyle w:val="TableContents"/>
              <w:spacing w:lineRule="auto" w:line="240"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Bonus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w:t>
            </w:r>
            <w:r>
              <w:rPr>
                <w:rFonts w:ascii="Arial;Helvetica;Sans-Serif" w:hAnsi="Arial;Helvetica;Sans-Serif"/>
                <w:b/>
                <w:i w:val="false"/>
                <w:caps w:val="false"/>
                <w:smallCaps w:val="false"/>
                <w:color w:val="FFFFFF"/>
                <w:sz w:val="20"/>
              </w:rPr>
              <w:t>(2)</w:t>
            </w:r>
          </w:p>
        </w:tc>
        <w:tc>
          <w:tcPr>
            <w:tcW w:w="830" w:type="dxa"/>
            <w:tcBorders/>
            <w:shd w:fill="EE0027" w:val="clear"/>
            <w:vAlign w:val="center"/>
          </w:tcPr>
          <w:p>
            <w:pPr>
              <w:pStyle w:val="TableContents"/>
              <w:spacing w:lineRule="auto" w:line="240"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Stock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Awards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w:t>
            </w:r>
            <w:r>
              <w:rPr>
                <w:rFonts w:ascii="Arial;Helvetica;Sans-Serif" w:hAnsi="Arial;Helvetica;Sans-Serif"/>
                <w:b/>
                <w:i w:val="false"/>
                <w:caps w:val="false"/>
                <w:smallCaps w:val="false"/>
                <w:color w:val="FFFFFF"/>
                <w:sz w:val="20"/>
              </w:rPr>
              <w:t>(3)</w:t>
            </w:r>
          </w:p>
        </w:tc>
        <w:tc>
          <w:tcPr>
            <w:tcW w:w="920" w:type="dxa"/>
            <w:tcBorders/>
            <w:shd w:fill="EE0027" w:val="clear"/>
            <w:vAlign w:val="center"/>
          </w:tcPr>
          <w:p>
            <w:pPr>
              <w:pStyle w:val="TableContents"/>
              <w:spacing w:lineRule="auto" w:line="240"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Option</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Awards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w:t>
            </w:r>
            <w:r>
              <w:rPr>
                <w:rFonts w:ascii="Arial;Helvetica;Sans-Serif" w:hAnsi="Arial;Helvetica;Sans-Serif"/>
                <w:b/>
                <w:i w:val="false"/>
                <w:caps w:val="false"/>
                <w:smallCaps w:val="false"/>
                <w:color w:val="FFFFFF"/>
                <w:sz w:val="20"/>
              </w:rPr>
              <w:t>(4)</w:t>
            </w:r>
          </w:p>
        </w:tc>
        <w:tc>
          <w:tcPr>
            <w:tcW w:w="1730" w:type="dxa"/>
            <w:tcBorders/>
            <w:shd w:fill="EE0027" w:val="clear"/>
            <w:vAlign w:val="center"/>
          </w:tcPr>
          <w:p>
            <w:pPr>
              <w:pStyle w:val="TableContents"/>
              <w:spacing w:lineRule="auto" w:line="240" w:before="0" w:after="283"/>
              <w:jc w:val="left"/>
              <w:rPr/>
            </w:pPr>
            <w:r>
              <w:rPr>
                <w:rFonts w:ascii="Arial;Helvetica;Sans-Serif" w:hAnsi="Arial;Helvetica;Sans-Serif"/>
                <w:b/>
                <w:color w:val="FFFFFF"/>
                <w:sz w:val="16"/>
              </w:rPr>
              <w:t>Non-Equity</w:t>
            </w:r>
            <w:r>
              <w:rPr/>
              <w:br/>
            </w:r>
            <w:r>
              <w:rPr>
                <w:rFonts w:ascii="Arial;Helvetica;Sans-Serif" w:hAnsi="Arial;Helvetica;Sans-Serif"/>
                <w:b/>
                <w:color w:val="FFFFFF"/>
                <w:sz w:val="16"/>
              </w:rPr>
              <w:t xml:space="preserve">Incentive Plan </w:t>
            </w:r>
            <w:r>
              <w:rPr/>
              <w:br/>
            </w:r>
            <w:r>
              <w:rPr>
                <w:rFonts w:ascii="Arial;Helvetica;Sans-Serif" w:hAnsi="Arial;Helvetica;Sans-Serif"/>
                <w:b/>
                <w:color w:val="FFFFFF"/>
                <w:sz w:val="16"/>
              </w:rPr>
              <w:t>Compensation ($)</w:t>
            </w:r>
            <w:r>
              <w:rPr>
                <w:rFonts w:ascii="Arial;Helvetica;Sans-Serif" w:hAnsi="Arial;Helvetica;Sans-Serif"/>
                <w:b/>
                <w:color w:val="FFFFFF"/>
              </w:rPr>
              <w:t>(5)</w:t>
            </w:r>
          </w:p>
        </w:tc>
        <w:tc>
          <w:tcPr>
            <w:tcW w:w="1235" w:type="dxa"/>
            <w:tcBorders/>
            <w:shd w:fill="EE0027" w:val="clear"/>
            <w:vAlign w:val="center"/>
          </w:tcPr>
          <w:p>
            <w:pPr>
              <w:pStyle w:val="TableContents"/>
              <w:spacing w:lineRule="auto" w:line="240" w:before="0" w:after="0"/>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All Other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Compensation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w:t>
            </w:r>
            <w:r>
              <w:rPr>
                <w:rFonts w:ascii="Arial;Helvetica;Sans-Serif" w:hAnsi="Arial;Helvetica;Sans-Serif"/>
                <w:b/>
                <w:i w:val="false"/>
                <w:caps w:val="false"/>
                <w:smallCaps w:val="false"/>
                <w:color w:val="FFFFFF"/>
                <w:sz w:val="20"/>
              </w:rPr>
              <w:t>(6)</w:t>
            </w:r>
          </w:p>
        </w:tc>
        <w:tc>
          <w:tcPr>
            <w:tcW w:w="93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Total ($)</w:t>
            </w:r>
          </w:p>
        </w:tc>
      </w:tr>
      <w:tr>
        <w:trPr/>
        <w:tc>
          <w:tcPr>
            <w:tcW w:w="1865" w:type="dxa"/>
            <w:tcBorders/>
            <w:shd w:fill="DCDDDE"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Ronald F. Clarke</w:t>
            </w:r>
          </w:p>
        </w:tc>
        <w:tc>
          <w:tcPr>
            <w:tcW w:w="38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2022</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$1,176,923</w:t>
            </w:r>
          </w:p>
        </w:tc>
        <w:tc>
          <w:tcPr>
            <w:tcW w:w="650" w:type="dxa"/>
            <w:tcBorders/>
            <w:shd w:fill="DCDDDE" w:val="clear"/>
            <w:vAlign w:val="center"/>
          </w:tcPr>
          <w:p>
            <w:pPr>
              <w:pStyle w:val="TableContents"/>
              <w:spacing w:before="0" w:after="283"/>
              <w:jc w:val="left"/>
              <w:rPr>
                <w:color w:val="231F20"/>
              </w:rPr>
            </w:pPr>
            <w:r>
              <w:rPr>
                <w:color w:val="231F20"/>
              </w:rPr>
              <w:t>—</w:t>
            </w:r>
          </w:p>
        </w:tc>
        <w:tc>
          <w:tcPr>
            <w:tcW w:w="830" w:type="dxa"/>
            <w:tcBorders/>
            <w:shd w:fill="DCDDDE" w:val="clear"/>
            <w:vAlign w:val="center"/>
          </w:tcPr>
          <w:p>
            <w:pPr>
              <w:pStyle w:val="TableContents"/>
              <w:spacing w:before="0" w:after="283"/>
              <w:jc w:val="left"/>
              <w:rPr>
                <w:color w:val="231F20"/>
              </w:rPr>
            </w:pPr>
            <w:r>
              <w:rPr>
                <w:color w:val="231F20"/>
              </w:rPr>
              <w:t>—</w:t>
            </w:r>
          </w:p>
        </w:tc>
        <w:tc>
          <w:tcPr>
            <w:tcW w:w="920" w:type="dxa"/>
            <w:tcBorders/>
            <w:shd w:fill="DCDDDE" w:val="clear"/>
            <w:vAlign w:val="center"/>
          </w:tcPr>
          <w:p>
            <w:pPr>
              <w:pStyle w:val="TableContents"/>
              <w:spacing w:before="0" w:after="283"/>
              <w:jc w:val="left"/>
              <w:rPr>
                <w:color w:val="231F20"/>
              </w:rPr>
            </w:pPr>
            <w:r>
              <w:rPr>
                <w:color w:val="231F20"/>
              </w:rPr>
              <w:t>—</w:t>
            </w:r>
          </w:p>
        </w:tc>
        <w:tc>
          <w:tcPr>
            <w:tcW w:w="17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$2,776,500</w:t>
            </w:r>
          </w:p>
        </w:tc>
        <w:tc>
          <w:tcPr>
            <w:tcW w:w="12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$33,575</w:t>
            </w:r>
          </w:p>
        </w:tc>
        <w:tc>
          <w:tcPr>
            <w:tcW w:w="9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$3,986,998</w:t>
            </w:r>
          </w:p>
        </w:tc>
      </w:tr>
      <w:tr>
        <w:trPr/>
        <w:tc>
          <w:tcPr>
            <w:tcW w:w="1865" w:type="dxa"/>
            <w:vMerge w:val="restart"/>
            <w:tcBorders>
              <w:bottom w:val="single" w:sz="36" w:space="0" w:color="FFFFFF"/>
            </w:tcBorders>
            <w:shd w:fill="DCDDDE" w:val="clear"/>
            <w:tcMar>
              <w:bottom w:w="28" w:type="dxa"/>
            </w:tcMar>
            <w:vAlign w:val="center"/>
          </w:tcPr>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Chief Executive Officer</w:t>
            </w:r>
          </w:p>
          <w:p>
            <w:pPr>
              <w:pStyle w:val="TableContents"/>
              <w:spacing w:before="0" w:after="0"/>
              <w:jc w:val="left"/>
              <w:rPr>
                <w:caps w:val="false"/>
                <w:smallCaps w:val="false"/>
                <w:color w:val="231F20"/>
              </w:rPr>
            </w:pPr>
            <w:r>
              <w:rPr>
                <w:caps w:val="false"/>
                <w:smallCaps w:val="false"/>
                <w:color w:val="231F20"/>
              </w:rPr>
              <w:t> </w:t>
            </w:r>
            <w:r>
              <w:rPr>
                <w:rFonts w:ascii="Arial;Helvetica;Sans-Serif" w:hAnsi="Arial;Helvetica;Sans-Serif"/>
                <w:b w:val="false"/>
                <w:i/>
                <w:caps w:val="false"/>
                <w:smallCaps w:val="false"/>
                <w:color w:val="231F20"/>
                <w:sz w:val="16"/>
              </w:rPr>
              <w:t xml:space="preserve">and Chairman of the </w:t>
              <w:br/>
              <w:t>Board of Directors</w:t>
            </w:r>
          </w:p>
          <w:p>
            <w:pPr>
              <w:pStyle w:val="TableContents"/>
              <w:spacing w:before="0" w:after="0"/>
              <w:jc w:val="left"/>
              <w:rPr>
                <w:caps w:val="false"/>
                <w:smallCaps w:val="false"/>
                <w:color w:val="231F20"/>
              </w:rPr>
            </w:pPr>
            <w:r>
              <w:rPr>
                <w:caps w:val="false"/>
                <w:smallCaps w:val="false"/>
                <w:color w:val="231F20"/>
              </w:rPr>
              <w:t> </w:t>
            </w:r>
          </w:p>
        </w:tc>
        <w:tc>
          <w:tcPr>
            <w:tcW w:w="38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2021</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$1,000,000</w:t>
            </w:r>
          </w:p>
        </w:tc>
        <w:tc>
          <w:tcPr>
            <w:tcW w:w="650" w:type="dxa"/>
            <w:tcBorders/>
            <w:shd w:fill="auto" w:val="clear"/>
            <w:vAlign w:val="center"/>
          </w:tcPr>
          <w:p>
            <w:pPr>
              <w:pStyle w:val="TableContents"/>
              <w:spacing w:before="0" w:after="283"/>
              <w:jc w:val="left"/>
              <w:rPr>
                <w:color w:val="231F20"/>
              </w:rPr>
            </w:pPr>
            <w:r>
              <w:rPr>
                <w:color w:val="231F20"/>
              </w:rPr>
              <w:t>—</w:t>
            </w:r>
          </w:p>
        </w:tc>
        <w:tc>
          <w:tcPr>
            <w:tcW w:w="830" w:type="dxa"/>
            <w:tcBorders/>
            <w:shd w:fill="auto" w:val="clear"/>
            <w:vAlign w:val="center"/>
          </w:tcPr>
          <w:p>
            <w:pPr>
              <w:pStyle w:val="TableContents"/>
              <w:spacing w:before="0" w:after="283"/>
              <w:jc w:val="left"/>
              <w:rPr>
                <w:color w:val="231F20"/>
              </w:rPr>
            </w:pPr>
            <w:r>
              <w:rPr>
                <w:color w:val="231F20"/>
              </w:rPr>
              <w:t>—</w:t>
            </w:r>
          </w:p>
        </w:tc>
        <w:tc>
          <w:tcPr>
            <w:tcW w:w="92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$55,556,000</w:t>
            </w:r>
          </w:p>
        </w:tc>
        <w:tc>
          <w:tcPr>
            <w:tcW w:w="17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$1,335,000</w:t>
            </w:r>
          </w:p>
        </w:tc>
        <w:tc>
          <w:tcPr>
            <w:tcW w:w="12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$32,473</w:t>
            </w:r>
          </w:p>
        </w:tc>
        <w:tc>
          <w:tcPr>
            <w:tcW w:w="9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$57,923,473</w:t>
            </w:r>
          </w:p>
        </w:tc>
      </w:tr>
      <w:tr>
        <w:trPr/>
        <w:tc>
          <w:tcPr>
            <w:tcW w:w="1865" w:type="dxa"/>
            <w:vMerge w:val="continue"/>
            <w:tcBorders>
              <w:bottom w:val="single" w:sz="36" w:space="0" w:color="FFFFFF"/>
            </w:tcBorders>
            <w:shd w:fill="DCDDDE" w:val="clear"/>
            <w:tcMar>
              <w:bottom w:w="28" w:type="dxa"/>
            </w:tcMar>
            <w:vAlign w:val="center"/>
          </w:tcPr>
          <w:p>
            <w:pPr>
              <w:pStyle w:val="Normal"/>
              <w:rPr/>
            </w:pPr>
            <w:r>
              <w:rPr/>
            </w:r>
          </w:p>
        </w:tc>
        <w:tc>
          <w:tcPr>
            <w:tcW w:w="380" w:type="dxa"/>
            <w:tcBorders>
              <w:bottom w:val="single" w:sz="36" w:space="0" w:color="FFFFFF"/>
            </w:tcBorders>
            <w:shd w:fill="DCDDDE" w:val="clear"/>
            <w:tcMar>
              <w:bottom w:w="28" w:type="dxa"/>
            </w:tcM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2020</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$692,308</w:t>
            </w:r>
          </w:p>
        </w:tc>
        <w:tc>
          <w:tcPr>
            <w:tcW w:w="650" w:type="dxa"/>
            <w:tcBorders>
              <w:bottom w:val="single" w:sz="36" w:space="0" w:color="FFFFFF"/>
            </w:tcBorders>
            <w:shd w:fill="DCDDDE" w:val="clear"/>
            <w:tcMar>
              <w:bottom w:w="28" w:type="dxa"/>
            </w:tcMar>
            <w:vAlign w:val="center"/>
          </w:tcPr>
          <w:p>
            <w:pPr>
              <w:pStyle w:val="TableContents"/>
              <w:spacing w:before="0" w:after="283"/>
              <w:jc w:val="left"/>
              <w:rPr>
                <w:color w:val="231F20"/>
              </w:rPr>
            </w:pPr>
            <w:r>
              <w:rPr>
                <w:color w:val="231F20"/>
              </w:rPr>
              <w:t>—</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color w:val="231F20"/>
              </w:rPr>
            </w:pPr>
            <w:r>
              <w:rPr>
                <w:color w:val="231F20"/>
              </w:rPr>
              <w:t>—</w:t>
            </w:r>
          </w:p>
        </w:tc>
        <w:tc>
          <w:tcPr>
            <w:tcW w:w="920" w:type="dxa"/>
            <w:tcBorders>
              <w:bottom w:val="single" w:sz="36" w:space="0" w:color="FFFFFF"/>
            </w:tcBorders>
            <w:shd w:fill="DCDDDE" w:val="clear"/>
            <w:tcMar>
              <w:bottom w:w="28" w:type="dxa"/>
            </w:tcMar>
            <w:vAlign w:val="center"/>
          </w:tcPr>
          <w:p>
            <w:pPr>
              <w:pStyle w:val="TableContents"/>
              <w:spacing w:before="0" w:after="283"/>
              <w:jc w:val="left"/>
              <w:rPr>
                <w:color w:val="231F20"/>
              </w:rPr>
            </w:pPr>
            <w:r>
              <w:rPr>
                <w:color w:val="231F20"/>
              </w:rPr>
              <w:t>—</w:t>
            </w:r>
          </w:p>
        </w:tc>
        <w:tc>
          <w:tcPr>
            <w:tcW w:w="17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$587,500</w:t>
            </w:r>
          </w:p>
        </w:tc>
        <w:tc>
          <w:tcPr>
            <w:tcW w:w="12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$31,418</w:t>
            </w:r>
          </w:p>
        </w:tc>
        <w:tc>
          <w:tcPr>
            <w:tcW w:w="9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$1,311,225</w:t>
            </w:r>
          </w:p>
        </w:tc>
      </w:tr>
      <w:tr>
        <w:trPr/>
        <w:tc>
          <w:tcPr>
            <w:tcW w:w="1865" w:type="dxa"/>
            <w:tcBorders>
              <w:bottom w:val="single" w:sz="36" w:space="0" w:color="FFFFFF"/>
            </w:tcBorders>
            <w:shd w:fill="DCDDDE" w:val="clear"/>
            <w:tcMar>
              <w:bottom w:w="28" w:type="dxa"/>
            </w:tcM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Alissa B. Vickery</w:t>
            </w:r>
          </w:p>
          <w:p>
            <w:pPr>
              <w:pStyle w:val="TableContents"/>
              <w:spacing w:before="0" w:after="0"/>
              <w:jc w:val="left"/>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58595B"/>
                <w:sz w:val="16"/>
              </w:rPr>
              <w:t>Interim Chief Financial</w:t>
            </w:r>
            <w:r>
              <w:rPr>
                <w:rFonts w:ascii="Arial;Helvetica;Sans-Serif" w:hAnsi="Arial;Helvetica;Sans-Serif"/>
                <w:b w:val="false"/>
                <w:i w:val="false"/>
                <w:caps w:val="false"/>
                <w:smallCaps w:val="false"/>
                <w:sz w:val="16"/>
              </w:rPr>
              <w:br/>
            </w:r>
            <w:r>
              <w:rPr>
                <w:rFonts w:ascii="Arial;Helvetica;Sans-Serif" w:hAnsi="Arial;Helvetica;Sans-Serif"/>
                <w:b/>
                <w:i w:val="false"/>
                <w:caps w:val="false"/>
                <w:smallCaps w:val="false"/>
                <w:color w:val="58595B"/>
                <w:sz w:val="16"/>
              </w:rPr>
              <w:t xml:space="preserve">Officer and Chief </w:t>
            </w:r>
          </w:p>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Accounting Officer</w:t>
            </w:r>
          </w:p>
          <w:p>
            <w:pPr>
              <w:pStyle w:val="TableContents"/>
              <w:spacing w:before="0" w:after="0"/>
              <w:jc w:val="left"/>
              <w:rPr>
                <w:caps w:val="false"/>
                <w:smallCaps w:val="false"/>
                <w:color w:val="231F20"/>
              </w:rPr>
            </w:pPr>
            <w:r>
              <w:rPr>
                <w:caps w:val="false"/>
                <w:smallCaps w:val="false"/>
                <w:color w:val="231F20"/>
              </w:rPr>
              <w:t> </w:t>
            </w:r>
          </w:p>
        </w:tc>
        <w:tc>
          <w:tcPr>
            <w:tcW w:w="380" w:type="dxa"/>
            <w:tcBorders>
              <w:bottom w:val="single" w:sz="36" w:space="0" w:color="FFFFFF"/>
            </w:tcBorders>
            <w:shd w:fill="DCDDDE" w:val="clear"/>
            <w:tcMar>
              <w:bottom w:w="28" w:type="dxa"/>
            </w:tcM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2022</w:t>
            </w:r>
          </w:p>
        </w:tc>
        <w:tc>
          <w:tcPr>
            <w:tcW w:w="830" w:type="dxa"/>
            <w:tcBorders>
              <w:bottom w:val="single" w:sz="36" w:space="0" w:color="FFFFFF"/>
            </w:tcBorders>
            <w:shd w:fill="DCDDDE" w:val="clear"/>
            <w:tcMar>
              <w:bottom w:w="28" w:type="dxa"/>
            </w:tcM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 xml:space="preserve">$247,115 </w:t>
            </w:r>
          </w:p>
        </w:tc>
        <w:tc>
          <w:tcPr>
            <w:tcW w:w="650" w:type="dxa"/>
            <w:tcBorders>
              <w:bottom w:val="single" w:sz="36" w:space="0" w:color="FFFFFF"/>
            </w:tcBorders>
            <w:shd w:fill="DCDDDE" w:val="clear"/>
            <w:tcMar>
              <w:bottom w:w="28" w:type="dxa"/>
            </w:tcM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 xml:space="preserve">$56,250 </w:t>
            </w:r>
          </w:p>
        </w:tc>
        <w:tc>
          <w:tcPr>
            <w:tcW w:w="830" w:type="dxa"/>
            <w:tcBorders>
              <w:bottom w:val="single" w:sz="36" w:space="0" w:color="FFFFFF"/>
            </w:tcBorders>
            <w:shd w:fill="DCDDDE" w:val="clear"/>
            <w:tcMar>
              <w:bottom w:w="28" w:type="dxa"/>
            </w:tcM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 xml:space="preserve">$250,024 </w:t>
            </w:r>
          </w:p>
        </w:tc>
        <w:tc>
          <w:tcPr>
            <w:tcW w:w="920" w:type="dxa"/>
            <w:tcBorders>
              <w:bottom w:val="single" w:sz="36" w:space="0" w:color="FFFFFF"/>
            </w:tcBorders>
            <w:shd w:fill="DCDDDE" w:val="clear"/>
            <w:tcMar>
              <w:bottom w:w="28" w:type="dxa"/>
            </w:tcMar>
            <w:vAlign w:val="center"/>
          </w:tcPr>
          <w:p>
            <w:pPr>
              <w:pStyle w:val="TableContents"/>
              <w:spacing w:before="0" w:after="0"/>
              <w:jc w:val="left"/>
              <w:rPr>
                <w:caps w:val="false"/>
                <w:smallCaps w:val="false"/>
              </w:rPr>
            </w:pPr>
            <w:r>
              <w:rPr>
                <w:caps w:val="false"/>
                <w:smallCaps w:val="false"/>
              </w:rPr>
              <w:t> </w:t>
            </w:r>
            <w:r>
              <w:rPr>
                <w:rFonts w:ascii="Arial;Helvetica;Sans-Serif" w:hAnsi="Arial;Helvetica;Sans-Serif"/>
                <w:b w:val="false"/>
                <w:i w:val="false"/>
                <w:caps w:val="false"/>
                <w:smallCaps w:val="false"/>
                <w:color w:val="231F20"/>
                <w:sz w:val="16"/>
              </w:rPr>
              <w:t xml:space="preserve">$300,009 </w:t>
            </w:r>
          </w:p>
        </w:tc>
        <w:tc>
          <w:tcPr>
            <w:tcW w:w="1730" w:type="dxa"/>
            <w:tcBorders>
              <w:bottom w:val="single" w:sz="36" w:space="0" w:color="FFFFFF"/>
            </w:tcBorders>
            <w:shd w:fill="DCDDDE" w:val="clear"/>
            <w:tcMar>
              <w:bottom w:w="28" w:type="dxa"/>
            </w:tcM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 xml:space="preserve">$93,750 </w:t>
            </w:r>
          </w:p>
        </w:tc>
        <w:tc>
          <w:tcPr>
            <w:tcW w:w="1235" w:type="dxa"/>
            <w:tcBorders>
              <w:bottom w:val="single" w:sz="36" w:space="0" w:color="FFFFFF"/>
            </w:tcBorders>
            <w:shd w:fill="DCDDDE" w:val="clear"/>
            <w:tcMar>
              <w:bottom w:w="28" w:type="dxa"/>
            </w:tcM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 xml:space="preserve">$3,086 </w:t>
            </w:r>
          </w:p>
        </w:tc>
        <w:tc>
          <w:tcPr>
            <w:tcW w:w="935" w:type="dxa"/>
            <w:tcBorders>
              <w:bottom w:val="single" w:sz="36" w:space="0" w:color="FFFFFF"/>
            </w:tcBorders>
            <w:shd w:fill="DCDDDE" w:val="clear"/>
            <w:tcMar>
              <w:bottom w:w="28" w:type="dxa"/>
            </w:tcMar>
            <w:vAlign w:val="center"/>
          </w:tcPr>
          <w:p>
            <w:pPr>
              <w:pStyle w:val="TableContents"/>
              <w:spacing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$950,235</w:t>
            </w:r>
          </w:p>
          <w:p>
            <w:pPr>
              <w:pStyle w:val="TableContents"/>
              <w:spacing w:before="0" w:after="0"/>
              <w:jc w:val="left"/>
              <w:rPr>
                <w:caps w:val="false"/>
                <w:smallCaps w:val="false"/>
              </w:rPr>
            </w:pPr>
            <w:r>
              <w:rPr>
                <w:caps w:val="false"/>
                <w:smallCaps w:val="false"/>
              </w:rPr>
              <w:t> </w:t>
            </w:r>
          </w:p>
          <w:p>
            <w:pPr>
              <w:pStyle w:val="TableContents"/>
              <w:spacing w:before="0" w:after="0"/>
              <w:jc w:val="left"/>
              <w:rPr>
                <w:caps w:val="false"/>
                <w:smallCaps w:val="false"/>
                <w:color w:val="231F20"/>
              </w:rPr>
            </w:pPr>
            <w:r>
              <w:rPr>
                <w:caps w:val="false"/>
                <w:smallCaps w:val="false"/>
                <w:color w:val="231F20"/>
              </w:rPr>
              <w:t> </w:t>
            </w:r>
          </w:p>
        </w:tc>
      </w:tr>
      <w:tr>
        <w:trPr/>
        <w:tc>
          <w:tcPr>
            <w:tcW w:w="1865" w:type="dxa"/>
            <w:tcBorders/>
            <w:shd w:fill="DCDDDE"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Charles R. Freund</w:t>
            </w:r>
          </w:p>
        </w:tc>
        <w:tc>
          <w:tcPr>
            <w:tcW w:w="38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2022</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$388,774</w:t>
            </w:r>
          </w:p>
        </w:tc>
        <w:tc>
          <w:tcPr>
            <w:tcW w:w="650" w:type="dxa"/>
            <w:tcBorders/>
            <w:shd w:fill="DCDDDE" w:val="clear"/>
            <w:vAlign w:val="center"/>
          </w:tcPr>
          <w:p>
            <w:pPr>
              <w:pStyle w:val="TableContents"/>
              <w:spacing w:before="0" w:after="283"/>
              <w:jc w:val="left"/>
              <w:rPr>
                <w:color w:val="231F20"/>
              </w:rPr>
            </w:pPr>
            <w:r>
              <w:rPr>
                <w:color w:val="231F20"/>
              </w:rPr>
              <w:t>—</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$1,535,089</w:t>
            </w:r>
          </w:p>
        </w:tc>
        <w:tc>
          <w:tcPr>
            <w:tcW w:w="92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$2,400,075</w:t>
            </w:r>
          </w:p>
        </w:tc>
        <w:tc>
          <w:tcPr>
            <w:tcW w:w="1730" w:type="dxa"/>
            <w:tcBorders/>
            <w:shd w:fill="DCDDDE" w:val="clear"/>
            <w:vAlign w:val="center"/>
          </w:tcPr>
          <w:p>
            <w:pPr>
              <w:pStyle w:val="TableContents"/>
              <w:spacing w:before="0" w:after="283"/>
              <w:jc w:val="left"/>
              <w:rPr>
                <w:color w:val="231F20"/>
              </w:rPr>
            </w:pPr>
            <w:r>
              <w:rPr>
                <w:color w:val="231F20"/>
              </w:rPr>
              <w:t>—</w:t>
            </w:r>
          </w:p>
        </w:tc>
        <w:tc>
          <w:tcPr>
            <w:tcW w:w="12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$27,473</w:t>
            </w:r>
          </w:p>
        </w:tc>
        <w:tc>
          <w:tcPr>
            <w:tcW w:w="9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$4,351,410</w:t>
            </w:r>
          </w:p>
        </w:tc>
      </w:tr>
      <w:tr>
        <w:trPr/>
        <w:tc>
          <w:tcPr>
            <w:tcW w:w="1865" w:type="dxa"/>
            <w:tcBorders/>
            <w:shd w:fill="DCDDDE" w:val="clear"/>
            <w:vAlign w:val="center"/>
          </w:tcPr>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Former Chief</w:t>
            </w:r>
          </w:p>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Financial Officer</w:t>
            </w:r>
          </w:p>
          <w:p>
            <w:pPr>
              <w:pStyle w:val="TableContents"/>
              <w:spacing w:before="0" w:after="0"/>
              <w:jc w:val="left"/>
              <w:rPr>
                <w:caps w:val="false"/>
                <w:smallCaps w:val="false"/>
                <w:color w:val="231F20"/>
              </w:rPr>
            </w:pPr>
            <w:r>
              <w:rPr>
                <w:caps w:val="false"/>
                <w:smallCaps w:val="false"/>
                <w:color w:val="231F20"/>
              </w:rPr>
              <w:t> </w:t>
            </w:r>
          </w:p>
        </w:tc>
        <w:tc>
          <w:tcPr>
            <w:tcW w:w="38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2021</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$450,000</w:t>
            </w:r>
          </w:p>
        </w:tc>
        <w:tc>
          <w:tcPr>
            <w:tcW w:w="650" w:type="dxa"/>
            <w:tcBorders/>
            <w:shd w:fill="auto" w:val="clear"/>
            <w:vAlign w:val="center"/>
          </w:tcPr>
          <w:p>
            <w:pPr>
              <w:pStyle w:val="TableContents"/>
              <w:spacing w:before="0" w:after="283"/>
              <w:jc w:val="left"/>
              <w:rPr>
                <w:color w:val="231F20"/>
              </w:rPr>
            </w:pPr>
            <w:r>
              <w:rPr>
                <w:color w:val="231F20"/>
              </w:rPr>
              <w:t>—</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$1,535,353</w:t>
            </w:r>
          </w:p>
        </w:tc>
        <w:tc>
          <w:tcPr>
            <w:tcW w:w="92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$1,183,576</w:t>
            </w:r>
          </w:p>
        </w:tc>
        <w:tc>
          <w:tcPr>
            <w:tcW w:w="17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$135,000</w:t>
            </w:r>
          </w:p>
        </w:tc>
        <w:tc>
          <w:tcPr>
            <w:tcW w:w="12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$34,205</w:t>
            </w:r>
          </w:p>
        </w:tc>
        <w:tc>
          <w:tcPr>
            <w:tcW w:w="9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$3,338,134</w:t>
            </w:r>
          </w:p>
        </w:tc>
      </w:tr>
      <w:tr>
        <w:trPr/>
        <w:tc>
          <w:tcPr>
            <w:tcW w:w="1865" w:type="dxa"/>
            <w:tcBorders>
              <w:bottom w:val="single" w:sz="36" w:space="0" w:color="FFFFFF"/>
            </w:tcBorders>
            <w:shd w:fill="DCDDDE" w:val="clear"/>
            <w:tcMar>
              <w:bottom w:w="28" w:type="dxa"/>
            </w:tcMar>
            <w:vAlign w:val="center"/>
          </w:tcPr>
          <w:p>
            <w:pPr>
              <w:pStyle w:val="TableContents"/>
              <w:spacing w:before="0" w:after="283"/>
              <w:jc w:val="left"/>
              <w:rPr/>
            </w:pPr>
            <w:r>
              <w:rPr/>
              <w:t> </w:t>
            </w:r>
          </w:p>
        </w:tc>
        <w:tc>
          <w:tcPr>
            <w:tcW w:w="380" w:type="dxa"/>
            <w:tcBorders>
              <w:bottom w:val="single" w:sz="36" w:space="0" w:color="FFFFFF"/>
            </w:tcBorders>
            <w:shd w:fill="DCDDDE" w:val="clear"/>
            <w:tcMar>
              <w:bottom w:w="28" w:type="dxa"/>
            </w:tcM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2020</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$361,635</w:t>
            </w:r>
          </w:p>
        </w:tc>
        <w:tc>
          <w:tcPr>
            <w:tcW w:w="65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$50,000</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$844,897</w:t>
            </w:r>
          </w:p>
        </w:tc>
        <w:tc>
          <w:tcPr>
            <w:tcW w:w="92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$1,000,022</w:t>
            </w:r>
          </w:p>
        </w:tc>
        <w:tc>
          <w:tcPr>
            <w:tcW w:w="17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$80,156</w:t>
            </w:r>
          </w:p>
        </w:tc>
        <w:tc>
          <w:tcPr>
            <w:tcW w:w="12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$32,368</w:t>
            </w:r>
          </w:p>
        </w:tc>
        <w:tc>
          <w:tcPr>
            <w:tcW w:w="9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$2,369,077</w:t>
            </w:r>
          </w:p>
        </w:tc>
      </w:tr>
      <w:tr>
        <w:trPr/>
        <w:tc>
          <w:tcPr>
            <w:tcW w:w="1865" w:type="dxa"/>
            <w:tcBorders/>
            <w:shd w:fill="DCDDDE" w:val="clear"/>
            <w:vAlign w:val="center"/>
          </w:tcPr>
          <w:p>
            <w:pPr>
              <w:pStyle w:val="TableContents"/>
              <w:spacing w:lineRule="auto" w:line="240" w:before="0" w:after="283"/>
              <w:jc w:val="left"/>
              <w:rPr/>
            </w:pPr>
            <w:r>
              <w:rPr>
                <w:rFonts w:ascii="Arial;Helvetica;Sans-Serif" w:hAnsi="Arial;Helvetica;Sans-Serif"/>
                <w:b/>
                <w:color w:val="58595B"/>
                <w:sz w:val="16"/>
              </w:rPr>
              <w:t xml:space="preserve">Armando L. Netto </w:t>
            </w:r>
            <w:r>
              <w:rPr>
                <w:rFonts w:ascii="Arial;Helvetica;Sans-Serif" w:hAnsi="Arial;Helvetica;Sans-Serif"/>
                <w:b/>
                <w:color w:val="58595B"/>
              </w:rPr>
              <w:t>(7)</w:t>
            </w:r>
          </w:p>
        </w:tc>
        <w:tc>
          <w:tcPr>
            <w:tcW w:w="38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2022</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$483,780</w:t>
            </w:r>
          </w:p>
        </w:tc>
        <w:tc>
          <w:tcPr>
            <w:tcW w:w="65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$64,482</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$1,535,089</w:t>
            </w:r>
          </w:p>
        </w:tc>
        <w:tc>
          <w:tcPr>
            <w:tcW w:w="92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$2,400,075</w:t>
            </w:r>
          </w:p>
        </w:tc>
        <w:tc>
          <w:tcPr>
            <w:tcW w:w="17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$226,582</w:t>
            </w:r>
          </w:p>
        </w:tc>
        <w:tc>
          <w:tcPr>
            <w:tcW w:w="12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$32,779</w:t>
            </w:r>
          </w:p>
        </w:tc>
        <w:tc>
          <w:tcPr>
            <w:tcW w:w="9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$4,742,787</w:t>
            </w:r>
          </w:p>
        </w:tc>
      </w:tr>
      <w:tr>
        <w:trPr/>
        <w:tc>
          <w:tcPr>
            <w:tcW w:w="1865" w:type="dxa"/>
            <w:tcBorders/>
            <w:shd w:fill="DCDDDE" w:val="clear"/>
            <w:vAlign w:val="center"/>
          </w:tcPr>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Group President,</w:t>
            </w:r>
          </w:p>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Brazil</w:t>
            </w:r>
          </w:p>
          <w:p>
            <w:pPr>
              <w:pStyle w:val="TableContents"/>
              <w:spacing w:before="0" w:after="0"/>
              <w:jc w:val="left"/>
              <w:rPr>
                <w:caps w:val="false"/>
                <w:smallCaps w:val="false"/>
                <w:color w:val="231F20"/>
              </w:rPr>
            </w:pPr>
            <w:r>
              <w:rPr>
                <w:caps w:val="false"/>
                <w:smallCaps w:val="false"/>
                <w:color w:val="231F20"/>
              </w:rPr>
              <w:t> </w:t>
            </w:r>
          </w:p>
        </w:tc>
        <w:tc>
          <w:tcPr>
            <w:tcW w:w="38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2021</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$425,945</w:t>
            </w:r>
          </w:p>
        </w:tc>
        <w:tc>
          <w:tcPr>
            <w:tcW w:w="650" w:type="dxa"/>
            <w:tcBorders/>
            <w:shd w:fill="auto" w:val="clear"/>
            <w:vAlign w:val="center"/>
          </w:tcPr>
          <w:p>
            <w:pPr>
              <w:pStyle w:val="TableContents"/>
              <w:spacing w:before="0" w:after="283"/>
              <w:jc w:val="left"/>
              <w:rPr>
                <w:color w:val="231F20"/>
              </w:rPr>
            </w:pPr>
            <w:r>
              <w:rPr>
                <w:color w:val="231F20"/>
              </w:rPr>
              <w:t>—</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$1,535,353</w:t>
            </w:r>
          </w:p>
        </w:tc>
        <w:tc>
          <w:tcPr>
            <w:tcW w:w="92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$5,310,426</w:t>
            </w:r>
          </w:p>
        </w:tc>
        <w:tc>
          <w:tcPr>
            <w:tcW w:w="17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$460,021</w:t>
            </w:r>
          </w:p>
        </w:tc>
        <w:tc>
          <w:tcPr>
            <w:tcW w:w="12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$31,069</w:t>
            </w:r>
          </w:p>
        </w:tc>
        <w:tc>
          <w:tcPr>
            <w:tcW w:w="9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$7,762,813</w:t>
            </w:r>
          </w:p>
        </w:tc>
      </w:tr>
      <w:tr>
        <w:trPr/>
        <w:tc>
          <w:tcPr>
            <w:tcW w:w="1865" w:type="dxa"/>
            <w:tcBorders>
              <w:bottom w:val="single" w:sz="36" w:space="0" w:color="FFFFFF"/>
            </w:tcBorders>
            <w:shd w:fill="DCDDDE" w:val="clear"/>
            <w:tcMar>
              <w:bottom w:w="28" w:type="dxa"/>
            </w:tcMar>
            <w:vAlign w:val="center"/>
          </w:tcPr>
          <w:p>
            <w:pPr>
              <w:pStyle w:val="TableContents"/>
              <w:spacing w:before="0" w:after="283"/>
              <w:jc w:val="left"/>
              <w:rPr/>
            </w:pPr>
            <w:r>
              <w:rPr/>
              <w:t> </w:t>
            </w:r>
          </w:p>
        </w:tc>
        <w:tc>
          <w:tcPr>
            <w:tcW w:w="380" w:type="dxa"/>
            <w:tcBorders>
              <w:bottom w:val="single" w:sz="36" w:space="0" w:color="FFFFFF"/>
            </w:tcBorders>
            <w:shd w:fill="DCDDDE" w:val="clear"/>
            <w:tcMar>
              <w:bottom w:w="28" w:type="dxa"/>
            </w:tcM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2020</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$347,036</w:t>
            </w:r>
          </w:p>
        </w:tc>
        <w:tc>
          <w:tcPr>
            <w:tcW w:w="650" w:type="dxa"/>
            <w:tcBorders>
              <w:bottom w:val="single" w:sz="36" w:space="0" w:color="FFFFFF"/>
            </w:tcBorders>
            <w:shd w:fill="DCDDDE" w:val="clear"/>
            <w:tcMar>
              <w:bottom w:w="28" w:type="dxa"/>
            </w:tcMar>
            <w:vAlign w:val="center"/>
          </w:tcPr>
          <w:p>
            <w:pPr>
              <w:pStyle w:val="TableContents"/>
              <w:spacing w:before="0" w:after="283"/>
              <w:jc w:val="left"/>
              <w:rPr>
                <w:color w:val="231F20"/>
              </w:rPr>
            </w:pPr>
            <w:r>
              <w:rPr>
                <w:color w:val="231F20"/>
              </w:rPr>
              <w:t>—</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$971,520</w:t>
            </w:r>
          </w:p>
        </w:tc>
        <w:tc>
          <w:tcPr>
            <w:tcW w:w="92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$1,200,016</w:t>
            </w:r>
          </w:p>
        </w:tc>
        <w:tc>
          <w:tcPr>
            <w:tcW w:w="17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$227,698</w:t>
            </w:r>
          </w:p>
        </w:tc>
        <w:tc>
          <w:tcPr>
            <w:tcW w:w="12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$31,413</w:t>
            </w:r>
          </w:p>
        </w:tc>
        <w:tc>
          <w:tcPr>
            <w:tcW w:w="9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$2,777,684</w:t>
            </w:r>
          </w:p>
        </w:tc>
      </w:tr>
      <w:tr>
        <w:trPr/>
        <w:tc>
          <w:tcPr>
            <w:tcW w:w="1865" w:type="dxa"/>
            <w:tcBorders/>
            <w:shd w:fill="DCDDDE" w:val="clear"/>
            <w:vAlign w:val="center"/>
          </w:tcPr>
          <w:p>
            <w:pPr>
              <w:pStyle w:val="TableContents"/>
              <w:spacing w:lineRule="auto" w:line="240" w:before="0" w:after="283"/>
              <w:jc w:val="left"/>
              <w:rPr/>
            </w:pPr>
            <w:r>
              <w:rPr>
                <w:rFonts w:ascii="Arial;Helvetica;Sans-Serif" w:hAnsi="Arial;Helvetica;Sans-Serif"/>
                <w:b/>
                <w:color w:val="58595B"/>
                <w:sz w:val="16"/>
              </w:rPr>
              <w:t xml:space="preserve">Alan King </w:t>
            </w:r>
            <w:r>
              <w:rPr>
                <w:rFonts w:ascii="Arial;Helvetica;Sans-Serif" w:hAnsi="Arial;Helvetica;Sans-Serif"/>
                <w:b/>
                <w:color w:val="58595B"/>
              </w:rPr>
              <w:t>(7)</w:t>
            </w:r>
          </w:p>
        </w:tc>
        <w:tc>
          <w:tcPr>
            <w:tcW w:w="38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2022</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$399,089</w:t>
            </w:r>
          </w:p>
        </w:tc>
        <w:tc>
          <w:tcPr>
            <w:tcW w:w="650" w:type="dxa"/>
            <w:tcBorders/>
            <w:shd w:fill="DCDDDE" w:val="clear"/>
            <w:vAlign w:val="center"/>
          </w:tcPr>
          <w:p>
            <w:pPr>
              <w:pStyle w:val="TableContents"/>
              <w:spacing w:before="0" w:after="283"/>
              <w:jc w:val="left"/>
              <w:rPr>
                <w:color w:val="231F20"/>
              </w:rPr>
            </w:pPr>
            <w:r>
              <w:rPr>
                <w:color w:val="231F20"/>
              </w:rPr>
              <w:t>—</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$1,535,089</w:t>
            </w:r>
          </w:p>
        </w:tc>
        <w:tc>
          <w:tcPr>
            <w:tcW w:w="92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$2,400,075</w:t>
            </w:r>
          </w:p>
        </w:tc>
        <w:tc>
          <w:tcPr>
            <w:tcW w:w="17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$393,986</w:t>
            </w:r>
          </w:p>
        </w:tc>
        <w:tc>
          <w:tcPr>
            <w:tcW w:w="12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$253,271</w:t>
            </w:r>
          </w:p>
        </w:tc>
        <w:tc>
          <w:tcPr>
            <w:tcW w:w="9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$4,981,510</w:t>
            </w:r>
          </w:p>
        </w:tc>
      </w:tr>
      <w:tr>
        <w:trPr/>
        <w:tc>
          <w:tcPr>
            <w:tcW w:w="1865" w:type="dxa"/>
            <w:tcBorders/>
            <w:shd w:fill="DCDDDE" w:val="clear"/>
            <w:vAlign w:val="center"/>
          </w:tcPr>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Group President,</w:t>
            </w:r>
          </w:p>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Global Fleet</w:t>
            </w:r>
          </w:p>
          <w:p>
            <w:pPr>
              <w:pStyle w:val="TableContents"/>
              <w:spacing w:before="0" w:after="0"/>
              <w:jc w:val="left"/>
              <w:rPr>
                <w:caps w:val="false"/>
                <w:smallCaps w:val="false"/>
                <w:color w:val="231F20"/>
              </w:rPr>
            </w:pPr>
            <w:r>
              <w:rPr>
                <w:caps w:val="false"/>
                <w:smallCaps w:val="false"/>
                <w:color w:val="231F20"/>
              </w:rPr>
              <w:t> </w:t>
            </w:r>
          </w:p>
        </w:tc>
        <w:tc>
          <w:tcPr>
            <w:tcW w:w="38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2021</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$409,287</w:t>
            </w:r>
          </w:p>
        </w:tc>
        <w:tc>
          <w:tcPr>
            <w:tcW w:w="650" w:type="dxa"/>
            <w:tcBorders/>
            <w:shd w:fill="auto" w:val="clear"/>
            <w:vAlign w:val="center"/>
          </w:tcPr>
          <w:p>
            <w:pPr>
              <w:pStyle w:val="TableContents"/>
              <w:spacing w:before="0" w:after="283"/>
              <w:jc w:val="left"/>
              <w:rPr>
                <w:color w:val="231F20"/>
              </w:rPr>
            </w:pPr>
            <w:r>
              <w:rPr>
                <w:color w:val="231F20"/>
              </w:rPr>
              <w:t>—</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$1,335,373</w:t>
            </w:r>
          </w:p>
        </w:tc>
        <w:tc>
          <w:tcPr>
            <w:tcW w:w="92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$986,337</w:t>
            </w:r>
          </w:p>
        </w:tc>
        <w:tc>
          <w:tcPr>
            <w:tcW w:w="17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$385,161</w:t>
            </w:r>
          </w:p>
        </w:tc>
        <w:tc>
          <w:tcPr>
            <w:tcW w:w="12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$22,601</w:t>
            </w:r>
          </w:p>
        </w:tc>
        <w:tc>
          <w:tcPr>
            <w:tcW w:w="9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$3,138,759</w:t>
            </w:r>
          </w:p>
        </w:tc>
      </w:tr>
      <w:tr>
        <w:trPr/>
        <w:tc>
          <w:tcPr>
            <w:tcW w:w="1865" w:type="dxa"/>
            <w:tcBorders>
              <w:bottom w:val="single" w:sz="36" w:space="0" w:color="FFFFFF"/>
            </w:tcBorders>
            <w:shd w:fill="DCDDDE" w:val="clear"/>
            <w:tcMar>
              <w:bottom w:w="28" w:type="dxa"/>
            </w:tcMar>
            <w:vAlign w:val="center"/>
          </w:tcPr>
          <w:p>
            <w:pPr>
              <w:pStyle w:val="TableContents"/>
              <w:spacing w:before="0" w:after="283"/>
              <w:jc w:val="left"/>
              <w:rPr/>
            </w:pPr>
            <w:r>
              <w:rPr/>
              <w:t> </w:t>
            </w:r>
          </w:p>
        </w:tc>
        <w:tc>
          <w:tcPr>
            <w:tcW w:w="380" w:type="dxa"/>
            <w:tcBorders>
              <w:bottom w:val="single" w:sz="36" w:space="0" w:color="FFFFFF"/>
            </w:tcBorders>
            <w:shd w:fill="DCDDDE" w:val="clear"/>
            <w:tcMar>
              <w:bottom w:w="28" w:type="dxa"/>
            </w:tcM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2020</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$423,077</w:t>
            </w:r>
          </w:p>
        </w:tc>
        <w:tc>
          <w:tcPr>
            <w:tcW w:w="650" w:type="dxa"/>
            <w:tcBorders>
              <w:bottom w:val="single" w:sz="36" w:space="0" w:color="FFFFFF"/>
            </w:tcBorders>
            <w:shd w:fill="DCDDDE" w:val="clear"/>
            <w:tcMar>
              <w:bottom w:w="28" w:type="dxa"/>
            </w:tcMar>
            <w:vAlign w:val="center"/>
          </w:tcPr>
          <w:p>
            <w:pPr>
              <w:pStyle w:val="TableContents"/>
              <w:spacing w:before="0" w:after="283"/>
              <w:jc w:val="left"/>
              <w:rPr>
                <w:color w:val="231F20"/>
              </w:rPr>
            </w:pPr>
            <w:r>
              <w:rPr>
                <w:color w:val="231F20"/>
              </w:rPr>
              <w:t>—</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$844,897</w:t>
            </w:r>
          </w:p>
        </w:tc>
        <w:tc>
          <w:tcPr>
            <w:tcW w:w="92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$1,000,022</w:t>
            </w:r>
          </w:p>
        </w:tc>
        <w:tc>
          <w:tcPr>
            <w:tcW w:w="17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$143,455</w:t>
            </w:r>
          </w:p>
        </w:tc>
        <w:tc>
          <w:tcPr>
            <w:tcW w:w="12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$20,553</w:t>
            </w:r>
          </w:p>
        </w:tc>
        <w:tc>
          <w:tcPr>
            <w:tcW w:w="9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$2,432,003</w:t>
            </w:r>
          </w:p>
        </w:tc>
      </w:tr>
      <w:tr>
        <w:trPr/>
        <w:tc>
          <w:tcPr>
            <w:tcW w:w="1865" w:type="dxa"/>
            <w:tcBorders/>
            <w:shd w:fill="DCDDDE"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Alexey Gavrilenya</w:t>
            </w:r>
          </w:p>
        </w:tc>
        <w:tc>
          <w:tcPr>
            <w:tcW w:w="38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2022</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$180,000</w:t>
            </w:r>
          </w:p>
        </w:tc>
        <w:tc>
          <w:tcPr>
            <w:tcW w:w="650" w:type="dxa"/>
            <w:tcBorders/>
            <w:shd w:fill="DCDDDE" w:val="clear"/>
            <w:vAlign w:val="center"/>
          </w:tcPr>
          <w:p>
            <w:pPr>
              <w:pStyle w:val="TableContents"/>
              <w:spacing w:before="0" w:after="283"/>
              <w:jc w:val="left"/>
              <w:rPr>
                <w:color w:val="231F20"/>
              </w:rPr>
            </w:pPr>
            <w:r>
              <w:rPr>
                <w:color w:val="231F20"/>
              </w:rPr>
              <w:t>—</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$1,535,089</w:t>
            </w:r>
          </w:p>
        </w:tc>
        <w:tc>
          <w:tcPr>
            <w:tcW w:w="92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$2,400,075</w:t>
            </w:r>
          </w:p>
        </w:tc>
        <w:tc>
          <w:tcPr>
            <w:tcW w:w="1730" w:type="dxa"/>
            <w:tcBorders/>
            <w:shd w:fill="DCDDDE" w:val="clear"/>
            <w:vAlign w:val="center"/>
          </w:tcPr>
          <w:p>
            <w:pPr>
              <w:pStyle w:val="TableContents"/>
              <w:spacing w:before="0" w:after="283"/>
              <w:jc w:val="left"/>
              <w:rPr>
                <w:color w:val="231F20"/>
              </w:rPr>
            </w:pPr>
            <w:r>
              <w:rPr>
                <w:color w:val="231F20"/>
              </w:rPr>
              <w:t>—</w:t>
            </w:r>
          </w:p>
        </w:tc>
        <w:tc>
          <w:tcPr>
            <w:tcW w:w="12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$34,439</w:t>
            </w:r>
          </w:p>
        </w:tc>
        <w:tc>
          <w:tcPr>
            <w:tcW w:w="9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$4,149,603</w:t>
            </w:r>
          </w:p>
        </w:tc>
      </w:tr>
      <w:tr>
        <w:trPr/>
        <w:tc>
          <w:tcPr>
            <w:tcW w:w="1865" w:type="dxa"/>
            <w:tcBorders/>
            <w:shd w:fill="DCDDDE" w:val="clear"/>
            <w:vAlign w:val="center"/>
          </w:tcPr>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Former Group President,</w:t>
            </w:r>
          </w:p>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North America Fuel</w:t>
            </w:r>
          </w:p>
          <w:p>
            <w:pPr>
              <w:pStyle w:val="TableContents"/>
              <w:spacing w:before="0" w:after="0"/>
              <w:jc w:val="left"/>
              <w:rPr>
                <w:caps w:val="false"/>
                <w:smallCaps w:val="false"/>
                <w:color w:val="231F20"/>
              </w:rPr>
            </w:pPr>
            <w:r>
              <w:rPr>
                <w:caps w:val="false"/>
                <w:smallCaps w:val="false"/>
                <w:color w:val="231F20"/>
              </w:rPr>
              <w:t> </w:t>
            </w:r>
          </w:p>
        </w:tc>
        <w:tc>
          <w:tcPr>
            <w:tcW w:w="38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2021</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$400,000</w:t>
            </w:r>
          </w:p>
        </w:tc>
        <w:tc>
          <w:tcPr>
            <w:tcW w:w="650" w:type="dxa"/>
            <w:tcBorders/>
            <w:shd w:fill="auto" w:val="clear"/>
            <w:vAlign w:val="center"/>
          </w:tcPr>
          <w:p>
            <w:pPr>
              <w:pStyle w:val="TableContents"/>
              <w:spacing w:before="0" w:after="283"/>
              <w:jc w:val="left"/>
              <w:rPr>
                <w:color w:val="231F20"/>
              </w:rPr>
            </w:pPr>
            <w:r>
              <w:rPr>
                <w:color w:val="231F20"/>
              </w:rPr>
              <w:t>—</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$1,535,353</w:t>
            </w:r>
          </w:p>
        </w:tc>
        <w:tc>
          <w:tcPr>
            <w:tcW w:w="92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$1,183,576</w:t>
            </w:r>
          </w:p>
        </w:tc>
        <w:tc>
          <w:tcPr>
            <w:tcW w:w="17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$360,000</w:t>
            </w:r>
          </w:p>
        </w:tc>
        <w:tc>
          <w:tcPr>
            <w:tcW w:w="12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$36,625</w:t>
            </w:r>
          </w:p>
        </w:tc>
        <w:tc>
          <w:tcPr>
            <w:tcW w:w="9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$3,515,554</w:t>
            </w:r>
          </w:p>
        </w:tc>
      </w:tr>
      <w:tr>
        <w:trPr/>
        <w:tc>
          <w:tcPr>
            <w:tcW w:w="1865" w:type="dxa"/>
            <w:tcBorders>
              <w:bottom w:val="single" w:sz="36" w:space="0" w:color="FFFFFF"/>
            </w:tcBorders>
            <w:shd w:fill="DCDDDE" w:val="clear"/>
            <w:tcMar>
              <w:bottom w:w="28" w:type="dxa"/>
            </w:tcMar>
            <w:vAlign w:val="center"/>
          </w:tcPr>
          <w:p>
            <w:pPr>
              <w:pStyle w:val="TableContents"/>
              <w:spacing w:before="0" w:after="283"/>
              <w:jc w:val="left"/>
              <w:rPr/>
            </w:pPr>
            <w:r>
              <w:rPr/>
              <w:t> </w:t>
            </w:r>
          </w:p>
        </w:tc>
        <w:tc>
          <w:tcPr>
            <w:tcW w:w="380" w:type="dxa"/>
            <w:tcBorders>
              <w:bottom w:val="single" w:sz="36" w:space="0" w:color="FFFFFF"/>
            </w:tcBorders>
            <w:shd w:fill="DCDDDE" w:val="clear"/>
            <w:tcMar>
              <w:bottom w:w="28" w:type="dxa"/>
            </w:tcM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2020</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$316,154</w:t>
            </w:r>
          </w:p>
        </w:tc>
        <w:tc>
          <w:tcPr>
            <w:tcW w:w="650" w:type="dxa"/>
            <w:tcBorders>
              <w:bottom w:val="single" w:sz="36" w:space="0" w:color="FFFFFF"/>
            </w:tcBorders>
            <w:shd w:fill="DCDDDE" w:val="clear"/>
            <w:tcMar>
              <w:bottom w:w="28" w:type="dxa"/>
            </w:tcMar>
            <w:vAlign w:val="center"/>
          </w:tcPr>
          <w:p>
            <w:pPr>
              <w:pStyle w:val="TableContents"/>
              <w:spacing w:before="0" w:after="283"/>
              <w:jc w:val="left"/>
              <w:rPr>
                <w:color w:val="231F20"/>
              </w:rPr>
            </w:pPr>
            <w:r>
              <w:rPr>
                <w:color w:val="231F20"/>
              </w:rPr>
              <w:t>—</w:t>
            </w:r>
          </w:p>
        </w:tc>
        <w:tc>
          <w:tcPr>
            <w:tcW w:w="8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$971,520</w:t>
            </w:r>
          </w:p>
        </w:tc>
        <w:tc>
          <w:tcPr>
            <w:tcW w:w="92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$1,200,016</w:t>
            </w:r>
          </w:p>
        </w:tc>
        <w:tc>
          <w:tcPr>
            <w:tcW w:w="1730"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$93,600</w:t>
            </w:r>
          </w:p>
        </w:tc>
        <w:tc>
          <w:tcPr>
            <w:tcW w:w="12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$31,756</w:t>
            </w:r>
          </w:p>
        </w:tc>
        <w:tc>
          <w:tcPr>
            <w:tcW w:w="935" w:type="dxa"/>
            <w:tcBorders>
              <w:bottom w:val="single" w:sz="36" w:space="0" w:color="FFFFFF"/>
            </w:tcBorders>
            <w:shd w:fill="DCDDDE" w:val="clear"/>
            <w:tcMar>
              <w:bottom w:w="28" w:type="dxa"/>
            </w:tcM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$2,613,046</w:t>
            </w:r>
          </w:p>
        </w:tc>
      </w:tr>
      <w:tr>
        <w:trPr/>
        <w:tc>
          <w:tcPr>
            <w:tcW w:w="1865" w:type="dxa"/>
            <w:tcBorders/>
            <w:shd w:fill="DCDDDE"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John S. Coughlin</w:t>
            </w:r>
          </w:p>
        </w:tc>
        <w:tc>
          <w:tcPr>
            <w:tcW w:w="38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2022</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$155,769</w:t>
            </w:r>
          </w:p>
        </w:tc>
        <w:tc>
          <w:tcPr>
            <w:tcW w:w="650" w:type="dxa"/>
            <w:tcBorders/>
            <w:shd w:fill="DCDDDE" w:val="clear"/>
            <w:vAlign w:val="center"/>
          </w:tcPr>
          <w:p>
            <w:pPr>
              <w:pStyle w:val="TableContents"/>
              <w:spacing w:before="0" w:after="283"/>
              <w:jc w:val="left"/>
              <w:rPr>
                <w:color w:val="231F20"/>
              </w:rPr>
            </w:pPr>
            <w:r>
              <w:rPr>
                <w:color w:val="231F20"/>
              </w:rPr>
              <w:t>—</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$1,535,089</w:t>
            </w:r>
          </w:p>
        </w:tc>
        <w:tc>
          <w:tcPr>
            <w:tcW w:w="92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$2,400,075</w:t>
            </w:r>
          </w:p>
        </w:tc>
        <w:tc>
          <w:tcPr>
            <w:tcW w:w="1730" w:type="dxa"/>
            <w:tcBorders/>
            <w:shd w:fill="DCDDDE" w:val="clear"/>
            <w:vAlign w:val="center"/>
          </w:tcPr>
          <w:p>
            <w:pPr>
              <w:pStyle w:val="TableContents"/>
              <w:spacing w:before="0" w:after="283"/>
              <w:jc w:val="left"/>
              <w:rPr>
                <w:color w:val="231F20"/>
              </w:rPr>
            </w:pPr>
            <w:r>
              <w:rPr>
                <w:color w:val="231F20"/>
              </w:rPr>
              <w:t>—</w:t>
            </w:r>
          </w:p>
        </w:tc>
        <w:tc>
          <w:tcPr>
            <w:tcW w:w="12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$33,916</w:t>
            </w:r>
          </w:p>
        </w:tc>
        <w:tc>
          <w:tcPr>
            <w:tcW w:w="9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$4,124,849</w:t>
            </w:r>
          </w:p>
        </w:tc>
      </w:tr>
      <w:tr>
        <w:trPr/>
        <w:tc>
          <w:tcPr>
            <w:tcW w:w="1865" w:type="dxa"/>
            <w:tcBorders/>
            <w:shd w:fill="DCDDDE" w:val="clear"/>
            <w:vAlign w:val="center"/>
          </w:tcPr>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Former Group President,</w:t>
            </w:r>
          </w:p>
          <w:p>
            <w:pPr>
              <w:pStyle w:val="TableContents"/>
              <w:spacing w:before="0" w:after="0"/>
              <w:jc w:val="left"/>
              <w:rPr>
                <w:rFonts w:ascii="Arial;Helvetica;Sans-Serif" w:hAnsi="Arial;Helvetica;Sans-Serif"/>
                <w:b w:val="false"/>
                <w:i/>
                <w:caps w:val="false"/>
                <w:smallCaps w:val="false"/>
                <w:color w:val="231F20"/>
                <w:sz w:val="16"/>
              </w:rPr>
            </w:pPr>
            <w:r>
              <w:rPr>
                <w:rFonts w:ascii="Arial;Helvetica;Sans-Serif" w:hAnsi="Arial;Helvetica;Sans-Serif"/>
                <w:b w:val="false"/>
                <w:i/>
                <w:caps w:val="false"/>
                <w:smallCaps w:val="false"/>
                <w:color w:val="231F20"/>
                <w:sz w:val="16"/>
              </w:rPr>
              <w:t>Corporate Payments</w:t>
            </w:r>
          </w:p>
          <w:p>
            <w:pPr>
              <w:pStyle w:val="TableContents"/>
              <w:spacing w:before="0" w:after="0"/>
              <w:jc w:val="left"/>
              <w:rPr>
                <w:caps w:val="false"/>
                <w:smallCaps w:val="false"/>
                <w:color w:val="231F20"/>
              </w:rPr>
            </w:pPr>
            <w:r>
              <w:rPr>
                <w:caps w:val="false"/>
                <w:smallCaps w:val="false"/>
                <w:color w:val="231F20"/>
              </w:rPr>
              <w:t> </w:t>
            </w:r>
          </w:p>
        </w:tc>
        <w:tc>
          <w:tcPr>
            <w:tcW w:w="38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2021</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$450,000</w:t>
            </w:r>
          </w:p>
        </w:tc>
        <w:tc>
          <w:tcPr>
            <w:tcW w:w="650" w:type="dxa"/>
            <w:tcBorders/>
            <w:shd w:fill="auto" w:val="clear"/>
            <w:vAlign w:val="center"/>
          </w:tcPr>
          <w:p>
            <w:pPr>
              <w:pStyle w:val="TableContents"/>
              <w:spacing w:before="0" w:after="283"/>
              <w:jc w:val="left"/>
              <w:rPr>
                <w:color w:val="231F20"/>
              </w:rPr>
            </w:pPr>
            <w:r>
              <w:rPr>
                <w:color w:val="231F20"/>
              </w:rPr>
              <w:t>—</w:t>
            </w:r>
          </w:p>
        </w:tc>
        <w:tc>
          <w:tcPr>
            <w:tcW w:w="8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$1,535,353</w:t>
            </w:r>
          </w:p>
        </w:tc>
        <w:tc>
          <w:tcPr>
            <w:tcW w:w="92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$1,183,576</w:t>
            </w:r>
          </w:p>
        </w:tc>
        <w:tc>
          <w:tcPr>
            <w:tcW w:w="1730"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$280,125</w:t>
            </w:r>
          </w:p>
        </w:tc>
        <w:tc>
          <w:tcPr>
            <w:tcW w:w="12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$33,766</w:t>
            </w:r>
          </w:p>
        </w:tc>
        <w:tc>
          <w:tcPr>
            <w:tcW w:w="935" w:type="dxa"/>
            <w:tcBorders/>
            <w:shd w:fill="auto"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$3,482,820</w:t>
            </w:r>
          </w:p>
        </w:tc>
      </w:tr>
      <w:tr>
        <w:trPr/>
        <w:tc>
          <w:tcPr>
            <w:tcW w:w="1865" w:type="dxa"/>
            <w:tcBorders/>
            <w:shd w:fill="DCDDDE" w:val="clear"/>
            <w:vAlign w:val="center"/>
          </w:tcPr>
          <w:p>
            <w:pPr>
              <w:pStyle w:val="TableContents"/>
              <w:spacing w:before="0" w:after="283"/>
              <w:jc w:val="left"/>
              <w:rPr/>
            </w:pPr>
            <w:r>
              <w:rPr/>
              <w:t> </w:t>
            </w:r>
          </w:p>
        </w:tc>
        <w:tc>
          <w:tcPr>
            <w:tcW w:w="38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2020</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$372,404</w:t>
            </w:r>
          </w:p>
        </w:tc>
        <w:tc>
          <w:tcPr>
            <w:tcW w:w="650" w:type="dxa"/>
            <w:tcBorders/>
            <w:shd w:fill="DCDDDE" w:val="clear"/>
            <w:vAlign w:val="center"/>
          </w:tcPr>
          <w:p>
            <w:pPr>
              <w:pStyle w:val="TableContents"/>
              <w:spacing w:before="0" w:after="283"/>
              <w:jc w:val="left"/>
              <w:rPr>
                <w:color w:val="231F20"/>
              </w:rPr>
            </w:pPr>
            <w:r>
              <w:rPr>
                <w:color w:val="231F20"/>
              </w:rPr>
              <w:t>—</w:t>
            </w:r>
          </w:p>
        </w:tc>
        <w:tc>
          <w:tcPr>
            <w:tcW w:w="8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$971,520</w:t>
            </w:r>
          </w:p>
        </w:tc>
        <w:tc>
          <w:tcPr>
            <w:tcW w:w="92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$1,200,016</w:t>
            </w:r>
          </w:p>
        </w:tc>
        <w:tc>
          <w:tcPr>
            <w:tcW w:w="1730"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$121,078</w:t>
            </w:r>
          </w:p>
        </w:tc>
        <w:tc>
          <w:tcPr>
            <w:tcW w:w="12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$30,341</w:t>
            </w:r>
          </w:p>
        </w:tc>
        <w:tc>
          <w:tcPr>
            <w:tcW w:w="935" w:type="dxa"/>
            <w:tcBorders/>
            <w:shd w:fill="DCDDDE" w:val="clear"/>
            <w:vAlign w:val="center"/>
          </w:tcPr>
          <w:p>
            <w:pPr>
              <w:pStyle w:val="TableContents"/>
              <w:spacing w:before="0" w:after="283"/>
              <w:jc w:val="left"/>
              <w:rPr>
                <w:rFonts w:ascii="Arial;Helvetica;Sans-Serif" w:hAnsi="Arial;Helvetica;Sans-Serif"/>
                <w:color w:val="231F20"/>
                <w:sz w:val="16"/>
              </w:rPr>
            </w:pPr>
            <w:r>
              <w:rPr>
                <w:rFonts w:ascii="Arial;Helvetica;Sans-Serif" w:hAnsi="Arial;Helvetica;Sans-Serif"/>
                <w:color w:val="231F20"/>
                <w:sz w:val="16"/>
              </w:rPr>
              <w:t>$2,695,358</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6"/>
        </w:rPr>
      </w:pPr>
      <w:r>
        <w:rPr>
          <w:rFonts w:ascii="Arial;Helvetica;Sans-Serif" w:hAnsi="Arial;Helvetica;Sans-Serif"/>
          <w:b w:val="false"/>
          <w:i/>
          <w:caps w:val="false"/>
          <w:smallCaps w:val="false"/>
          <w:color w:val="58595B"/>
          <w:sz w:val="16"/>
        </w:rPr>
        <w:t>(1) Represents the salary earned for the applicable year.</w:t>
      </w:r>
      <w:r>
        <w:rPr>
          <w:rFonts w:ascii="Arial;Helvetica;Sans-Serif" w:hAnsi="Arial;Helvetica;Sans-Serif"/>
          <w:b w:val="false"/>
          <w:i w:val="false"/>
          <w:caps w:val="false"/>
          <w:smallCaps w:val="false"/>
          <w:color w:val="58595B"/>
          <w:sz w:val="16"/>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(2) For Mr. Netto and Ms. Vickery in 2022, represents the portion of such officer’s annual cash incentive award that was paid as a result of the compensation committee’s exercise of discretion to increase the payout of the award.</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(3) Includes the aggregate grant date fair value for stock awards, computed in accordance with FASB ASC Topic 718. The assumptions used to value these awards can be found in Note 6 to the financial statements included in our 2022 Annual Report on Form 10-K. For an overview of the features of the 2022 awards, see “Compensation Discussion and Analysis — Key Elements of 2022 Named Executive Officer Compensation — Equity Awards.” Grant date fair values for Performance Shares and Performance-Based RSUs are computed based on the probable outcome of the performance conditions as of the grant date for the award. The grant date fair value of the Performance Share awards, assuming maximum performance with respect to the applicable performance goals, would be as follows: $250,024 for Ms. Vickery; $335,019 for Mr. Freund; $335,019 for Mr. Netto; $335,019 for Mr. King; $335,019 for Mr. Gavrilenya; and $335,019 for Mr. Coughlin. The grant date fair value of the Performance-Based RSU awards, assuming maximum performance with respect to the applicable performance goals, would be as follows: $1,800,106 for Mr. Freund; $1,800,106 for Mr. Netto; $1,800,106 for Mr. King; $1,800,106 for Mr. Gavrilenya; and $1,800,106 for Mr. Coughlin.</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(4) Represents the aggregate grant date fair value for the stock option awards, computed in accordance with FASB ASC Topic 718. The assumptions used to value these awards can be found in Note 6 to the financial statements included in our 2022 Annual Report on Form 10-K. For an overview of the features of the 2022 awards, see “Compensation Discussion and Analysis — Key Elements of 2022 Named Executive Officer Compensation — Equity Awards.”</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(5) Represents the amounts earned under the annual cash incentive award programs based on achievement of performance goals under the program. For a description of the program, including the 2022 performance goals, see “Compensation Discussion and Analysis — Key Elements of 2022 Named Executive Officer Compensation — Annual Cash Incentive.”</w:t>
      </w:r>
    </w:p>
    <w:p>
      <w:pPr>
        <w:pStyle w:val="TextBody"/>
        <w:spacing w:before="0" w:after="0"/>
        <w:jc w:val="right"/>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44</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spacing w:before="0" w:after="0"/>
        <w:ind w:left="20" w:right="0" w:hanging="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(6) The following table breaks down the amounts included in the “All Other Compensation” column for 2022:</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231F20"/>
          <w:sz w:val="18"/>
        </w:rPr>
      </w:pPr>
      <w:bookmarkStart w:id="117" w:name="a067"/>
      <w:bookmarkEnd w:id="117"/>
      <w:r>
        <w:rPr>
          <w:rFonts w:ascii="Arial;Helvetica;Sans-Serif" w:hAnsi="Arial;Helvetica;Sans-Serif"/>
          <w:b/>
          <w:i w:val="false"/>
          <w:caps w:val="false"/>
          <w:smallCaps w:val="false"/>
          <w:color w:val="231F20"/>
          <w:sz w:val="18"/>
        </w:rPr>
        <w:t>All Other Compensation</w:t>
      </w:r>
    </w:p>
    <w:p>
      <w:pPr>
        <w:pStyle w:val="TextBody"/>
        <w:spacing w:before="0" w:after="0"/>
        <w:rPr>
          <w:caps w:val="false"/>
          <w:smallCaps w:val="false"/>
          <w:color w:val="231F20"/>
        </w:rPr>
      </w:pPr>
      <w:r>
        <w:rPr>
          <w:caps w:val="false"/>
          <w:smallCaps w:val="false"/>
          <w:color w:val="231F20"/>
        </w:rPr>
        <w:t> </w:t>
      </w:r>
    </w:p>
    <w:tbl>
      <w:tblPr>
        <w:tblW w:w="8575" w:type="dxa"/>
        <w:jc w:val="left"/>
        <w:tblInd w:w="0" w:type="dxa"/>
        <w:tblCellMar>
          <w:top w:w="0" w:type="dxa"/>
          <w:left w:w="0" w:type="dxa"/>
          <w:bottom w:w="0" w:type="dxa"/>
          <w:right w:w="0" w:type="dxa"/>
        </w:tblCellMar>
      </w:tblPr>
      <w:tblGrid>
        <w:gridCol w:w="1865"/>
        <w:gridCol w:w="815"/>
        <w:gridCol w:w="950"/>
        <w:gridCol w:w="1130"/>
        <w:gridCol w:w="980"/>
        <w:gridCol w:w="800"/>
        <w:gridCol w:w="1220"/>
        <w:gridCol w:w="815"/>
      </w:tblGrid>
      <w:tr>
        <w:trPr/>
        <w:tc>
          <w:tcPr>
            <w:tcW w:w="186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All other </w:t>
              <w:br/>
              <w:t>Compensation</w:t>
            </w:r>
          </w:p>
          <w:p>
            <w:pPr>
              <w:pStyle w:val="TableContents"/>
              <w:spacing w:before="0" w:after="0"/>
              <w:rPr>
                <w:caps w:val="false"/>
                <w:smallCaps w:val="false"/>
                <w:color w:val="FFFFFF"/>
              </w:rPr>
            </w:pPr>
            <w:r>
              <w:rPr>
                <w:caps w:val="false"/>
                <w:smallCaps w:val="false"/>
                <w:color w:val="FFFFFF"/>
              </w:rPr>
              <w:t> </w:t>
            </w:r>
          </w:p>
        </w:tc>
        <w:tc>
          <w:tcPr>
            <w:tcW w:w="815" w:type="dxa"/>
            <w:tcBorders/>
            <w:shd w:fill="EE0027" w:val="cle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 xml:space="preserve">Health </w:t>
              <w:br/>
              <w:t xml:space="preserve">Benefit </w:t>
              <w:br/>
              <w:t>Premiums</w:t>
            </w:r>
          </w:p>
        </w:tc>
        <w:tc>
          <w:tcPr>
            <w:tcW w:w="950" w:type="dxa"/>
            <w:tcBorders/>
            <w:shd w:fill="EE0027" w:val="cle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 xml:space="preserve">Long-Term </w:t>
              <w:br/>
              <w:t xml:space="preserve">Care </w:t>
              <w:br/>
              <w:t>Premiums</w:t>
            </w:r>
          </w:p>
        </w:tc>
        <w:tc>
          <w:tcPr>
            <w:tcW w:w="1130" w:type="dxa"/>
            <w:tcBorders/>
            <w:shd w:fill="EE0027" w:val="cle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 xml:space="preserve">Retirement </w:t>
              <w:br/>
              <w:t xml:space="preserve">Plan </w:t>
              <w:br/>
              <w:t>Contributions</w:t>
            </w:r>
          </w:p>
        </w:tc>
        <w:tc>
          <w:tcPr>
            <w:tcW w:w="980" w:type="dxa"/>
            <w:tcBorders/>
            <w:shd w:fill="EE0027" w:val="clear"/>
            <w:vAlign w:val="center"/>
          </w:tcPr>
          <w:p>
            <w:pPr>
              <w:pStyle w:val="TableContents"/>
              <w:spacing w:before="0" w:after="0"/>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Vehicle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Allowance </w:t>
            </w:r>
          </w:p>
        </w:tc>
        <w:tc>
          <w:tcPr>
            <w:tcW w:w="800"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Life </w:t>
              <w:br/>
              <w:t>Insurance</w:t>
            </w:r>
          </w:p>
          <w:p>
            <w:pPr>
              <w:pStyle w:val="TableContents"/>
              <w:spacing w:before="0" w:after="0"/>
              <w:rPr>
                <w:caps w:val="false"/>
                <w:smallCaps w:val="false"/>
                <w:color w:val="FFFFFF"/>
              </w:rPr>
            </w:pPr>
            <w:r>
              <w:rPr>
                <w:caps w:val="false"/>
                <w:smallCaps w:val="false"/>
                <w:color w:val="FFFFFF"/>
              </w:rPr>
              <w:t> </w:t>
            </w:r>
          </w:p>
        </w:tc>
        <w:tc>
          <w:tcPr>
            <w:tcW w:w="1220"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Other</w:t>
            </w:r>
          </w:p>
          <w:p>
            <w:pPr>
              <w:pStyle w:val="TableContents"/>
              <w:spacing w:before="0" w:after="0"/>
              <w:rPr>
                <w:caps w:val="false"/>
                <w:smallCaps w:val="false"/>
                <w:color w:val="FFFFFF"/>
              </w:rPr>
            </w:pPr>
            <w:r>
              <w:rPr>
                <w:caps w:val="false"/>
                <w:smallCaps w:val="false"/>
                <w:color w:val="FFFFFF"/>
              </w:rPr>
              <w:t> </w:t>
            </w:r>
          </w:p>
        </w:tc>
        <w:tc>
          <w:tcPr>
            <w:tcW w:w="81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Total</w:t>
            </w:r>
          </w:p>
          <w:p>
            <w:pPr>
              <w:pStyle w:val="TableContents"/>
              <w:spacing w:before="0" w:after="0"/>
              <w:rPr>
                <w:caps w:val="false"/>
                <w:smallCaps w:val="false"/>
                <w:color w:val="FFFFFF"/>
              </w:rPr>
            </w:pPr>
            <w:r>
              <w:rPr>
                <w:caps w:val="false"/>
                <w:smallCaps w:val="false"/>
                <w:color w:val="FFFFFF"/>
              </w:rPr>
              <w:t> </w:t>
            </w:r>
          </w:p>
        </w:tc>
      </w:tr>
      <w:tr>
        <w:trPr/>
        <w:tc>
          <w:tcPr>
            <w:tcW w:w="186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Ronald F. Clarke</w:t>
            </w:r>
          </w:p>
        </w:tc>
        <w:tc>
          <w:tcPr>
            <w:tcW w:w="815"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$30,474</w:t>
            </w:r>
          </w:p>
        </w:tc>
        <w:tc>
          <w:tcPr>
            <w:tcW w:w="95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$2,441</w:t>
            </w:r>
          </w:p>
        </w:tc>
        <w:tc>
          <w:tcPr>
            <w:tcW w:w="1130" w:type="dxa"/>
            <w:tcBorders/>
            <w:shd w:fill="auto" w:val="clear"/>
            <w:vAlign w:val="center"/>
          </w:tcPr>
          <w:p>
            <w:pPr>
              <w:pStyle w:val="TableContents"/>
              <w:spacing w:before="0" w:after="283"/>
              <w:rPr>
                <w:color w:val="231F20"/>
              </w:rPr>
            </w:pPr>
            <w:r>
              <w:rPr>
                <w:color w:val="231F20"/>
              </w:rPr>
              <w:t>—</w:t>
            </w:r>
          </w:p>
        </w:tc>
        <w:tc>
          <w:tcPr>
            <w:tcW w:w="980" w:type="dxa"/>
            <w:tcBorders/>
            <w:shd w:fill="auto" w:val="clear"/>
            <w:vAlign w:val="center"/>
          </w:tcPr>
          <w:p>
            <w:pPr>
              <w:pStyle w:val="TableContents"/>
              <w:spacing w:before="0" w:after="283"/>
              <w:rPr>
                <w:color w:val="231F20"/>
              </w:rPr>
            </w:pPr>
            <w:r>
              <w:rPr>
                <w:color w:val="231F20"/>
              </w:rPr>
              <w:t>—</w:t>
            </w:r>
          </w:p>
        </w:tc>
        <w:tc>
          <w:tcPr>
            <w:tcW w:w="80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$660</w:t>
            </w:r>
          </w:p>
        </w:tc>
        <w:tc>
          <w:tcPr>
            <w:tcW w:w="1220" w:type="dxa"/>
            <w:tcBorders/>
            <w:shd w:fill="auto" w:val="clear"/>
            <w:vAlign w:val="center"/>
          </w:tcPr>
          <w:p>
            <w:pPr>
              <w:pStyle w:val="TableContents"/>
              <w:spacing w:before="0" w:after="283"/>
              <w:rPr>
                <w:color w:val="231F20"/>
              </w:rPr>
            </w:pPr>
            <w:r>
              <w:rPr>
                <w:color w:val="231F20"/>
              </w:rPr>
              <w:t>—</w:t>
            </w:r>
          </w:p>
        </w:tc>
        <w:tc>
          <w:tcPr>
            <w:tcW w:w="815"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$33,575</w:t>
            </w:r>
          </w:p>
        </w:tc>
      </w:tr>
      <w:tr>
        <w:trPr/>
        <w:tc>
          <w:tcPr>
            <w:tcW w:w="1865"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Alissa B. Vickery</w:t>
            </w:r>
          </w:p>
        </w:tc>
        <w:tc>
          <w:tcPr>
            <w:tcW w:w="815" w:type="dxa"/>
            <w:tcBorders/>
            <w:shd w:fill="DCDDDE" w:val="clear"/>
            <w:vAlign w:val="center"/>
          </w:tcPr>
          <w:p>
            <w:pPr>
              <w:pStyle w:val="TableContents"/>
              <w:spacing w:before="0" w:after="283"/>
              <w:rPr>
                <w:color w:val="231F20"/>
              </w:rPr>
            </w:pPr>
            <w:r>
              <w:rPr>
                <w:color w:val="231F20"/>
              </w:rPr>
              <w:t>—</w:t>
            </w:r>
          </w:p>
        </w:tc>
        <w:tc>
          <w:tcPr>
            <w:tcW w:w="950"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$340</w:t>
            </w:r>
          </w:p>
        </w:tc>
        <w:tc>
          <w:tcPr>
            <w:tcW w:w="1130"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$2,086</w:t>
            </w:r>
          </w:p>
        </w:tc>
        <w:tc>
          <w:tcPr>
            <w:tcW w:w="980" w:type="dxa"/>
            <w:tcBorders/>
            <w:shd w:fill="DCDDDE" w:val="clear"/>
            <w:vAlign w:val="center"/>
          </w:tcPr>
          <w:p>
            <w:pPr>
              <w:pStyle w:val="TableContents"/>
              <w:spacing w:before="0" w:after="283"/>
              <w:rPr>
                <w:color w:val="231F20"/>
              </w:rPr>
            </w:pPr>
            <w:r>
              <w:rPr>
                <w:color w:val="231F20"/>
              </w:rPr>
              <w:t>—</w:t>
            </w:r>
          </w:p>
        </w:tc>
        <w:tc>
          <w:tcPr>
            <w:tcW w:w="800"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$660</w:t>
            </w:r>
          </w:p>
        </w:tc>
        <w:tc>
          <w:tcPr>
            <w:tcW w:w="1220" w:type="dxa"/>
            <w:tcBorders/>
            <w:shd w:fill="DCDDDE" w:val="clear"/>
            <w:vAlign w:val="center"/>
          </w:tcPr>
          <w:p>
            <w:pPr>
              <w:pStyle w:val="TableContents"/>
              <w:spacing w:before="0" w:after="283"/>
              <w:rPr>
                <w:color w:val="231F20"/>
              </w:rPr>
            </w:pPr>
            <w:r>
              <w:rPr>
                <w:color w:val="231F20"/>
              </w:rPr>
              <w:t>—</w:t>
            </w:r>
          </w:p>
        </w:tc>
        <w:tc>
          <w:tcPr>
            <w:tcW w:w="815"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$3,086</w:t>
            </w:r>
          </w:p>
        </w:tc>
      </w:tr>
      <w:tr>
        <w:trPr/>
        <w:tc>
          <w:tcPr>
            <w:tcW w:w="186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Charles R. Freund</w:t>
            </w:r>
          </w:p>
        </w:tc>
        <w:tc>
          <w:tcPr>
            <w:tcW w:w="815"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$25,395</w:t>
            </w:r>
          </w:p>
        </w:tc>
        <w:tc>
          <w:tcPr>
            <w:tcW w:w="95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$1,008</w:t>
            </w:r>
          </w:p>
        </w:tc>
        <w:tc>
          <w:tcPr>
            <w:tcW w:w="113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$519</w:t>
            </w:r>
          </w:p>
        </w:tc>
        <w:tc>
          <w:tcPr>
            <w:tcW w:w="980" w:type="dxa"/>
            <w:tcBorders/>
            <w:shd w:fill="auto" w:val="clear"/>
            <w:vAlign w:val="center"/>
          </w:tcPr>
          <w:p>
            <w:pPr>
              <w:pStyle w:val="TableContents"/>
              <w:spacing w:before="0" w:after="283"/>
              <w:rPr>
                <w:color w:val="231F20"/>
              </w:rPr>
            </w:pPr>
            <w:r>
              <w:rPr>
                <w:color w:val="231F20"/>
              </w:rPr>
              <w:t>—</w:t>
            </w:r>
          </w:p>
        </w:tc>
        <w:tc>
          <w:tcPr>
            <w:tcW w:w="80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$550</w:t>
            </w:r>
          </w:p>
        </w:tc>
        <w:tc>
          <w:tcPr>
            <w:tcW w:w="1220" w:type="dxa"/>
            <w:tcBorders/>
            <w:shd w:fill="auto" w:val="clear"/>
            <w:vAlign w:val="center"/>
          </w:tcPr>
          <w:p>
            <w:pPr>
              <w:pStyle w:val="TableContents"/>
              <w:spacing w:before="0" w:after="283"/>
              <w:rPr>
                <w:color w:val="231F20"/>
              </w:rPr>
            </w:pPr>
            <w:r>
              <w:rPr>
                <w:color w:val="231F20"/>
              </w:rPr>
              <w:t>—</w:t>
            </w:r>
          </w:p>
        </w:tc>
        <w:tc>
          <w:tcPr>
            <w:tcW w:w="815"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$27,473</w:t>
            </w:r>
          </w:p>
        </w:tc>
      </w:tr>
      <w:tr>
        <w:trPr/>
        <w:tc>
          <w:tcPr>
            <w:tcW w:w="1865" w:type="dxa"/>
            <w:tcBorders/>
            <w:shd w:fill="DCDDDE" w:val="clear"/>
            <w:vAlign w:val="center"/>
          </w:tcPr>
          <w:p>
            <w:pPr>
              <w:pStyle w:val="TableContents"/>
              <w:spacing w:lineRule="auto" w:line="240" w:before="0" w:after="283"/>
              <w:rPr/>
            </w:pPr>
            <w:r>
              <w:rPr>
                <w:rFonts w:ascii="Arial;Helvetica;Sans-Serif" w:hAnsi="Arial;Helvetica;Sans-Serif"/>
                <w:b/>
                <w:color w:val="58595B"/>
                <w:sz w:val="18"/>
              </w:rPr>
              <w:t xml:space="preserve">Armando L. Netto </w:t>
            </w:r>
            <w:r>
              <w:rPr>
                <w:rFonts w:ascii="Arial;Helvetica;Sans-Serif" w:hAnsi="Arial;Helvetica;Sans-Serif"/>
                <w:b/>
                <w:color w:val="58595B"/>
              </w:rPr>
              <w:t>(7)</w:t>
            </w:r>
          </w:p>
        </w:tc>
        <w:tc>
          <w:tcPr>
            <w:tcW w:w="815"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$5,289</w:t>
            </w:r>
          </w:p>
        </w:tc>
        <w:tc>
          <w:tcPr>
            <w:tcW w:w="950" w:type="dxa"/>
            <w:tcBorders/>
            <w:shd w:fill="DCDDDE" w:val="clear"/>
            <w:vAlign w:val="center"/>
          </w:tcPr>
          <w:p>
            <w:pPr>
              <w:pStyle w:val="TableContents"/>
              <w:spacing w:before="0" w:after="283"/>
              <w:rPr>
                <w:color w:val="231F20"/>
              </w:rPr>
            </w:pPr>
            <w:r>
              <w:rPr>
                <w:color w:val="231F20"/>
              </w:rPr>
              <w:t>—</w:t>
            </w:r>
          </w:p>
        </w:tc>
        <w:tc>
          <w:tcPr>
            <w:tcW w:w="1130" w:type="dxa"/>
            <w:tcBorders/>
            <w:shd w:fill="DCDDDE" w:val="clear"/>
            <w:vAlign w:val="center"/>
          </w:tcPr>
          <w:p>
            <w:pPr>
              <w:pStyle w:val="TableContents"/>
              <w:spacing w:before="0" w:after="283"/>
              <w:rPr>
                <w:color w:val="231F20"/>
              </w:rPr>
            </w:pPr>
            <w:r>
              <w:rPr>
                <w:color w:val="231F20"/>
              </w:rPr>
              <w:t>—</w:t>
            </w:r>
          </w:p>
        </w:tc>
        <w:tc>
          <w:tcPr>
            <w:tcW w:w="980" w:type="dxa"/>
            <w:tcBorders/>
            <w:shd w:fill="DCDDDE" w:val="clear"/>
            <w:vAlign w:val="center"/>
          </w:tcPr>
          <w:p>
            <w:pPr>
              <w:pStyle w:val="TableContents"/>
              <w:spacing w:lineRule="auto" w:line="240" w:before="0" w:after="283"/>
              <w:rPr/>
            </w:pPr>
            <w:r>
              <w:rPr>
                <w:rFonts w:ascii="Arial;Helvetica;Sans-Serif" w:hAnsi="Arial;Helvetica;Sans-Serif"/>
                <w:color w:val="231F20"/>
                <w:sz w:val="18"/>
              </w:rPr>
              <w:t>$25,123</w:t>
            </w:r>
            <w:r>
              <w:rPr>
                <w:rFonts w:ascii="Arial;Helvetica;Sans-Serif" w:hAnsi="Arial;Helvetica;Sans-Serif"/>
                <w:color w:val="231F20"/>
              </w:rPr>
              <w:t>(8)</w:t>
            </w:r>
          </w:p>
        </w:tc>
        <w:tc>
          <w:tcPr>
            <w:tcW w:w="800"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$779</w:t>
            </w:r>
          </w:p>
        </w:tc>
        <w:tc>
          <w:tcPr>
            <w:tcW w:w="1220" w:type="dxa"/>
            <w:tcBorders/>
            <w:shd w:fill="DCDDDE" w:val="clear"/>
            <w:vAlign w:val="center"/>
          </w:tcPr>
          <w:p>
            <w:pPr>
              <w:pStyle w:val="TableContents"/>
              <w:spacing w:lineRule="auto" w:line="240" w:before="0" w:after="283"/>
              <w:rPr/>
            </w:pPr>
            <w:r>
              <w:rPr>
                <w:rFonts w:ascii="Arial;Helvetica;Sans-Serif" w:hAnsi="Arial;Helvetica;Sans-Serif"/>
                <w:color w:val="231F20"/>
                <w:sz w:val="18"/>
              </w:rPr>
              <w:t>$1,587</w:t>
            </w:r>
            <w:r>
              <w:rPr>
                <w:rFonts w:ascii="Arial;Helvetica;Sans-Serif" w:hAnsi="Arial;Helvetica;Sans-Serif"/>
                <w:color w:val="231F20"/>
              </w:rPr>
              <w:t>(9)</w:t>
            </w:r>
          </w:p>
        </w:tc>
        <w:tc>
          <w:tcPr>
            <w:tcW w:w="815"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$32,779</w:t>
            </w:r>
          </w:p>
        </w:tc>
      </w:tr>
      <w:tr>
        <w:trPr/>
        <w:tc>
          <w:tcPr>
            <w:tcW w:w="1865" w:type="dxa"/>
            <w:tcBorders/>
            <w:shd w:fill="auto" w:val="clear"/>
            <w:vAlign w:val="center"/>
          </w:tcPr>
          <w:p>
            <w:pPr>
              <w:pStyle w:val="TableContents"/>
              <w:spacing w:lineRule="auto" w:line="240" w:before="0" w:after="283"/>
              <w:rPr/>
            </w:pPr>
            <w:r>
              <w:rPr>
                <w:rFonts w:ascii="Arial;Helvetica;Sans-Serif" w:hAnsi="Arial;Helvetica;Sans-Serif"/>
                <w:b/>
                <w:color w:val="58595B"/>
                <w:sz w:val="18"/>
              </w:rPr>
              <w:t xml:space="preserve">Alan King </w:t>
            </w:r>
            <w:r>
              <w:rPr>
                <w:rFonts w:ascii="Arial;Helvetica;Sans-Serif" w:hAnsi="Arial;Helvetica;Sans-Serif"/>
                <w:b/>
                <w:color w:val="58595B"/>
              </w:rPr>
              <w:t>(7)</w:t>
            </w:r>
          </w:p>
        </w:tc>
        <w:tc>
          <w:tcPr>
            <w:tcW w:w="815"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$15,455</w:t>
            </w:r>
          </w:p>
        </w:tc>
        <w:tc>
          <w:tcPr>
            <w:tcW w:w="950" w:type="dxa"/>
            <w:tcBorders/>
            <w:shd w:fill="auto" w:val="clear"/>
            <w:vAlign w:val="center"/>
          </w:tcPr>
          <w:p>
            <w:pPr>
              <w:pStyle w:val="TableContents"/>
              <w:spacing w:before="0" w:after="283"/>
              <w:rPr>
                <w:color w:val="231F20"/>
              </w:rPr>
            </w:pPr>
            <w:r>
              <w:rPr>
                <w:color w:val="231F20"/>
              </w:rPr>
              <w:t>—</w:t>
            </w:r>
          </w:p>
        </w:tc>
        <w:tc>
          <w:tcPr>
            <w:tcW w:w="113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$1,977</w:t>
            </w:r>
          </w:p>
        </w:tc>
        <w:tc>
          <w:tcPr>
            <w:tcW w:w="980" w:type="dxa"/>
            <w:tcBorders/>
            <w:shd w:fill="auto" w:val="clear"/>
            <w:vAlign w:val="center"/>
          </w:tcPr>
          <w:p>
            <w:pPr>
              <w:pStyle w:val="TableContents"/>
              <w:spacing w:lineRule="auto" w:line="240" w:before="0" w:after="283"/>
              <w:rPr>
                <w:rFonts w:ascii="Arial;Helvetica;Sans-Serif" w:hAnsi="Arial;Helvetica;Sans-Serif"/>
                <w:color w:val="231F20"/>
                <w:sz w:val="18"/>
              </w:rPr>
            </w:pPr>
            <w:r>
              <w:rPr>
                <w:rFonts w:ascii="Arial;Helvetica;Sans-Serif" w:hAnsi="Arial;Helvetica;Sans-Serif"/>
                <w:color w:val="231F20"/>
                <w:sz w:val="18"/>
              </w:rPr>
              <w:t>$12,524(8)</w:t>
            </w:r>
          </w:p>
        </w:tc>
        <w:tc>
          <w:tcPr>
            <w:tcW w:w="80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$275</w:t>
            </w:r>
          </w:p>
        </w:tc>
        <w:tc>
          <w:tcPr>
            <w:tcW w:w="1220" w:type="dxa"/>
            <w:tcBorders/>
            <w:shd w:fill="auto" w:val="clear"/>
            <w:vAlign w:val="center"/>
          </w:tcPr>
          <w:p>
            <w:pPr>
              <w:pStyle w:val="TableContents"/>
              <w:spacing w:lineRule="auto" w:line="240" w:before="0" w:after="283"/>
              <w:rPr/>
            </w:pPr>
            <w:r>
              <w:rPr>
                <w:rFonts w:ascii="Arial;Helvetica;Sans-Serif" w:hAnsi="Arial;Helvetica;Sans-Serif"/>
                <w:color w:val="231F20"/>
                <w:sz w:val="18"/>
              </w:rPr>
              <w:t>$223,040</w:t>
            </w:r>
            <w:r>
              <w:rPr>
                <w:rFonts w:ascii="Arial;Helvetica;Sans-Serif" w:hAnsi="Arial;Helvetica;Sans-Serif"/>
                <w:color w:val="231F20"/>
              </w:rPr>
              <w:t>(10)</w:t>
            </w:r>
          </w:p>
        </w:tc>
        <w:tc>
          <w:tcPr>
            <w:tcW w:w="815"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$253,271</w:t>
            </w:r>
          </w:p>
        </w:tc>
      </w:tr>
      <w:tr>
        <w:trPr/>
        <w:tc>
          <w:tcPr>
            <w:tcW w:w="1865" w:type="dxa"/>
            <w:tcBorders/>
            <w:shd w:fill="DCDDDE"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Alexey Gavrilenya</w:t>
            </w:r>
          </w:p>
        </w:tc>
        <w:tc>
          <w:tcPr>
            <w:tcW w:w="815"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$30,474</w:t>
            </w:r>
          </w:p>
        </w:tc>
        <w:tc>
          <w:tcPr>
            <w:tcW w:w="950"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$1,505</w:t>
            </w:r>
          </w:p>
        </w:tc>
        <w:tc>
          <w:tcPr>
            <w:tcW w:w="1130"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$1,800</w:t>
            </w:r>
          </w:p>
        </w:tc>
        <w:tc>
          <w:tcPr>
            <w:tcW w:w="980" w:type="dxa"/>
            <w:tcBorders/>
            <w:shd w:fill="DCDDDE" w:val="clear"/>
            <w:vAlign w:val="center"/>
          </w:tcPr>
          <w:p>
            <w:pPr>
              <w:pStyle w:val="TableContents"/>
              <w:spacing w:before="0" w:after="283"/>
              <w:rPr>
                <w:color w:val="231F20"/>
              </w:rPr>
            </w:pPr>
            <w:r>
              <w:rPr>
                <w:color w:val="231F20"/>
              </w:rPr>
              <w:t>—</w:t>
            </w:r>
          </w:p>
        </w:tc>
        <w:tc>
          <w:tcPr>
            <w:tcW w:w="800"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$660</w:t>
            </w:r>
          </w:p>
        </w:tc>
        <w:tc>
          <w:tcPr>
            <w:tcW w:w="1220" w:type="dxa"/>
            <w:tcBorders/>
            <w:shd w:fill="DCDDDE" w:val="clear"/>
            <w:vAlign w:val="center"/>
          </w:tcPr>
          <w:p>
            <w:pPr>
              <w:pStyle w:val="TableContents"/>
              <w:spacing w:before="0" w:after="283"/>
              <w:rPr>
                <w:color w:val="231F20"/>
              </w:rPr>
            </w:pPr>
            <w:r>
              <w:rPr>
                <w:color w:val="231F20"/>
              </w:rPr>
              <w:t>—</w:t>
            </w:r>
          </w:p>
        </w:tc>
        <w:tc>
          <w:tcPr>
            <w:tcW w:w="815" w:type="dxa"/>
            <w:tcBorders/>
            <w:shd w:fill="DCDDDE"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$34,439</w:t>
            </w:r>
          </w:p>
        </w:tc>
      </w:tr>
      <w:tr>
        <w:trPr/>
        <w:tc>
          <w:tcPr>
            <w:tcW w:w="1865" w:type="dxa"/>
            <w:tcBorders/>
            <w:shd w:fill="auto" w:val="clear"/>
            <w:vAlign w:val="center"/>
          </w:tcPr>
          <w:p>
            <w:pPr>
              <w:pStyle w:val="TableContents"/>
              <w:spacing w:before="0" w:after="283"/>
              <w:rPr>
                <w:rFonts w:ascii="Arial;Helvetica;Sans-Serif" w:hAnsi="Arial;Helvetica;Sans-Serif"/>
                <w:b/>
                <w:color w:val="58595B"/>
                <w:sz w:val="18"/>
              </w:rPr>
            </w:pPr>
            <w:r>
              <w:rPr>
                <w:rFonts w:ascii="Arial;Helvetica;Sans-Serif" w:hAnsi="Arial;Helvetica;Sans-Serif"/>
                <w:b/>
                <w:color w:val="58595B"/>
                <w:sz w:val="18"/>
              </w:rPr>
              <w:t>John S. Coughlin</w:t>
            </w:r>
          </w:p>
        </w:tc>
        <w:tc>
          <w:tcPr>
            <w:tcW w:w="815"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$30,474</w:t>
            </w:r>
          </w:p>
        </w:tc>
        <w:tc>
          <w:tcPr>
            <w:tcW w:w="95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$1,397</w:t>
            </w:r>
          </w:p>
        </w:tc>
        <w:tc>
          <w:tcPr>
            <w:tcW w:w="113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$1,385</w:t>
            </w:r>
          </w:p>
        </w:tc>
        <w:tc>
          <w:tcPr>
            <w:tcW w:w="980" w:type="dxa"/>
            <w:tcBorders/>
            <w:shd w:fill="auto" w:val="clear"/>
            <w:vAlign w:val="center"/>
          </w:tcPr>
          <w:p>
            <w:pPr>
              <w:pStyle w:val="TableContents"/>
              <w:spacing w:before="0" w:after="283"/>
              <w:rPr>
                <w:color w:val="231F20"/>
              </w:rPr>
            </w:pPr>
            <w:r>
              <w:rPr>
                <w:color w:val="231F20"/>
              </w:rPr>
              <w:t>—</w:t>
            </w:r>
          </w:p>
        </w:tc>
        <w:tc>
          <w:tcPr>
            <w:tcW w:w="800"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$660</w:t>
            </w:r>
          </w:p>
        </w:tc>
        <w:tc>
          <w:tcPr>
            <w:tcW w:w="1220" w:type="dxa"/>
            <w:tcBorders/>
            <w:shd w:fill="auto" w:val="clear"/>
            <w:vAlign w:val="center"/>
          </w:tcPr>
          <w:p>
            <w:pPr>
              <w:pStyle w:val="TableContents"/>
              <w:spacing w:before="0" w:after="283"/>
              <w:rPr>
                <w:color w:val="231F20"/>
              </w:rPr>
            </w:pPr>
            <w:r>
              <w:rPr>
                <w:color w:val="231F20"/>
              </w:rPr>
              <w:t>—</w:t>
            </w:r>
          </w:p>
        </w:tc>
        <w:tc>
          <w:tcPr>
            <w:tcW w:w="815" w:type="dxa"/>
            <w:tcBorders/>
            <w:shd w:fill="auto" w:val="clear"/>
            <w:vAlign w:val="center"/>
          </w:tcPr>
          <w:p>
            <w:pPr>
              <w:pStyle w:val="TableContents"/>
              <w:spacing w:before="0" w:after="283"/>
              <w:rPr>
                <w:rFonts w:ascii="Arial;Helvetica;Sans-Serif" w:hAnsi="Arial;Helvetica;Sans-Serif"/>
                <w:color w:val="231F20"/>
                <w:sz w:val="18"/>
              </w:rPr>
            </w:pPr>
            <w:r>
              <w:rPr>
                <w:rFonts w:ascii="Arial;Helvetica;Sans-Serif" w:hAnsi="Arial;Helvetica;Sans-Serif"/>
                <w:color w:val="231F20"/>
                <w:sz w:val="18"/>
              </w:rPr>
              <w:t>$33,916</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(7) As Mr. Netto is based in Brazil, his compensation is denominated in Brazilian Real. All amounts for Mr. Netto have been converted to U.S. dollars at an average exchange rate of $1 to R$5.1535 for 2022, $1 to R$5.3885 for 2021, and $1 to R$5.1030 for 2020. Prior to his relocation to the United States, Mr. King was based in the United Kingdom. For compensation earned by Mr. King on or prior to October 31, 2022, amounts were denominated in British Pounds Sterling and have been converted to U.S. dollars at an average exchange rate of $1 to £0.8080 for 2022, 1 to £ 0.7269 for 2021, and 1 to £ 0.7791 for 2020. Compensation earned by Mr. King after October 31, 2022 was paid in</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U.S. dollars.</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(8) Amount in the “Vehicle Allowance” column for Mr. Netto and Mr. King represents the aggregate of monthly cash vehicle allowances paid to each officer during 2022.</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(9) Amount in the “Other” column for Mr. Netto reflects the cost to the Company of a government mandated food benefit.</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(10) Amount in the “Other” column for Mr. King reflects housing allowance and relocation amounts.</w:t>
      </w:r>
    </w:p>
    <w:p>
      <w:pPr>
        <w:pStyle w:val="TextBody"/>
        <w:spacing w:before="0" w:after="0"/>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45</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bookmarkStart w:id="118" w:name="a068"/>
      <w:bookmarkEnd w:id="118"/>
      <w:r>
        <w:rPr>
          <w:rFonts w:ascii="Arial;Helvetica;Sans-Serif" w:hAnsi="Arial;Helvetica;Sans-Serif"/>
          <w:b/>
          <w:i w:val="false"/>
          <w:caps w:val="false"/>
          <w:smallCaps w:val="false"/>
          <w:color w:val="EE0027"/>
          <w:sz w:val="20"/>
        </w:rPr>
        <w:t>2022 Grants of Plan-Based Awards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provides information about awards granted in 2022 to each of the NEOs:</w:t>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1053"/>
        <w:gridCol w:w="552"/>
        <w:gridCol w:w="830"/>
        <w:gridCol w:w="830"/>
        <w:gridCol w:w="830"/>
        <w:gridCol w:w="918"/>
        <w:gridCol w:w="816"/>
        <w:gridCol w:w="868"/>
        <w:gridCol w:w="935"/>
        <w:gridCol w:w="913"/>
        <w:gridCol w:w="1660"/>
      </w:tblGrid>
      <w:tr>
        <w:trPr/>
        <w:tc>
          <w:tcPr>
            <w:tcW w:w="1053" w:type="dxa"/>
            <w:tcBorders/>
            <w:shd w:fill="EE0027" w:val="clear"/>
            <w:vAlign w:val="center"/>
          </w:tcPr>
          <w:p>
            <w:pPr>
              <w:pStyle w:val="TableContents"/>
              <w:spacing w:before="0" w:after="0"/>
              <w:jc w:val="center"/>
              <w:rPr>
                <w:caps w:val="false"/>
                <w:smallCaps w:val="false"/>
                <w:color w:val="FFFFFF"/>
              </w:rPr>
            </w:pPr>
            <w:r>
              <w:rPr>
                <w:caps w:val="false"/>
                <w:smallCaps w:val="false"/>
                <w:color w:val="FFFFFF"/>
              </w:rPr>
              <w:t> </w:t>
            </w:r>
          </w:p>
        </w:tc>
        <w:tc>
          <w:tcPr>
            <w:tcW w:w="552" w:type="dxa"/>
            <w:tcBorders/>
            <w:shd w:fill="EE0027" w:val="clear"/>
            <w:vAlign w:val="center"/>
          </w:tcPr>
          <w:p>
            <w:pPr>
              <w:pStyle w:val="TableContents"/>
              <w:spacing w:before="0" w:after="0"/>
              <w:jc w:val="center"/>
              <w:rPr>
                <w:caps w:val="false"/>
                <w:smallCaps w:val="false"/>
                <w:color w:val="FFFFFF"/>
              </w:rPr>
            </w:pPr>
            <w:r>
              <w:rPr>
                <w:caps w:val="false"/>
                <w:smallCaps w:val="false"/>
                <w:color w:val="FFFFFF"/>
              </w:rPr>
              <w:t> </w:t>
            </w:r>
          </w:p>
        </w:tc>
        <w:tc>
          <w:tcPr>
            <w:tcW w:w="2490" w:type="dxa"/>
            <w:gridSpan w:val="3"/>
            <w:tcBorders/>
            <w:shd w:fill="EE0027" w:val="clear"/>
            <w:vAlign w:val="center"/>
          </w:tcPr>
          <w:p>
            <w:pPr>
              <w:pStyle w:val="TableContents"/>
              <w:spacing w:before="0" w:after="0"/>
              <w:jc w:val="center"/>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Estimated Possible Payouts</w:t>
            </w:r>
            <w:r>
              <w:rPr>
                <w:rFonts w:ascii="Arial;Helvetica;Sans-Serif" w:hAnsi="Arial;Helvetica;Sans-Serif"/>
                <w:b w:val="false"/>
                <w:i w:val="false"/>
                <w:caps w:val="false"/>
                <w:smallCaps w:val="false"/>
                <w:color w:val="FFFFFF"/>
                <w:sz w:val="16"/>
              </w:rPr>
              <w:t> </w:t>
            </w:r>
          </w:p>
          <w:p>
            <w:pPr>
              <w:pStyle w:val="TableContents"/>
              <w:spacing w:before="0" w:after="0"/>
              <w:jc w:val="center"/>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Under Non-Equity Incentive</w:t>
            </w:r>
            <w:r>
              <w:rPr>
                <w:rFonts w:ascii="Arial;Helvetica;Sans-Serif" w:hAnsi="Arial;Helvetica;Sans-Serif"/>
                <w:b w:val="false"/>
                <w:i w:val="false"/>
                <w:caps w:val="false"/>
                <w:smallCaps w:val="false"/>
                <w:color w:val="FFFFFF"/>
                <w:sz w:val="16"/>
              </w:rPr>
              <w:t> </w:t>
            </w:r>
          </w:p>
          <w:p>
            <w:pPr>
              <w:pStyle w:val="TableContents"/>
              <w:spacing w:lineRule="auto" w:line="240" w:before="0" w:after="0"/>
              <w:jc w:val="center"/>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FFFFFF"/>
                <w:sz w:val="16"/>
              </w:rPr>
              <w:t xml:space="preserve">Plan Awards </w:t>
            </w:r>
            <w:r>
              <w:rPr>
                <w:rFonts w:ascii="Arial;Helvetica;Sans-Serif" w:hAnsi="Arial;Helvetica;Sans-Serif"/>
                <w:b/>
                <w:i w:val="false"/>
                <w:caps w:val="false"/>
                <w:smallCaps w:val="false"/>
                <w:color w:val="FFFFFF"/>
                <w:sz w:val="20"/>
              </w:rPr>
              <w:t>(1)</w:t>
            </w:r>
          </w:p>
          <w:p>
            <w:pPr>
              <w:pStyle w:val="TableContents"/>
              <w:spacing w:before="0" w:after="0"/>
              <w:jc w:val="center"/>
              <w:rPr>
                <w:caps w:val="false"/>
                <w:smallCaps w:val="false"/>
                <w:color w:val="FFFFFF"/>
              </w:rPr>
            </w:pPr>
            <w:r>
              <w:rPr>
                <w:caps w:val="false"/>
                <w:smallCaps w:val="false"/>
                <w:color w:val="FFFFFF"/>
              </w:rPr>
              <w:t> </w:t>
            </w:r>
          </w:p>
        </w:tc>
        <w:tc>
          <w:tcPr>
            <w:tcW w:w="2602" w:type="dxa"/>
            <w:gridSpan w:val="3"/>
            <w:tcBorders/>
            <w:shd w:fill="EE0027" w:val="clear"/>
            <w:vAlign w:val="center"/>
          </w:tcPr>
          <w:p>
            <w:pPr>
              <w:pStyle w:val="TableContents"/>
              <w:spacing w:before="0" w:after="0"/>
              <w:jc w:val="center"/>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Estimated Future Payouts Under</w:t>
            </w:r>
            <w:r>
              <w:rPr>
                <w:rFonts w:ascii="Arial;Helvetica;Sans-Serif" w:hAnsi="Arial;Helvetica;Sans-Serif"/>
                <w:b w:val="false"/>
                <w:i w:val="false"/>
                <w:caps w:val="false"/>
                <w:smallCaps w:val="false"/>
                <w:color w:val="FFFFFF"/>
                <w:sz w:val="16"/>
              </w:rPr>
              <w:t> </w:t>
            </w:r>
          </w:p>
          <w:p>
            <w:pPr>
              <w:pStyle w:val="TableContents"/>
              <w:spacing w:before="0" w:after="0"/>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Equity Incentive Plan Awards</w:t>
            </w:r>
          </w:p>
          <w:p>
            <w:pPr>
              <w:pStyle w:val="TableContents"/>
              <w:spacing w:before="0" w:after="0"/>
              <w:jc w:val="center"/>
              <w:rPr>
                <w:caps w:val="false"/>
                <w:smallCaps w:val="false"/>
                <w:color w:val="FFFFFF"/>
              </w:rPr>
            </w:pPr>
            <w:r>
              <w:rPr>
                <w:caps w:val="false"/>
                <w:smallCaps w:val="false"/>
                <w:color w:val="FFFFFF"/>
              </w:rPr>
              <w:t> </w:t>
            </w:r>
          </w:p>
        </w:tc>
        <w:tc>
          <w:tcPr>
            <w:tcW w:w="935" w:type="dxa"/>
            <w:tcBorders/>
            <w:shd w:fill="EE0027" w:val="clear"/>
            <w:vAlign w:val="center"/>
          </w:tcPr>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All Other</w:t>
            </w:r>
            <w:r>
              <w:rPr>
                <w:rFonts w:ascii="Arial;Helvetica;Sans-Serif" w:hAnsi="Arial;Helvetica;Sans-Serif"/>
                <w:b w:val="false"/>
                <w:i w:val="false"/>
                <w:caps w:val="false"/>
                <w:smallCaps w:val="false"/>
                <w:color w:val="FFFFFF"/>
                <w:sz w:val="16"/>
              </w:rPr>
              <w:t> </w:t>
            </w:r>
          </w:p>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Option</w:t>
            </w:r>
            <w:r>
              <w:rPr>
                <w:rFonts w:ascii="Arial;Helvetica;Sans-Serif" w:hAnsi="Arial;Helvetica;Sans-Serif"/>
                <w:b w:val="false"/>
                <w:i w:val="false"/>
                <w:caps w:val="false"/>
                <w:smallCaps w:val="false"/>
                <w:color w:val="FFFFFF"/>
                <w:sz w:val="16"/>
              </w:rPr>
              <w:t> </w:t>
            </w:r>
          </w:p>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Awards:</w:t>
            </w:r>
            <w:r>
              <w:rPr>
                <w:rFonts w:ascii="Arial;Helvetica;Sans-Serif" w:hAnsi="Arial;Helvetica;Sans-Serif"/>
                <w:b w:val="false"/>
                <w:i w:val="false"/>
                <w:caps w:val="false"/>
                <w:smallCaps w:val="false"/>
                <w:color w:val="FFFFFF"/>
                <w:sz w:val="16"/>
              </w:rPr>
              <w:t> </w:t>
            </w:r>
          </w:p>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Number of</w:t>
            </w:r>
            <w:r>
              <w:rPr>
                <w:rFonts w:ascii="Arial;Helvetica;Sans-Serif" w:hAnsi="Arial;Helvetica;Sans-Serif"/>
                <w:b w:val="false"/>
                <w:i w:val="false"/>
                <w:caps w:val="false"/>
                <w:smallCaps w:val="false"/>
                <w:color w:val="FFFFFF"/>
                <w:sz w:val="16"/>
              </w:rPr>
              <w:t> </w:t>
            </w:r>
          </w:p>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Securities</w:t>
            </w:r>
            <w:r>
              <w:rPr>
                <w:rFonts w:ascii="Arial;Helvetica;Sans-Serif" w:hAnsi="Arial;Helvetica;Sans-Serif"/>
                <w:b w:val="false"/>
                <w:i w:val="false"/>
                <w:caps w:val="false"/>
                <w:smallCaps w:val="false"/>
                <w:color w:val="FFFFFF"/>
                <w:sz w:val="16"/>
              </w:rPr>
              <w:t> </w:t>
            </w:r>
          </w:p>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Underlying</w:t>
            </w:r>
            <w:r>
              <w:rPr>
                <w:rFonts w:ascii="Arial;Helvetica;Sans-Serif" w:hAnsi="Arial;Helvetica;Sans-Serif"/>
                <w:b w:val="false"/>
                <w:i w:val="false"/>
                <w:caps w:val="false"/>
                <w:smallCaps w:val="false"/>
                <w:color w:val="FFFFFF"/>
                <w:sz w:val="16"/>
              </w:rPr>
              <w:t> </w:t>
            </w:r>
          </w:p>
          <w:p>
            <w:pPr>
              <w:pStyle w:val="TableContents"/>
              <w:spacing w:lineRule="auto" w:line="240" w:before="0" w:after="0"/>
              <w:jc w:val="left"/>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FFFFFF"/>
                <w:sz w:val="16"/>
              </w:rPr>
              <w:t xml:space="preserve">Options </w:t>
            </w:r>
            <w:r>
              <w:rPr>
                <w:rFonts w:ascii="Arial;Helvetica;Sans-Serif" w:hAnsi="Arial;Helvetica;Sans-Serif"/>
                <w:b/>
                <w:i w:val="false"/>
                <w:caps w:val="false"/>
                <w:smallCaps w:val="false"/>
                <w:color w:val="FFFFFF"/>
                <w:sz w:val="20"/>
              </w:rPr>
              <w:t>(2)</w:t>
            </w:r>
          </w:p>
        </w:tc>
        <w:tc>
          <w:tcPr>
            <w:tcW w:w="913" w:type="dxa"/>
            <w:tcBorders/>
            <w:shd w:fill="EE0027" w:val="clear"/>
            <w:vAlign w:val="center"/>
          </w:tcPr>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Exercise or</w:t>
            </w:r>
            <w:r>
              <w:rPr>
                <w:rFonts w:ascii="Arial;Helvetica;Sans-Serif" w:hAnsi="Arial;Helvetica;Sans-Serif"/>
                <w:b w:val="false"/>
                <w:i w:val="false"/>
                <w:caps w:val="false"/>
                <w:smallCaps w:val="false"/>
                <w:color w:val="FFFFFF"/>
                <w:sz w:val="16"/>
              </w:rPr>
              <w:t> </w:t>
            </w:r>
          </w:p>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Base Price</w:t>
            </w:r>
            <w:r>
              <w:rPr>
                <w:rFonts w:ascii="Arial;Helvetica;Sans-Serif" w:hAnsi="Arial;Helvetica;Sans-Serif"/>
                <w:b w:val="false"/>
                <w:i w:val="false"/>
                <w:caps w:val="false"/>
                <w:smallCaps w:val="false"/>
                <w:color w:val="FFFFFF"/>
                <w:sz w:val="16"/>
              </w:rPr>
              <w:t> </w:t>
            </w:r>
          </w:p>
          <w:p>
            <w:pPr>
              <w:pStyle w:val="TableContents"/>
              <w:spacing w:before="0" w:after="0"/>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of Option</w:t>
            </w:r>
            <w:r>
              <w:rPr>
                <w:rFonts w:ascii="Arial;Helvetica;Sans-Serif" w:hAnsi="Arial;Helvetica;Sans-Serif"/>
                <w:b w:val="false"/>
                <w:i w:val="false"/>
                <w:caps w:val="false"/>
                <w:smallCaps w:val="false"/>
                <w:color w:val="FFFFFF"/>
                <w:sz w:val="16"/>
              </w:rPr>
              <w:t> </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Awards</w:t>
            </w:r>
          </w:p>
          <w:p>
            <w:pPr>
              <w:pStyle w:val="TableContents"/>
              <w:spacing w:before="0" w:after="0"/>
              <w:jc w:val="left"/>
              <w:rPr>
                <w:caps w:val="false"/>
                <w:smallCaps w:val="false"/>
                <w:color w:val="FFFFFF"/>
              </w:rPr>
            </w:pPr>
            <w:r>
              <w:rPr>
                <w:caps w:val="false"/>
                <w:smallCaps w:val="false"/>
                <w:color w:val="FFFFFF"/>
              </w:rPr>
              <w:t> </w:t>
            </w:r>
          </w:p>
        </w:tc>
        <w:tc>
          <w:tcPr>
            <w:tcW w:w="166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Grant Date Fair Value</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of Stock and Option</w:t>
            </w:r>
          </w:p>
          <w:p>
            <w:pPr>
              <w:pStyle w:val="TableContents"/>
              <w:spacing w:lineRule="auto" w:line="240" w:before="0" w:after="0"/>
              <w:jc w:val="left"/>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FFFFFF"/>
                <w:sz w:val="16"/>
              </w:rPr>
              <w:t xml:space="preserve">Awards </w:t>
            </w:r>
            <w:r>
              <w:rPr>
                <w:rFonts w:ascii="Arial;Helvetica;Sans-Serif" w:hAnsi="Arial;Helvetica;Sans-Serif"/>
                <w:b/>
                <w:i w:val="false"/>
                <w:caps w:val="false"/>
                <w:smallCaps w:val="false"/>
                <w:color w:val="FFFFFF"/>
                <w:sz w:val="20"/>
              </w:rPr>
              <w:t>(3)</w:t>
            </w:r>
          </w:p>
          <w:p>
            <w:pPr>
              <w:pStyle w:val="TableContents"/>
              <w:spacing w:before="0" w:after="0"/>
              <w:jc w:val="left"/>
              <w:rPr>
                <w:caps w:val="false"/>
                <w:smallCaps w:val="false"/>
                <w:color w:val="FFFFFF"/>
              </w:rPr>
            </w:pPr>
            <w:r>
              <w:rPr>
                <w:caps w:val="false"/>
                <w:smallCaps w:val="false"/>
                <w:color w:val="FFFFFF"/>
              </w:rPr>
              <w:t> </w:t>
            </w:r>
          </w:p>
        </w:tc>
      </w:tr>
      <w:tr>
        <w:trPr/>
        <w:tc>
          <w:tcPr>
            <w:tcW w:w="1053" w:type="dxa"/>
            <w:tcBorders/>
            <w:shd w:fill="EE0027" w:val="clear"/>
            <w:vAlign w:val="center"/>
          </w:tcPr>
          <w:p>
            <w:pPr>
              <w:pStyle w:val="TableContents"/>
              <w:spacing w:before="0" w:after="283"/>
              <w:jc w:val="center"/>
              <w:rPr>
                <w:caps w:val="false"/>
                <w:smallCaps w:val="false"/>
              </w:rPr>
            </w:pPr>
            <w:r>
              <w:rPr>
                <w:caps w:val="false"/>
                <w:smallCaps w:val="false"/>
              </w:rPr>
              <w:t> </w:t>
            </w:r>
          </w:p>
        </w:tc>
        <w:tc>
          <w:tcPr>
            <w:tcW w:w="552" w:type="dxa"/>
            <w:tcBorders/>
            <w:shd w:fill="EE0027" w:val="clear"/>
            <w:vAlign w:val="center"/>
          </w:tcPr>
          <w:p>
            <w:pPr>
              <w:pStyle w:val="TableContents"/>
              <w:spacing w:before="0" w:after="283"/>
              <w:jc w:val="center"/>
              <w:rPr/>
            </w:pPr>
            <w:r>
              <w:rPr/>
              <w:t> </w:t>
            </w:r>
          </w:p>
        </w:tc>
        <w:tc>
          <w:tcPr>
            <w:tcW w:w="2490" w:type="dxa"/>
            <w:gridSpan w:val="3"/>
            <w:tcBorders/>
            <w:shd w:fill="EE0027" w:val="clear"/>
            <w:vAlign w:val="center"/>
          </w:tcPr>
          <w:p>
            <w:pPr>
              <w:pStyle w:val="TableContents"/>
              <w:spacing w:before="0" w:after="283"/>
              <w:jc w:val="center"/>
              <w:rPr/>
            </w:pPr>
            <w:r>
              <w:rPr/>
              <w:t> </w:t>
            </w:r>
          </w:p>
        </w:tc>
        <w:tc>
          <w:tcPr>
            <w:tcW w:w="2602" w:type="dxa"/>
            <w:gridSpan w:val="3"/>
            <w:tcBorders/>
            <w:shd w:fill="EE0027" w:val="clear"/>
            <w:vAlign w:val="center"/>
          </w:tcPr>
          <w:p>
            <w:pPr>
              <w:pStyle w:val="TableContents"/>
              <w:spacing w:before="0" w:after="283"/>
              <w:jc w:val="center"/>
              <w:rPr/>
            </w:pPr>
            <w:r>
              <w:rPr/>
              <w:t> </w:t>
            </w:r>
          </w:p>
        </w:tc>
        <w:tc>
          <w:tcPr>
            <w:tcW w:w="935" w:type="dxa"/>
            <w:tcBorders/>
            <w:shd w:fill="EE0027" w:val="clear"/>
            <w:vAlign w:val="center"/>
          </w:tcPr>
          <w:p>
            <w:pPr>
              <w:pStyle w:val="TableContents"/>
              <w:spacing w:before="0" w:after="283"/>
              <w:jc w:val="left"/>
              <w:rPr/>
            </w:pPr>
            <w:r>
              <w:rPr/>
              <w:t> </w:t>
            </w:r>
          </w:p>
        </w:tc>
        <w:tc>
          <w:tcPr>
            <w:tcW w:w="913" w:type="dxa"/>
            <w:tcBorders/>
            <w:shd w:fill="EE0027" w:val="clear"/>
            <w:vAlign w:val="center"/>
          </w:tcPr>
          <w:p>
            <w:pPr>
              <w:pStyle w:val="TableContents"/>
              <w:spacing w:before="0" w:after="283"/>
              <w:jc w:val="left"/>
              <w:rPr/>
            </w:pPr>
            <w:r>
              <w:rPr/>
              <w:t> </w:t>
            </w:r>
          </w:p>
        </w:tc>
        <w:tc>
          <w:tcPr>
            <w:tcW w:w="1660" w:type="dxa"/>
            <w:tcBorders/>
            <w:shd w:fill="EE0027" w:val="clear"/>
            <w:vAlign w:val="center"/>
          </w:tcPr>
          <w:p>
            <w:pPr>
              <w:pStyle w:val="TableContents"/>
              <w:spacing w:before="0" w:after="283"/>
              <w:ind w:left="0" w:right="0" w:firstLine="180"/>
              <w:jc w:val="left"/>
              <w:rPr/>
            </w:pPr>
            <w:r>
              <w:rPr/>
              <w:t> </w:t>
            </w:r>
          </w:p>
        </w:tc>
      </w:tr>
      <w:tr>
        <w:trPr/>
        <w:tc>
          <w:tcPr>
            <w:tcW w:w="1053"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552"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Grant</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Date</w:t>
            </w:r>
          </w:p>
          <w:p>
            <w:pPr>
              <w:pStyle w:val="TableContents"/>
              <w:spacing w:before="0" w:after="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Threshold</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p>
            <w:pPr>
              <w:pStyle w:val="TableContents"/>
              <w:spacing w:before="0" w:after="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p>
            <w:pPr>
              <w:pStyle w:val="TableContents"/>
              <w:spacing w:before="0" w:after="0"/>
              <w:jc w:val="left"/>
              <w:rPr>
                <w:caps w:val="false"/>
                <w:smallCaps w:val="false"/>
                <w:color w:val="FFFFFF"/>
              </w:rPr>
            </w:pPr>
            <w:r>
              <w:rPr>
                <w:caps w:val="false"/>
                <w:smallCaps w:val="false"/>
                <w:color w:val="FFFFFF"/>
              </w:rPr>
              <w:t> </w:t>
            </w:r>
          </w:p>
        </w:tc>
        <w:tc>
          <w:tcPr>
            <w:tcW w:w="830"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Maximum</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p>
            <w:pPr>
              <w:pStyle w:val="TableContents"/>
              <w:spacing w:before="0" w:after="0"/>
              <w:jc w:val="left"/>
              <w:rPr>
                <w:caps w:val="false"/>
                <w:smallCaps w:val="false"/>
                <w:color w:val="FFFFFF"/>
              </w:rPr>
            </w:pPr>
            <w:r>
              <w:rPr>
                <w:caps w:val="false"/>
                <w:smallCaps w:val="false"/>
                <w:color w:val="FFFFFF"/>
              </w:rPr>
              <w:t> </w:t>
            </w:r>
          </w:p>
        </w:tc>
        <w:tc>
          <w:tcPr>
            <w:tcW w:w="918"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Threshold</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p>
            <w:pPr>
              <w:pStyle w:val="TableContents"/>
              <w:spacing w:before="0" w:after="0"/>
              <w:jc w:val="left"/>
              <w:rPr>
                <w:caps w:val="false"/>
                <w:smallCaps w:val="false"/>
                <w:color w:val="FFFFFF"/>
              </w:rPr>
            </w:pPr>
            <w:r>
              <w:rPr>
                <w:caps w:val="false"/>
                <w:smallCaps w:val="false"/>
                <w:color w:val="FFFFFF"/>
              </w:rPr>
              <w:t> </w:t>
            </w:r>
          </w:p>
        </w:tc>
        <w:tc>
          <w:tcPr>
            <w:tcW w:w="816"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Target</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p>
            <w:pPr>
              <w:pStyle w:val="TableContents"/>
              <w:spacing w:before="0" w:after="0"/>
              <w:jc w:val="left"/>
              <w:rPr>
                <w:caps w:val="false"/>
                <w:smallCaps w:val="false"/>
                <w:color w:val="FFFFFF"/>
              </w:rPr>
            </w:pPr>
            <w:r>
              <w:rPr>
                <w:caps w:val="false"/>
                <w:smallCaps w:val="false"/>
                <w:color w:val="FFFFFF"/>
              </w:rPr>
              <w:t> </w:t>
            </w:r>
          </w:p>
        </w:tc>
        <w:tc>
          <w:tcPr>
            <w:tcW w:w="868"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Maximum</w:t>
            </w:r>
          </w:p>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p>
            <w:pPr>
              <w:pStyle w:val="TableContents"/>
              <w:spacing w:before="0" w:after="0"/>
              <w:jc w:val="left"/>
              <w:rPr>
                <w:caps w:val="false"/>
                <w:smallCaps w:val="false"/>
                <w:color w:val="FFFFFF"/>
              </w:rPr>
            </w:pPr>
            <w:r>
              <w:rPr>
                <w:caps w:val="false"/>
                <w:smallCaps w:val="false"/>
                <w:color w:val="FFFFFF"/>
              </w:rPr>
              <w:t> </w:t>
            </w:r>
          </w:p>
        </w:tc>
        <w:tc>
          <w:tcPr>
            <w:tcW w:w="935" w:type="dxa"/>
            <w:tcBorders/>
            <w:shd w:fill="EE0027" w:val="clear"/>
            <w:vAlign w:val="center"/>
          </w:tcPr>
          <w:p>
            <w:pPr>
              <w:pStyle w:val="TableContents"/>
              <w:jc w:val="left"/>
              <w:rPr/>
            </w:pPr>
            <w:r>
              <w:rPr/>
              <w:t> </w:t>
            </w:r>
          </w:p>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913" w:type="dxa"/>
            <w:tcBorders/>
            <w:shd w:fill="EE0027" w:val="clear"/>
            <w:vAlign w:val="center"/>
          </w:tcPr>
          <w:p>
            <w:pPr>
              <w:pStyle w:val="TableContents"/>
              <w:jc w:val="left"/>
              <w:rPr/>
            </w:pPr>
            <w:r>
              <w:rPr/>
              <w:t> </w:t>
            </w:r>
          </w:p>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($/Sh)</w:t>
            </w:r>
          </w:p>
        </w:tc>
        <w:tc>
          <w:tcPr>
            <w:tcW w:w="1660" w:type="dxa"/>
            <w:tcBorders/>
            <w:shd w:fill="EE0027" w:val="clear"/>
            <w:vAlign w:val="center"/>
          </w:tcPr>
          <w:p>
            <w:pPr>
              <w:pStyle w:val="TableContents"/>
              <w:jc w:val="left"/>
              <w:rPr/>
            </w:pPr>
            <w:r>
              <w:rPr/>
              <w:t> </w:t>
            </w:r>
          </w:p>
          <w:p>
            <w:pPr>
              <w:pStyle w:val="TableContents"/>
              <w:spacing w:before="0" w:after="283"/>
              <w:ind w:left="0" w:right="0" w:firstLine="18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r>
      <w:tr>
        <w:trPr/>
        <w:tc>
          <w:tcPr>
            <w:tcW w:w="1053"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Ronald F.</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918" w:type="dxa"/>
            <w:tcBorders/>
            <w:shd w:fill="auto" w:val="clear"/>
            <w:vAlign w:val="center"/>
          </w:tcPr>
          <w:p>
            <w:pPr>
              <w:pStyle w:val="TableContents"/>
              <w:spacing w:before="0" w:after="283"/>
              <w:rPr>
                <w:color w:val="231F20"/>
              </w:rPr>
            </w:pPr>
            <w:r>
              <w:rPr>
                <w:color w:val="231F20"/>
              </w:rPr>
              <w:t> </w:t>
            </w:r>
          </w:p>
        </w:tc>
        <w:tc>
          <w:tcPr>
            <w:tcW w:w="816" w:type="dxa"/>
            <w:tcBorders/>
            <w:shd w:fill="auto" w:val="clear"/>
            <w:vAlign w:val="center"/>
          </w:tcPr>
          <w:p>
            <w:pPr>
              <w:pStyle w:val="TableContents"/>
              <w:spacing w:before="0" w:after="283"/>
              <w:rPr>
                <w:color w:val="231F20"/>
              </w:rPr>
            </w:pPr>
            <w:r>
              <w:rPr>
                <w:color w:val="231F20"/>
              </w:rPr>
              <w:t> </w:t>
            </w:r>
          </w:p>
        </w:tc>
        <w:tc>
          <w:tcPr>
            <w:tcW w:w="868" w:type="dxa"/>
            <w:tcBorders/>
            <w:shd w:fill="auto" w:val="clear"/>
            <w:vAlign w:val="center"/>
          </w:tcPr>
          <w:p>
            <w:pPr>
              <w:pStyle w:val="TableContents"/>
              <w:spacing w:before="0" w:after="283"/>
              <w:rPr>
                <w:color w:val="231F20"/>
              </w:rPr>
            </w:pPr>
            <w:r>
              <w:rPr>
                <w:color w:val="231F20"/>
              </w:rPr>
              <w:t> </w:t>
            </w:r>
          </w:p>
        </w:tc>
        <w:tc>
          <w:tcPr>
            <w:tcW w:w="935" w:type="dxa"/>
            <w:tcBorders/>
            <w:shd w:fill="auto" w:val="clear"/>
            <w:vAlign w:val="center"/>
          </w:tcPr>
          <w:p>
            <w:pPr>
              <w:pStyle w:val="TableContents"/>
              <w:spacing w:before="0" w:after="283"/>
              <w:rPr>
                <w:color w:val="231F20"/>
              </w:rPr>
            </w:pPr>
            <w:r>
              <w:rPr>
                <w:color w:val="231F20"/>
              </w:rPr>
              <w:t> </w:t>
            </w:r>
          </w:p>
        </w:tc>
        <w:tc>
          <w:tcPr>
            <w:tcW w:w="913" w:type="dxa"/>
            <w:tcBorders/>
            <w:shd w:fill="auto" w:val="clear"/>
            <w:vAlign w:val="center"/>
          </w:tcPr>
          <w:p>
            <w:pPr>
              <w:pStyle w:val="TableContents"/>
              <w:spacing w:before="0" w:after="283"/>
              <w:rPr>
                <w:color w:val="231F20"/>
              </w:rPr>
            </w:pPr>
            <w:r>
              <w:rPr>
                <w:color w:val="231F20"/>
              </w:rPr>
              <w:t> </w:t>
            </w:r>
          </w:p>
        </w:tc>
        <w:tc>
          <w:tcPr>
            <w:tcW w:w="1660" w:type="dxa"/>
            <w:tcBorders/>
            <w:shd w:fill="auto" w:val="clear"/>
            <w:vAlign w:val="center"/>
          </w:tcPr>
          <w:p>
            <w:pPr>
              <w:pStyle w:val="TableContents"/>
              <w:spacing w:before="0" w:after="283"/>
              <w:ind w:left="0" w:right="0" w:firstLine="180"/>
              <w:rPr>
                <w:color w:val="231F20"/>
              </w:rPr>
            </w:pPr>
            <w:r>
              <w:rPr>
                <w:color w:val="231F20"/>
              </w:rPr>
              <w:t> </w:t>
            </w:r>
          </w:p>
        </w:tc>
      </w:tr>
      <w:tr>
        <w:trPr/>
        <w:tc>
          <w:tcPr>
            <w:tcW w:w="1053"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Clarke</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$675,000</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$1,800,000</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$3,600,000</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 —</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color w:val="231F20"/>
              </w:rPr>
            </w:pPr>
            <w:r>
              <w:rPr>
                <w:color w:val="231F20"/>
              </w:rPr>
              <w:t>—</w:t>
            </w:r>
          </w:p>
        </w:tc>
        <w:tc>
          <w:tcPr>
            <w:tcW w:w="913" w:type="dxa"/>
            <w:tcBorders/>
            <w:shd w:fill="auto" w:val="clear"/>
            <w:vAlign w:val="center"/>
          </w:tcPr>
          <w:p>
            <w:pPr>
              <w:pStyle w:val="TableContents"/>
              <w:spacing w:before="0" w:after="283"/>
              <w:rPr>
                <w:color w:val="231F20"/>
              </w:rPr>
            </w:pPr>
            <w:r>
              <w:rPr>
                <w:color w:val="231F20"/>
              </w:rPr>
              <w:t>—</w:t>
            </w:r>
          </w:p>
        </w:tc>
        <w:tc>
          <w:tcPr>
            <w:tcW w:w="1660" w:type="dxa"/>
            <w:tcBorders/>
            <w:shd w:fill="auto" w:val="clear"/>
            <w:vAlign w:val="center"/>
          </w:tcPr>
          <w:p>
            <w:pPr>
              <w:pStyle w:val="TableContents"/>
              <w:spacing w:before="0" w:after="283"/>
              <w:ind w:left="0" w:right="0" w:firstLine="180"/>
              <w:rPr>
                <w:color w:val="231F20"/>
              </w:rPr>
            </w:pPr>
            <w:r>
              <w:rPr>
                <w:color w:val="231F20"/>
              </w:rPr>
              <w:t>—</w:t>
            </w:r>
          </w:p>
        </w:tc>
      </w:tr>
      <w:tr>
        <w:trPr/>
        <w:tc>
          <w:tcPr>
            <w:tcW w:w="1053"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91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1053"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Alissa B.</w:t>
            </w:r>
          </w:p>
        </w:tc>
        <w:tc>
          <w:tcPr>
            <w:tcW w:w="552" w:type="dxa"/>
            <w:tcBorders/>
            <w:shd w:fill="DCDDDE" w:val="clear"/>
            <w:vAlign w:val="center"/>
          </w:tcPr>
          <w:p>
            <w:pPr>
              <w:pStyle w:val="TableContents"/>
              <w:spacing w:before="0" w:after="283"/>
              <w:rPr>
                <w:color w:val="231F20"/>
              </w:rPr>
            </w:pPr>
            <w:r>
              <w:rPr>
                <w:color w:val="231F20"/>
              </w:rPr>
              <w:t> </w:t>
            </w:r>
          </w:p>
        </w:tc>
        <w:tc>
          <w:tcPr>
            <w:tcW w:w="83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$37,500</w:t>
            </w:r>
          </w:p>
        </w:tc>
        <w:tc>
          <w:tcPr>
            <w:tcW w:w="83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$75,000</w:t>
            </w:r>
          </w:p>
        </w:tc>
        <w:tc>
          <w:tcPr>
            <w:tcW w:w="83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$93,750</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before="0" w:after="283"/>
              <w:rPr>
                <w:color w:val="231F20"/>
              </w:rPr>
            </w:pPr>
            <w:r>
              <w:rPr>
                <w:color w:val="231F20"/>
              </w:rPr>
              <w:t>—</w:t>
            </w:r>
          </w:p>
        </w:tc>
        <w:tc>
          <w:tcPr>
            <w:tcW w:w="868" w:type="dxa"/>
            <w:tcBorders/>
            <w:shd w:fill="DCDDDE" w:val="clear"/>
            <w:vAlign w:val="center"/>
          </w:tcPr>
          <w:p>
            <w:pPr>
              <w:pStyle w:val="TableContents"/>
              <w:spacing w:before="0" w:after="283"/>
              <w:rPr>
                <w:color w:val="231F20"/>
              </w:rPr>
            </w:pPr>
            <w:r>
              <w:rPr>
                <w:color w:val="231F20"/>
              </w:rPr>
              <w:t>—</w:t>
            </w:r>
          </w:p>
        </w:tc>
        <w:tc>
          <w:tcPr>
            <w:tcW w:w="935" w:type="dxa"/>
            <w:tcBorders/>
            <w:shd w:fill="DCDDDE" w:val="clear"/>
            <w:vAlign w:val="center"/>
          </w:tcPr>
          <w:p>
            <w:pPr>
              <w:pStyle w:val="TableContents"/>
              <w:spacing w:before="0" w:after="283"/>
              <w:rPr>
                <w:color w:val="231F20"/>
              </w:rPr>
            </w:pPr>
            <w:r>
              <w:rPr>
                <w:color w:val="231F20"/>
              </w:rPr>
              <w:t>—</w:t>
            </w:r>
          </w:p>
        </w:tc>
        <w:tc>
          <w:tcPr>
            <w:tcW w:w="913" w:type="dxa"/>
            <w:tcBorders/>
            <w:shd w:fill="DCDDDE" w:val="clear"/>
            <w:vAlign w:val="center"/>
          </w:tcPr>
          <w:p>
            <w:pPr>
              <w:pStyle w:val="TableContents"/>
              <w:spacing w:before="0" w:after="283"/>
              <w:rPr>
                <w:color w:val="231F20"/>
              </w:rPr>
            </w:pPr>
            <w:r>
              <w:rPr>
                <w:color w:val="231F20"/>
              </w:rPr>
              <w:t>— </w:t>
            </w:r>
          </w:p>
        </w:tc>
        <w:tc>
          <w:tcPr>
            <w:tcW w:w="1660" w:type="dxa"/>
            <w:tcBorders/>
            <w:shd w:fill="DCDDDE" w:val="clear"/>
            <w:vAlign w:val="center"/>
          </w:tcPr>
          <w:p>
            <w:pPr>
              <w:pStyle w:val="TableContents"/>
              <w:spacing w:before="0" w:after="283"/>
              <w:ind w:left="0" w:right="0" w:firstLine="180"/>
              <w:rPr>
                <w:color w:val="231F20"/>
              </w:rPr>
            </w:pPr>
            <w:r>
              <w:rPr>
                <w:color w:val="231F20"/>
              </w:rPr>
              <w:t>—</w:t>
            </w:r>
          </w:p>
        </w:tc>
      </w:tr>
      <w:tr>
        <w:trPr/>
        <w:tc>
          <w:tcPr>
            <w:tcW w:w="1053"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Vickery</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lineRule="auto" w:line="240" w:before="0" w:after="283"/>
              <w:rPr>
                <w:rFonts w:ascii="Arial;Helvetica;Sans-Serif" w:hAnsi="Arial;Helvetica;Sans-Serif"/>
                <w:color w:val="231F20"/>
                <w:sz w:val="16"/>
              </w:rPr>
            </w:pPr>
            <w:r>
              <w:rPr>
                <w:rFonts w:ascii="Arial;Helvetica;Sans-Serif" w:hAnsi="Arial;Helvetica;Sans-Serif"/>
                <w:color w:val="231F20"/>
                <w:sz w:val="16"/>
              </w:rPr>
              <w:t>1,109 (5)</w:t>
            </w:r>
          </w:p>
        </w:tc>
        <w:tc>
          <w:tcPr>
            <w:tcW w:w="868" w:type="dxa"/>
            <w:tcBorders/>
            <w:shd w:fill="DCDDDE" w:val="clear"/>
            <w:vAlign w:val="center"/>
          </w:tcPr>
          <w:p>
            <w:pPr>
              <w:pStyle w:val="TableContents"/>
              <w:spacing w:before="0" w:after="283"/>
              <w:rPr>
                <w:color w:val="231F20"/>
              </w:rPr>
            </w:pPr>
            <w:r>
              <w:rPr>
                <w:color w:val="231F20"/>
              </w:rPr>
              <w:t>—</w:t>
            </w:r>
          </w:p>
        </w:tc>
        <w:tc>
          <w:tcPr>
            <w:tcW w:w="935" w:type="dxa"/>
            <w:tcBorders/>
            <w:shd w:fill="DCDDDE" w:val="clear"/>
            <w:vAlign w:val="center"/>
          </w:tcPr>
          <w:p>
            <w:pPr>
              <w:pStyle w:val="TableContents"/>
              <w:spacing w:before="0" w:after="283"/>
              <w:rPr>
                <w:color w:val="231F20"/>
              </w:rPr>
            </w:pPr>
            <w:r>
              <w:rPr>
                <w:color w:val="231F20"/>
              </w:rPr>
              <w:t>—</w:t>
            </w:r>
          </w:p>
        </w:tc>
        <w:tc>
          <w:tcPr>
            <w:tcW w:w="913" w:type="dxa"/>
            <w:tcBorders/>
            <w:shd w:fill="DCDDDE" w:val="clear"/>
            <w:vAlign w:val="center"/>
          </w:tcPr>
          <w:p>
            <w:pPr>
              <w:pStyle w:val="TableContents"/>
              <w:spacing w:before="0" w:after="283"/>
              <w:rPr>
                <w:color w:val="231F20"/>
              </w:rPr>
            </w:pPr>
            <w:r>
              <w:rPr>
                <w:color w:val="231F20"/>
              </w:rPr>
              <w:t>—</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$250,024</w:t>
            </w:r>
          </w:p>
        </w:tc>
      </w:tr>
      <w:tr>
        <w:trPr/>
        <w:tc>
          <w:tcPr>
            <w:tcW w:w="1053" w:type="dxa"/>
            <w:tcBorders/>
            <w:shd w:fill="DCDDDE"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before="0" w:after="283"/>
              <w:rPr>
                <w:color w:val="231F20"/>
              </w:rPr>
            </w:pPr>
            <w:r>
              <w:rPr>
                <w:color w:val="231F20"/>
              </w:rPr>
              <w:t>—</w:t>
            </w:r>
          </w:p>
        </w:tc>
        <w:tc>
          <w:tcPr>
            <w:tcW w:w="868" w:type="dxa"/>
            <w:tcBorders/>
            <w:shd w:fill="DCDDDE" w:val="clear"/>
            <w:vAlign w:val="center"/>
          </w:tcPr>
          <w:p>
            <w:pPr>
              <w:pStyle w:val="TableContents"/>
              <w:spacing w:before="0" w:after="283"/>
              <w:rPr>
                <w:color w:val="231F20"/>
              </w:rPr>
            </w:pPr>
            <w:r>
              <w:rPr>
                <w:color w:val="231F20"/>
              </w:rPr>
              <w:t>—</w:t>
            </w:r>
          </w:p>
        </w:tc>
        <w:tc>
          <w:tcPr>
            <w:tcW w:w="935"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4,588</w:t>
            </w:r>
          </w:p>
        </w:tc>
        <w:tc>
          <w:tcPr>
            <w:tcW w:w="913"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$300,009</w:t>
            </w:r>
          </w:p>
        </w:tc>
      </w:tr>
      <w:tr>
        <w:trPr/>
        <w:tc>
          <w:tcPr>
            <w:tcW w:w="1053" w:type="dxa"/>
            <w:tcBorders/>
            <w:shd w:fill="auto" w:val="clear"/>
            <w:vAlign w:val="center"/>
          </w:tcPr>
          <w:p>
            <w:pPr>
              <w:pStyle w:val="TableContents"/>
              <w:spacing w:before="0" w:after="283"/>
              <w:rPr>
                <w:caps w:val="false"/>
                <w:smallCaps w:val="false"/>
              </w:rPr>
            </w:pPr>
            <w:r>
              <w:rPr>
                <w:caps w:val="false"/>
                <w:smallCaps w:val="false"/>
              </w:rPr>
              <w:t> </w:t>
            </w:r>
          </w:p>
        </w:tc>
        <w:tc>
          <w:tcPr>
            <w:tcW w:w="552"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rPr/>
            </w:pPr>
            <w:r>
              <w:rPr/>
              <w:t> </w:t>
            </w:r>
          </w:p>
        </w:tc>
        <w:tc>
          <w:tcPr>
            <w:tcW w:w="830" w:type="dxa"/>
            <w:tcBorders/>
            <w:shd w:fill="auto" w:val="clear"/>
            <w:vAlign w:val="center"/>
          </w:tcPr>
          <w:p>
            <w:pPr>
              <w:pStyle w:val="TableContents"/>
              <w:spacing w:before="0" w:after="283"/>
              <w:rPr/>
            </w:pPr>
            <w:r>
              <w:rPr/>
              <w:t> </w:t>
            </w:r>
          </w:p>
        </w:tc>
        <w:tc>
          <w:tcPr>
            <w:tcW w:w="918" w:type="dxa"/>
            <w:tcBorders/>
            <w:shd w:fill="auto" w:val="clear"/>
            <w:vAlign w:val="center"/>
          </w:tcPr>
          <w:p>
            <w:pPr>
              <w:pStyle w:val="TableContents"/>
              <w:spacing w:before="0" w:after="283"/>
              <w:rPr/>
            </w:pPr>
            <w:r>
              <w:rPr/>
              <w:t> </w:t>
            </w:r>
          </w:p>
        </w:tc>
        <w:tc>
          <w:tcPr>
            <w:tcW w:w="816" w:type="dxa"/>
            <w:tcBorders/>
            <w:shd w:fill="auto" w:val="clear"/>
            <w:vAlign w:val="center"/>
          </w:tcPr>
          <w:p>
            <w:pPr>
              <w:pStyle w:val="TableContents"/>
              <w:spacing w:before="0" w:after="283"/>
              <w:rPr/>
            </w:pPr>
            <w:r>
              <w:rPr/>
              <w:t> </w:t>
            </w:r>
          </w:p>
        </w:tc>
        <w:tc>
          <w:tcPr>
            <w:tcW w:w="868" w:type="dxa"/>
            <w:tcBorders/>
            <w:shd w:fill="auto" w:val="clear"/>
            <w:vAlign w:val="center"/>
          </w:tcPr>
          <w:p>
            <w:pPr>
              <w:pStyle w:val="TableContents"/>
              <w:spacing w:before="0" w:after="283"/>
              <w:rPr/>
            </w:pPr>
            <w:r>
              <w:rPr/>
              <w:t> </w:t>
            </w:r>
          </w:p>
        </w:tc>
        <w:tc>
          <w:tcPr>
            <w:tcW w:w="935" w:type="dxa"/>
            <w:tcBorders/>
            <w:shd w:fill="auto" w:val="clear"/>
            <w:vAlign w:val="center"/>
          </w:tcPr>
          <w:p>
            <w:pPr>
              <w:pStyle w:val="TableContents"/>
              <w:spacing w:before="0" w:after="283"/>
              <w:rPr/>
            </w:pPr>
            <w:r>
              <w:rPr/>
              <w:t> </w:t>
            </w:r>
          </w:p>
        </w:tc>
        <w:tc>
          <w:tcPr>
            <w:tcW w:w="913" w:type="dxa"/>
            <w:tcBorders/>
            <w:shd w:fill="auto" w:val="clear"/>
            <w:vAlign w:val="center"/>
          </w:tcPr>
          <w:p>
            <w:pPr>
              <w:pStyle w:val="TableContents"/>
              <w:spacing w:before="0" w:after="283"/>
              <w:rPr/>
            </w:pPr>
            <w:r>
              <w:rPr/>
              <w:t> </w:t>
            </w:r>
          </w:p>
        </w:tc>
        <w:tc>
          <w:tcPr>
            <w:tcW w:w="1660" w:type="dxa"/>
            <w:tcBorders/>
            <w:shd w:fill="auto" w:val="clear"/>
            <w:vAlign w:val="center"/>
          </w:tcPr>
          <w:p>
            <w:pPr>
              <w:pStyle w:val="TableContents"/>
              <w:spacing w:before="0" w:after="283"/>
              <w:ind w:left="0" w:right="0" w:firstLine="180"/>
              <w:rPr/>
            </w:pPr>
            <w:r>
              <w:rPr/>
              <w:t> </w:t>
            </w:r>
          </w:p>
        </w:tc>
      </w:tr>
      <w:tr>
        <w:trPr/>
        <w:tc>
          <w:tcPr>
            <w:tcW w:w="1053"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Charles R.</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$168,750</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$337,500</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$506,250</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caps w:val="false"/>
                <w:smallCaps w:val="false"/>
                <w:color w:val="231F20"/>
              </w:rPr>
            </w:pPr>
            <w:r>
              <w:rPr>
                <w:caps w:val="false"/>
                <w:smallCaps w:val="false"/>
                <w:color w:val="231F20"/>
              </w:rPr>
              <w:t>— </w:t>
            </w:r>
          </w:p>
        </w:tc>
        <w:tc>
          <w:tcPr>
            <w:tcW w:w="913" w:type="dxa"/>
            <w:tcBorders/>
            <w:shd w:fill="auto" w:val="clear"/>
            <w:vAlign w:val="center"/>
          </w:tcPr>
          <w:p>
            <w:pPr>
              <w:pStyle w:val="TableContents"/>
              <w:spacing w:before="0" w:after="283"/>
              <w:rPr>
                <w:caps w:val="false"/>
                <w:smallCaps w:val="false"/>
                <w:color w:val="231F20"/>
              </w:rPr>
            </w:pPr>
            <w:r>
              <w:rPr>
                <w:caps w:val="false"/>
                <w:smallCaps w:val="false"/>
                <w:color w:val="231F20"/>
              </w:rPr>
              <w:t>— </w:t>
            </w:r>
          </w:p>
        </w:tc>
        <w:tc>
          <w:tcPr>
            <w:tcW w:w="1660" w:type="dxa"/>
            <w:tcBorders/>
            <w:shd w:fill="auto" w:val="clear"/>
            <w:vAlign w:val="center"/>
          </w:tcPr>
          <w:p>
            <w:pPr>
              <w:pStyle w:val="TableContents"/>
              <w:spacing w:before="0" w:after="283"/>
              <w:ind w:left="0" w:right="0" w:firstLine="180"/>
              <w:rPr>
                <w:caps w:val="false"/>
                <w:smallCaps w:val="false"/>
                <w:color w:val="231F20"/>
              </w:rPr>
            </w:pPr>
            <w:r>
              <w:rPr>
                <w:caps w:val="false"/>
                <w:smallCaps w:val="false"/>
                <w:color w:val="231F20"/>
              </w:rPr>
              <w:t>— </w:t>
            </w:r>
          </w:p>
        </w:tc>
      </w:tr>
      <w:tr>
        <w:trPr/>
        <w:tc>
          <w:tcPr>
            <w:tcW w:w="1053"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Freund</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918" w:type="dxa"/>
            <w:tcBorders/>
            <w:shd w:fill="auto" w:val="clear"/>
            <w:vAlign w:val="center"/>
          </w:tcPr>
          <w:p>
            <w:pPr>
              <w:pStyle w:val="TableContents"/>
              <w:spacing w:before="0" w:after="283"/>
              <w:rPr>
                <w:color w:val="231F20"/>
              </w:rPr>
            </w:pPr>
            <w:r>
              <w:rPr>
                <w:color w:val="231F20"/>
              </w:rPr>
              <w:t> </w:t>
            </w:r>
          </w:p>
        </w:tc>
        <w:tc>
          <w:tcPr>
            <w:tcW w:w="816" w:type="dxa"/>
            <w:tcBorders/>
            <w:shd w:fill="auto" w:val="clear"/>
            <w:vAlign w:val="center"/>
          </w:tcPr>
          <w:p>
            <w:pPr>
              <w:pStyle w:val="TableContents"/>
              <w:spacing w:before="0" w:after="283"/>
              <w:rPr>
                <w:color w:val="231F20"/>
              </w:rPr>
            </w:pPr>
            <w:r>
              <w:rPr>
                <w:color w:val="231F20"/>
              </w:rPr>
              <w:t> </w:t>
            </w:r>
          </w:p>
        </w:tc>
        <w:tc>
          <w:tcPr>
            <w:tcW w:w="868" w:type="dxa"/>
            <w:tcBorders/>
            <w:shd w:fill="auto" w:val="clear"/>
            <w:vAlign w:val="center"/>
          </w:tcPr>
          <w:p>
            <w:pPr>
              <w:pStyle w:val="TableContents"/>
              <w:spacing w:before="0" w:after="283"/>
              <w:rPr>
                <w:color w:val="231F20"/>
              </w:rPr>
            </w:pPr>
            <w:r>
              <w:rPr>
                <w:color w:val="231F20"/>
              </w:rPr>
              <w:t> </w:t>
            </w:r>
          </w:p>
        </w:tc>
        <w:tc>
          <w:tcPr>
            <w:tcW w:w="935" w:type="dxa"/>
            <w:tcBorders/>
            <w:shd w:fill="auto" w:val="clear"/>
            <w:vAlign w:val="center"/>
          </w:tcPr>
          <w:p>
            <w:pPr>
              <w:pStyle w:val="TableContents"/>
              <w:spacing w:before="0" w:after="283"/>
              <w:rPr>
                <w:color w:val="231F20"/>
              </w:rPr>
            </w:pPr>
            <w:r>
              <w:rPr>
                <w:color w:val="231F20"/>
              </w:rPr>
              <w:t> </w:t>
            </w:r>
          </w:p>
        </w:tc>
        <w:tc>
          <w:tcPr>
            <w:tcW w:w="913" w:type="dxa"/>
            <w:tcBorders/>
            <w:shd w:fill="auto" w:val="clear"/>
            <w:vAlign w:val="center"/>
          </w:tcPr>
          <w:p>
            <w:pPr>
              <w:pStyle w:val="TableContents"/>
              <w:spacing w:before="0" w:after="283"/>
              <w:rPr>
                <w:color w:val="231F20"/>
              </w:rPr>
            </w:pPr>
            <w:r>
              <w:rPr>
                <w:color w:val="231F20"/>
              </w:rPr>
              <w:t> </w:t>
            </w:r>
          </w:p>
        </w:tc>
        <w:tc>
          <w:tcPr>
            <w:tcW w:w="1660" w:type="dxa"/>
            <w:tcBorders/>
            <w:shd w:fill="auto" w:val="clear"/>
            <w:vAlign w:val="center"/>
          </w:tcPr>
          <w:p>
            <w:pPr>
              <w:pStyle w:val="TableContents"/>
              <w:spacing w:before="0" w:after="283"/>
              <w:ind w:left="0" w:right="0" w:firstLine="180"/>
              <w:rPr>
                <w:color w:val="231F20"/>
              </w:rPr>
            </w:pPr>
            <w:r>
              <w:rPr>
                <w:color w:val="231F20"/>
              </w:rPr>
              <w:t> </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2,662</w:t>
            </w:r>
          </w:p>
        </w:tc>
        <w:tc>
          <w:tcPr>
            <w:tcW w:w="816" w:type="dxa"/>
            <w:tcBorders/>
            <w:shd w:fill="auto" w:val="clear"/>
            <w:vAlign w:val="center"/>
          </w:tcPr>
          <w:p>
            <w:pPr>
              <w:pStyle w:val="TableContents"/>
              <w:spacing w:lineRule="auto" w:line="240" w:before="0" w:after="283"/>
              <w:rPr/>
            </w:pPr>
            <w:r>
              <w:rPr>
                <w:rFonts w:ascii="Arial;Helvetica;Sans-Serif" w:hAnsi="Arial;Helvetica;Sans-Serif"/>
                <w:color w:val="231F20"/>
                <w:sz w:val="16"/>
              </w:rPr>
              <w:t xml:space="preserve">5,323 </w:t>
            </w:r>
            <w:r>
              <w:rPr>
                <w:rFonts w:ascii="Arial;Helvetica;sans-serif" w:hAnsi="Arial;Helvetica;sans-serif"/>
                <w:b w:val="false"/>
                <w:i w:val="false"/>
                <w:caps w:val="false"/>
                <w:smallCaps w:val="false"/>
                <w:color w:val="231F20"/>
              </w:rPr>
              <w:t>(4)</w:t>
            </w:r>
          </w:p>
        </w:tc>
        <w:tc>
          <w:tcPr>
            <w:tcW w:w="868"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7,985</w:t>
            </w:r>
          </w:p>
        </w:tc>
        <w:tc>
          <w:tcPr>
            <w:tcW w:w="935" w:type="dxa"/>
            <w:tcBorders/>
            <w:shd w:fill="auto" w:val="clear"/>
            <w:vAlign w:val="center"/>
          </w:tcPr>
          <w:p>
            <w:pPr>
              <w:pStyle w:val="TableContents"/>
              <w:spacing w:before="0" w:after="283"/>
              <w:rPr>
                <w:color w:val="231F20"/>
              </w:rPr>
            </w:pPr>
            <w:r>
              <w:rPr>
                <w:color w:val="231F20"/>
              </w:rPr>
              <w:t>—</w:t>
            </w:r>
          </w:p>
        </w:tc>
        <w:tc>
          <w:tcPr>
            <w:tcW w:w="913" w:type="dxa"/>
            <w:tcBorders/>
            <w:shd w:fill="auto" w:val="clear"/>
            <w:vAlign w:val="center"/>
          </w:tcPr>
          <w:p>
            <w:pPr>
              <w:pStyle w:val="TableContents"/>
              <w:spacing w:before="0" w:after="283"/>
              <w:rPr>
                <w:color w:val="231F20"/>
              </w:rPr>
            </w:pPr>
            <w:r>
              <w:rPr>
                <w:color w:val="231F20"/>
              </w:rPr>
              <w:t>—</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$1,200,070</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lineRule="auto" w:line="240" w:before="0" w:after="283"/>
              <w:rPr/>
            </w:pPr>
            <w:r>
              <w:rPr>
                <w:rFonts w:ascii="Arial;Helvetica;Sans-Serif" w:hAnsi="Arial;Helvetica;Sans-Serif"/>
                <w:color w:val="231F20"/>
                <w:sz w:val="16"/>
              </w:rPr>
              <w:t xml:space="preserve">1,486 </w:t>
            </w:r>
            <w:r>
              <w:rPr>
                <w:rFonts w:ascii="Arial;Helvetica;sans-serif" w:hAnsi="Arial;Helvetica;sans-serif"/>
                <w:b w:val="false"/>
                <w:i w:val="false"/>
                <w:caps w:val="false"/>
                <w:smallCaps w:val="false"/>
                <w:color w:val="231F20"/>
              </w:rPr>
              <w:t>(5)</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color w:val="231F20"/>
              </w:rPr>
            </w:pPr>
            <w:r>
              <w:rPr>
                <w:color w:val="231F20"/>
              </w:rPr>
              <w:t>—</w:t>
            </w:r>
          </w:p>
        </w:tc>
        <w:tc>
          <w:tcPr>
            <w:tcW w:w="913" w:type="dxa"/>
            <w:tcBorders/>
            <w:shd w:fill="auto" w:val="clear"/>
            <w:vAlign w:val="center"/>
          </w:tcPr>
          <w:p>
            <w:pPr>
              <w:pStyle w:val="TableContents"/>
              <w:spacing w:before="0" w:after="283"/>
              <w:rPr>
                <w:color w:val="231F20"/>
              </w:rPr>
            </w:pPr>
            <w:r>
              <w:rPr>
                <w:color w:val="231F20"/>
              </w:rPr>
              <w:t>—</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$335,019</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918" w:type="dxa"/>
            <w:tcBorders/>
            <w:shd w:fill="auto" w:val="clear"/>
            <w:vAlign w:val="center"/>
          </w:tcPr>
          <w:p>
            <w:pPr>
              <w:pStyle w:val="TableContents"/>
              <w:spacing w:before="0" w:after="283"/>
              <w:rPr>
                <w:color w:val="231F20"/>
              </w:rPr>
            </w:pPr>
            <w:r>
              <w:rPr>
                <w:color w:val="231F20"/>
              </w:rPr>
              <w:t> </w:t>
            </w:r>
          </w:p>
        </w:tc>
        <w:tc>
          <w:tcPr>
            <w:tcW w:w="816" w:type="dxa"/>
            <w:tcBorders/>
            <w:shd w:fill="auto" w:val="clear"/>
            <w:vAlign w:val="center"/>
          </w:tcPr>
          <w:p>
            <w:pPr>
              <w:pStyle w:val="TableContents"/>
              <w:spacing w:before="0" w:after="283"/>
              <w:rPr>
                <w:color w:val="231F20"/>
              </w:rPr>
            </w:pPr>
            <w:r>
              <w:rPr>
                <w:color w:val="231F20"/>
              </w:rPr>
              <w:t> </w:t>
            </w:r>
          </w:p>
        </w:tc>
        <w:tc>
          <w:tcPr>
            <w:tcW w:w="868" w:type="dxa"/>
            <w:tcBorders/>
            <w:shd w:fill="auto" w:val="clear"/>
            <w:vAlign w:val="center"/>
          </w:tcPr>
          <w:p>
            <w:pPr>
              <w:pStyle w:val="TableContents"/>
              <w:spacing w:before="0" w:after="283"/>
              <w:rPr>
                <w:color w:val="231F20"/>
              </w:rPr>
            </w:pPr>
            <w:r>
              <w:rPr>
                <w:color w:val="231F20"/>
              </w:rPr>
              <w:t> </w:t>
            </w:r>
          </w:p>
        </w:tc>
        <w:tc>
          <w:tcPr>
            <w:tcW w:w="935" w:type="dxa"/>
            <w:tcBorders/>
            <w:shd w:fill="auto" w:val="clear"/>
            <w:vAlign w:val="center"/>
          </w:tcPr>
          <w:p>
            <w:pPr>
              <w:pStyle w:val="TableContents"/>
              <w:spacing w:before="0" w:after="283"/>
              <w:rPr>
                <w:color w:val="231F20"/>
              </w:rPr>
            </w:pPr>
            <w:r>
              <w:rPr>
                <w:color w:val="231F20"/>
              </w:rPr>
              <w:t> </w:t>
            </w:r>
          </w:p>
        </w:tc>
        <w:tc>
          <w:tcPr>
            <w:tcW w:w="913" w:type="dxa"/>
            <w:tcBorders/>
            <w:shd w:fill="auto" w:val="clear"/>
            <w:vAlign w:val="center"/>
          </w:tcPr>
          <w:p>
            <w:pPr>
              <w:pStyle w:val="TableContents"/>
              <w:spacing w:before="0" w:after="283"/>
              <w:rPr>
                <w:color w:val="231F20"/>
              </w:rPr>
            </w:pPr>
            <w:r>
              <w:rPr>
                <w:color w:val="231F20"/>
              </w:rPr>
              <w:t> </w:t>
            </w:r>
          </w:p>
        </w:tc>
        <w:tc>
          <w:tcPr>
            <w:tcW w:w="1660" w:type="dxa"/>
            <w:tcBorders/>
            <w:shd w:fill="auto" w:val="clear"/>
            <w:vAlign w:val="center"/>
          </w:tcPr>
          <w:p>
            <w:pPr>
              <w:pStyle w:val="TableContents"/>
              <w:spacing w:before="0" w:after="283"/>
              <w:ind w:left="0" w:right="0" w:firstLine="180"/>
              <w:rPr>
                <w:color w:val="231F20"/>
              </w:rPr>
            </w:pPr>
            <w:r>
              <w:rPr>
                <w:color w:val="231F20"/>
              </w:rPr>
              <w:t> </w:t>
            </w:r>
          </w:p>
        </w:tc>
      </w:tr>
      <w:tr>
        <w:trPr/>
        <w:tc>
          <w:tcPr>
            <w:tcW w:w="1053" w:type="dxa"/>
            <w:tcBorders/>
            <w:shd w:fill="DCDDDE"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DCDDDE" w:val="clear"/>
            <w:vAlign w:val="center"/>
          </w:tcPr>
          <w:p>
            <w:pPr>
              <w:pStyle w:val="TableContents"/>
              <w:spacing w:before="0" w:after="283"/>
              <w:rPr>
                <w:color w:val="231F20"/>
              </w:rPr>
            </w:pPr>
            <w:r>
              <w:rPr>
                <w:color w:val="231F20"/>
              </w:rPr>
              <w:t> </w:t>
            </w:r>
          </w:p>
        </w:tc>
        <w:tc>
          <w:tcPr>
            <w:tcW w:w="83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$182,727</w:t>
            </w:r>
          </w:p>
        </w:tc>
        <w:tc>
          <w:tcPr>
            <w:tcW w:w="83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$365,455</w:t>
            </w:r>
          </w:p>
        </w:tc>
        <w:tc>
          <w:tcPr>
            <w:tcW w:w="830"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$548,182</w:t>
            </w:r>
          </w:p>
        </w:tc>
        <w:tc>
          <w:tcPr>
            <w:tcW w:w="918" w:type="dxa"/>
            <w:tcBorders/>
            <w:shd w:fill="DCDDDE" w:val="clear"/>
            <w:vAlign w:val="center"/>
          </w:tcPr>
          <w:p>
            <w:pPr>
              <w:pStyle w:val="TableContents"/>
              <w:spacing w:before="0" w:after="283"/>
              <w:rPr>
                <w:caps w:val="false"/>
                <w:smallCaps w:val="false"/>
                <w:color w:val="231F20"/>
              </w:rPr>
            </w:pPr>
            <w:r>
              <w:rPr>
                <w:caps w:val="false"/>
                <w:smallCaps w:val="false"/>
                <w:color w:val="231F20"/>
              </w:rPr>
              <w:t>— </w:t>
            </w:r>
          </w:p>
        </w:tc>
        <w:tc>
          <w:tcPr>
            <w:tcW w:w="816" w:type="dxa"/>
            <w:tcBorders/>
            <w:shd w:fill="DCDDDE" w:val="clear"/>
            <w:vAlign w:val="center"/>
          </w:tcPr>
          <w:p>
            <w:pPr>
              <w:pStyle w:val="TableContents"/>
              <w:spacing w:before="0" w:after="283"/>
              <w:rPr>
                <w:caps w:val="false"/>
                <w:smallCaps w:val="false"/>
                <w:color w:val="231F20"/>
              </w:rPr>
            </w:pPr>
            <w:r>
              <w:rPr>
                <w:caps w:val="false"/>
                <w:smallCaps w:val="false"/>
                <w:color w:val="231F20"/>
              </w:rPr>
              <w:t>— </w:t>
            </w:r>
          </w:p>
        </w:tc>
        <w:tc>
          <w:tcPr>
            <w:tcW w:w="868" w:type="dxa"/>
            <w:tcBorders/>
            <w:shd w:fill="DCDDDE" w:val="clear"/>
            <w:vAlign w:val="center"/>
          </w:tcPr>
          <w:p>
            <w:pPr>
              <w:pStyle w:val="TableContents"/>
              <w:spacing w:before="0" w:after="283"/>
              <w:rPr>
                <w:caps w:val="false"/>
                <w:smallCaps w:val="false"/>
                <w:color w:val="231F20"/>
              </w:rPr>
            </w:pPr>
            <w:r>
              <w:rPr>
                <w:caps w:val="false"/>
                <w:smallCaps w:val="false"/>
                <w:color w:val="231F20"/>
              </w:rPr>
              <w:t>— </w:t>
            </w:r>
          </w:p>
        </w:tc>
        <w:tc>
          <w:tcPr>
            <w:tcW w:w="935" w:type="dxa"/>
            <w:tcBorders/>
            <w:shd w:fill="DCDDDE" w:val="clear"/>
            <w:vAlign w:val="center"/>
          </w:tcPr>
          <w:p>
            <w:pPr>
              <w:pStyle w:val="TableContents"/>
              <w:spacing w:before="0" w:after="283"/>
              <w:rPr>
                <w:caps w:val="false"/>
                <w:smallCaps w:val="false"/>
                <w:color w:val="231F20"/>
              </w:rPr>
            </w:pPr>
            <w:r>
              <w:rPr>
                <w:caps w:val="false"/>
                <w:smallCaps w:val="false"/>
                <w:color w:val="231F20"/>
              </w:rPr>
              <w:t>— </w:t>
            </w:r>
          </w:p>
        </w:tc>
        <w:tc>
          <w:tcPr>
            <w:tcW w:w="913" w:type="dxa"/>
            <w:tcBorders/>
            <w:shd w:fill="DCDDDE" w:val="clear"/>
            <w:vAlign w:val="center"/>
          </w:tcPr>
          <w:p>
            <w:pPr>
              <w:pStyle w:val="TableContents"/>
              <w:spacing w:before="0" w:after="283"/>
              <w:rPr>
                <w:caps w:val="false"/>
                <w:smallCaps w:val="false"/>
                <w:color w:val="231F20"/>
              </w:rPr>
            </w:pPr>
            <w:r>
              <w:rPr>
                <w:caps w:val="false"/>
                <w:smallCaps w:val="false"/>
                <w:color w:val="231F20"/>
              </w:rPr>
              <w:t>— </w:t>
            </w:r>
          </w:p>
        </w:tc>
        <w:tc>
          <w:tcPr>
            <w:tcW w:w="1660" w:type="dxa"/>
            <w:tcBorders/>
            <w:shd w:fill="DCDDDE" w:val="clear"/>
            <w:vAlign w:val="center"/>
          </w:tcPr>
          <w:p>
            <w:pPr>
              <w:pStyle w:val="TableContents"/>
              <w:spacing w:before="0" w:after="283"/>
              <w:ind w:left="0" w:right="0" w:firstLine="180"/>
              <w:rPr>
                <w:caps w:val="false"/>
                <w:smallCaps w:val="false"/>
                <w:color w:val="231F20"/>
              </w:rPr>
            </w:pPr>
            <w:r>
              <w:rPr>
                <w:caps w:val="false"/>
                <w:smallCaps w:val="false"/>
                <w:color w:val="231F20"/>
              </w:rPr>
              <w:t>— </w:t>
            </w:r>
          </w:p>
        </w:tc>
      </w:tr>
      <w:tr>
        <w:trPr/>
        <w:tc>
          <w:tcPr>
            <w:tcW w:w="1053"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Armando L.</w:t>
            </w:r>
          </w:p>
        </w:tc>
        <w:tc>
          <w:tcPr>
            <w:tcW w:w="552" w:type="dxa"/>
            <w:tcBorders/>
            <w:shd w:fill="DCDDDE" w:val="clear"/>
            <w:vAlign w:val="center"/>
          </w:tcPr>
          <w:p>
            <w:pPr>
              <w:pStyle w:val="TableContents"/>
              <w:spacing w:before="0" w:after="283"/>
              <w:rPr>
                <w:color w:val="231F20"/>
              </w:rPr>
            </w:pPr>
            <w:r>
              <w:rPr>
                <w:color w:val="231F20"/>
              </w:rPr>
              <w:t> </w:t>
            </w:r>
          </w:p>
        </w:tc>
        <w:tc>
          <w:tcPr>
            <w:tcW w:w="830" w:type="dxa"/>
            <w:tcBorders/>
            <w:shd w:fill="DCDDDE" w:val="clear"/>
            <w:vAlign w:val="center"/>
          </w:tcPr>
          <w:p>
            <w:pPr>
              <w:pStyle w:val="TableContents"/>
              <w:spacing w:before="0" w:after="283"/>
              <w:rPr>
                <w:color w:val="231F20"/>
              </w:rPr>
            </w:pPr>
            <w:r>
              <w:rPr>
                <w:color w:val="231F20"/>
              </w:rPr>
              <w:t> </w:t>
            </w:r>
          </w:p>
        </w:tc>
        <w:tc>
          <w:tcPr>
            <w:tcW w:w="830" w:type="dxa"/>
            <w:tcBorders/>
            <w:shd w:fill="DCDDDE" w:val="clear"/>
            <w:vAlign w:val="center"/>
          </w:tcPr>
          <w:p>
            <w:pPr>
              <w:pStyle w:val="TableContents"/>
              <w:spacing w:before="0" w:after="283"/>
              <w:rPr>
                <w:color w:val="231F20"/>
              </w:rPr>
            </w:pPr>
            <w:r>
              <w:rPr>
                <w:color w:val="231F20"/>
              </w:rPr>
              <w:t> </w:t>
            </w:r>
          </w:p>
        </w:tc>
        <w:tc>
          <w:tcPr>
            <w:tcW w:w="830" w:type="dxa"/>
            <w:tcBorders/>
            <w:shd w:fill="DCDDDE" w:val="clear"/>
            <w:vAlign w:val="center"/>
          </w:tcPr>
          <w:p>
            <w:pPr>
              <w:pStyle w:val="TableContents"/>
              <w:spacing w:before="0" w:after="283"/>
              <w:rPr>
                <w:color w:val="231F20"/>
              </w:rPr>
            </w:pPr>
            <w:r>
              <w:rPr>
                <w:color w:val="231F20"/>
              </w:rPr>
              <w:t> </w:t>
            </w:r>
          </w:p>
        </w:tc>
        <w:tc>
          <w:tcPr>
            <w:tcW w:w="918" w:type="dxa"/>
            <w:tcBorders/>
            <w:shd w:fill="DCDDDE" w:val="clear"/>
            <w:vAlign w:val="center"/>
          </w:tcPr>
          <w:p>
            <w:pPr>
              <w:pStyle w:val="TableContents"/>
              <w:spacing w:before="0" w:after="283"/>
              <w:rPr>
                <w:color w:val="231F20"/>
              </w:rPr>
            </w:pPr>
            <w:r>
              <w:rPr>
                <w:color w:val="231F20"/>
              </w:rPr>
              <w:t> </w:t>
            </w:r>
          </w:p>
        </w:tc>
        <w:tc>
          <w:tcPr>
            <w:tcW w:w="816" w:type="dxa"/>
            <w:tcBorders/>
            <w:shd w:fill="DCDDDE" w:val="clear"/>
            <w:vAlign w:val="center"/>
          </w:tcPr>
          <w:p>
            <w:pPr>
              <w:pStyle w:val="TableContents"/>
              <w:spacing w:before="0" w:after="283"/>
              <w:rPr>
                <w:color w:val="231F20"/>
              </w:rPr>
            </w:pPr>
            <w:r>
              <w:rPr>
                <w:color w:val="231F20"/>
              </w:rPr>
              <w:t> </w:t>
            </w:r>
          </w:p>
        </w:tc>
        <w:tc>
          <w:tcPr>
            <w:tcW w:w="868" w:type="dxa"/>
            <w:tcBorders/>
            <w:shd w:fill="DCDDDE" w:val="clear"/>
            <w:vAlign w:val="center"/>
          </w:tcPr>
          <w:p>
            <w:pPr>
              <w:pStyle w:val="TableContents"/>
              <w:spacing w:before="0" w:after="283"/>
              <w:rPr>
                <w:color w:val="231F20"/>
              </w:rPr>
            </w:pPr>
            <w:r>
              <w:rPr>
                <w:color w:val="231F20"/>
              </w:rPr>
              <w:t> </w:t>
            </w:r>
          </w:p>
        </w:tc>
        <w:tc>
          <w:tcPr>
            <w:tcW w:w="935" w:type="dxa"/>
            <w:tcBorders/>
            <w:shd w:fill="DCDDDE" w:val="clear"/>
            <w:vAlign w:val="center"/>
          </w:tcPr>
          <w:p>
            <w:pPr>
              <w:pStyle w:val="TableContents"/>
              <w:spacing w:before="0" w:after="283"/>
              <w:rPr>
                <w:color w:val="231F20"/>
              </w:rPr>
            </w:pPr>
            <w:r>
              <w:rPr>
                <w:color w:val="231F20"/>
              </w:rPr>
              <w:t> </w:t>
            </w:r>
          </w:p>
        </w:tc>
        <w:tc>
          <w:tcPr>
            <w:tcW w:w="913" w:type="dxa"/>
            <w:tcBorders/>
            <w:shd w:fill="DCDDDE" w:val="clear"/>
            <w:vAlign w:val="center"/>
          </w:tcPr>
          <w:p>
            <w:pPr>
              <w:pStyle w:val="TableContents"/>
              <w:spacing w:before="0" w:after="283"/>
              <w:rPr>
                <w:color w:val="231F20"/>
              </w:rPr>
            </w:pPr>
            <w:r>
              <w:rPr>
                <w:color w:val="231F20"/>
              </w:rPr>
              <w:t> </w:t>
            </w:r>
          </w:p>
        </w:tc>
        <w:tc>
          <w:tcPr>
            <w:tcW w:w="1660" w:type="dxa"/>
            <w:tcBorders/>
            <w:shd w:fill="DCDDDE" w:val="clear"/>
            <w:vAlign w:val="center"/>
          </w:tcPr>
          <w:p>
            <w:pPr>
              <w:pStyle w:val="TableContents"/>
              <w:spacing w:before="0" w:after="283"/>
              <w:ind w:left="0" w:right="0" w:firstLine="180"/>
              <w:rPr>
                <w:color w:val="231F20"/>
              </w:rPr>
            </w:pPr>
            <w:r>
              <w:rPr>
                <w:color w:val="231F20"/>
              </w:rPr>
              <w:t> </w:t>
            </w:r>
          </w:p>
        </w:tc>
      </w:tr>
      <w:tr>
        <w:trPr/>
        <w:tc>
          <w:tcPr>
            <w:tcW w:w="1053" w:type="dxa"/>
            <w:tcBorders/>
            <w:shd w:fill="DCDDDE" w:val="clear"/>
            <w:vAlign w:val="center"/>
          </w:tcPr>
          <w:p>
            <w:pPr>
              <w:pStyle w:val="TableContents"/>
              <w:spacing w:lineRule="auto" w:line="240"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Netto (6)</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2,662</w:t>
            </w:r>
          </w:p>
        </w:tc>
        <w:tc>
          <w:tcPr>
            <w:tcW w:w="816" w:type="dxa"/>
            <w:tcBorders/>
            <w:shd w:fill="DCDDDE" w:val="clear"/>
            <w:vAlign w:val="center"/>
          </w:tcPr>
          <w:p>
            <w:pPr>
              <w:pStyle w:val="TableContents"/>
              <w:spacing w:lineRule="auto" w:line="240" w:before="0" w:after="283"/>
              <w:rPr/>
            </w:pPr>
            <w:r>
              <w:rPr>
                <w:rFonts w:ascii="Arial;Helvetica;Sans-Serif" w:hAnsi="Arial;Helvetica;Sans-Serif"/>
                <w:color w:val="231F20"/>
                <w:sz w:val="16"/>
              </w:rPr>
              <w:t>5,323</w:t>
            </w:r>
            <w:r>
              <w:rPr>
                <w:rFonts w:ascii="Arial;Helvetica;sans-serif" w:hAnsi="Arial;Helvetica;sans-serif"/>
                <w:b w:val="false"/>
                <w:i w:val="false"/>
                <w:caps w:val="false"/>
                <w:smallCaps w:val="false"/>
                <w:color w:val="231F20"/>
              </w:rPr>
              <w:t>(4)</w:t>
            </w:r>
          </w:p>
        </w:tc>
        <w:tc>
          <w:tcPr>
            <w:tcW w:w="868"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7,985</w:t>
            </w:r>
          </w:p>
        </w:tc>
        <w:tc>
          <w:tcPr>
            <w:tcW w:w="935" w:type="dxa"/>
            <w:tcBorders/>
            <w:shd w:fill="DCDDDE" w:val="clear"/>
            <w:vAlign w:val="center"/>
          </w:tcPr>
          <w:p>
            <w:pPr>
              <w:pStyle w:val="TableContents"/>
              <w:spacing w:before="0" w:after="283"/>
              <w:rPr>
                <w:color w:val="231F20"/>
              </w:rPr>
            </w:pPr>
            <w:r>
              <w:rPr>
                <w:color w:val="231F20"/>
              </w:rPr>
              <w:t>—</w:t>
            </w:r>
          </w:p>
        </w:tc>
        <w:tc>
          <w:tcPr>
            <w:tcW w:w="913" w:type="dxa"/>
            <w:tcBorders/>
            <w:shd w:fill="DCDDDE" w:val="clear"/>
            <w:vAlign w:val="center"/>
          </w:tcPr>
          <w:p>
            <w:pPr>
              <w:pStyle w:val="TableContents"/>
              <w:spacing w:before="0" w:after="283"/>
              <w:rPr>
                <w:color w:val="231F20"/>
              </w:rPr>
            </w:pPr>
            <w:r>
              <w:rPr>
                <w:color w:val="231F20"/>
              </w:rPr>
              <w:t>—</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$1,200,070</w:t>
            </w:r>
          </w:p>
        </w:tc>
      </w:tr>
      <w:tr>
        <w:trPr/>
        <w:tc>
          <w:tcPr>
            <w:tcW w:w="1053" w:type="dxa"/>
            <w:tcBorders/>
            <w:shd w:fill="DCDDDE"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lineRule="auto" w:line="240" w:before="0" w:after="283"/>
              <w:rPr/>
            </w:pPr>
            <w:r>
              <w:rPr>
                <w:rFonts w:ascii="Arial;Helvetica;Sans-Serif" w:hAnsi="Arial;Helvetica;Sans-Serif"/>
                <w:color w:val="231F20"/>
                <w:sz w:val="16"/>
              </w:rPr>
              <w:t>1,486</w:t>
            </w:r>
            <w:r>
              <w:rPr>
                <w:rFonts w:ascii="Arial;Helvetica;sans-serif" w:hAnsi="Arial;Helvetica;sans-serif"/>
                <w:b w:val="false"/>
                <w:i w:val="false"/>
                <w:caps w:val="false"/>
                <w:smallCaps w:val="false"/>
                <w:color w:val="231F20"/>
              </w:rPr>
              <w:t>(5)</w:t>
            </w:r>
          </w:p>
        </w:tc>
        <w:tc>
          <w:tcPr>
            <w:tcW w:w="868" w:type="dxa"/>
            <w:tcBorders/>
            <w:shd w:fill="DCDDDE" w:val="clear"/>
            <w:vAlign w:val="center"/>
          </w:tcPr>
          <w:p>
            <w:pPr>
              <w:pStyle w:val="TableContents"/>
              <w:spacing w:before="0" w:after="283"/>
              <w:rPr>
                <w:color w:val="231F20"/>
              </w:rPr>
            </w:pPr>
            <w:r>
              <w:rPr>
                <w:color w:val="231F20"/>
              </w:rPr>
              <w:t>— </w:t>
            </w:r>
          </w:p>
        </w:tc>
        <w:tc>
          <w:tcPr>
            <w:tcW w:w="935" w:type="dxa"/>
            <w:tcBorders/>
            <w:shd w:fill="DCDDDE" w:val="clear"/>
            <w:vAlign w:val="center"/>
          </w:tcPr>
          <w:p>
            <w:pPr>
              <w:pStyle w:val="TableContents"/>
              <w:spacing w:before="0" w:after="283"/>
              <w:rPr>
                <w:color w:val="231F20"/>
              </w:rPr>
            </w:pPr>
            <w:r>
              <w:rPr>
                <w:color w:val="231F20"/>
              </w:rPr>
              <w:t>—</w:t>
            </w:r>
          </w:p>
        </w:tc>
        <w:tc>
          <w:tcPr>
            <w:tcW w:w="913"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$335,019</w:t>
            </w:r>
          </w:p>
        </w:tc>
      </w:tr>
      <w:tr>
        <w:trPr/>
        <w:tc>
          <w:tcPr>
            <w:tcW w:w="1053" w:type="dxa"/>
            <w:tcBorders/>
            <w:shd w:fill="DCDDDE"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before="0" w:after="283"/>
              <w:rPr>
                <w:color w:val="231F20"/>
              </w:rPr>
            </w:pPr>
            <w:r>
              <w:rPr>
                <w:color w:val="231F20"/>
              </w:rPr>
              <w:t>—</w:t>
            </w:r>
          </w:p>
        </w:tc>
        <w:tc>
          <w:tcPr>
            <w:tcW w:w="868" w:type="dxa"/>
            <w:tcBorders/>
            <w:shd w:fill="DCDDDE" w:val="clear"/>
            <w:vAlign w:val="center"/>
          </w:tcPr>
          <w:p>
            <w:pPr>
              <w:pStyle w:val="TableContents"/>
              <w:spacing w:before="0" w:after="283"/>
              <w:rPr>
                <w:color w:val="231F20"/>
              </w:rPr>
            </w:pPr>
            <w:r>
              <w:rPr>
                <w:color w:val="231F20"/>
              </w:rPr>
              <w:t>—</w:t>
            </w:r>
          </w:p>
        </w:tc>
        <w:tc>
          <w:tcPr>
            <w:tcW w:w="935"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DCDDDE"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before="0" w:after="283"/>
              <w:rPr>
                <w:color w:val="231F20"/>
              </w:rPr>
            </w:pPr>
            <w:r>
              <w:rPr>
                <w:color w:val="231F20"/>
              </w:rPr>
              <w:t>—</w:t>
            </w:r>
          </w:p>
        </w:tc>
        <w:tc>
          <w:tcPr>
            <w:tcW w:w="868" w:type="dxa"/>
            <w:tcBorders/>
            <w:shd w:fill="DCDDDE" w:val="clear"/>
            <w:vAlign w:val="center"/>
          </w:tcPr>
          <w:p>
            <w:pPr>
              <w:pStyle w:val="TableContents"/>
              <w:spacing w:before="0" w:after="283"/>
              <w:rPr>
                <w:color w:val="231F20"/>
              </w:rPr>
            </w:pPr>
            <w:r>
              <w:rPr>
                <w:color w:val="231F20"/>
              </w:rPr>
              <w:t>—</w:t>
            </w:r>
          </w:p>
        </w:tc>
        <w:tc>
          <w:tcPr>
            <w:tcW w:w="935"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918" w:type="dxa"/>
            <w:tcBorders/>
            <w:shd w:fill="auto" w:val="clear"/>
            <w:vAlign w:val="center"/>
          </w:tcPr>
          <w:p>
            <w:pPr>
              <w:pStyle w:val="TableContents"/>
              <w:spacing w:before="0" w:after="283"/>
              <w:rPr>
                <w:color w:val="231F20"/>
              </w:rPr>
            </w:pPr>
            <w:r>
              <w:rPr>
                <w:color w:val="231F20"/>
              </w:rPr>
              <w:t> </w:t>
            </w:r>
          </w:p>
        </w:tc>
        <w:tc>
          <w:tcPr>
            <w:tcW w:w="816" w:type="dxa"/>
            <w:tcBorders/>
            <w:shd w:fill="auto" w:val="clear"/>
            <w:vAlign w:val="center"/>
          </w:tcPr>
          <w:p>
            <w:pPr>
              <w:pStyle w:val="TableContents"/>
              <w:spacing w:before="0" w:after="283"/>
              <w:rPr>
                <w:color w:val="231F20"/>
              </w:rPr>
            </w:pPr>
            <w:r>
              <w:rPr>
                <w:color w:val="231F20"/>
              </w:rPr>
              <w:t> </w:t>
            </w:r>
          </w:p>
        </w:tc>
        <w:tc>
          <w:tcPr>
            <w:tcW w:w="868" w:type="dxa"/>
            <w:tcBorders/>
            <w:shd w:fill="auto" w:val="clear"/>
            <w:vAlign w:val="center"/>
          </w:tcPr>
          <w:p>
            <w:pPr>
              <w:pStyle w:val="TableContents"/>
              <w:spacing w:before="0" w:after="283"/>
              <w:rPr>
                <w:color w:val="231F20"/>
              </w:rPr>
            </w:pPr>
            <w:r>
              <w:rPr>
                <w:color w:val="231F20"/>
              </w:rPr>
              <w:t> </w:t>
            </w:r>
          </w:p>
        </w:tc>
        <w:tc>
          <w:tcPr>
            <w:tcW w:w="935" w:type="dxa"/>
            <w:tcBorders/>
            <w:shd w:fill="auto" w:val="clear"/>
            <w:vAlign w:val="center"/>
          </w:tcPr>
          <w:p>
            <w:pPr>
              <w:pStyle w:val="TableContents"/>
              <w:spacing w:before="0" w:after="283"/>
              <w:rPr>
                <w:color w:val="231F20"/>
              </w:rPr>
            </w:pPr>
            <w:r>
              <w:rPr>
                <w:color w:val="231F20"/>
              </w:rPr>
              <w:t> </w:t>
            </w:r>
          </w:p>
        </w:tc>
        <w:tc>
          <w:tcPr>
            <w:tcW w:w="913" w:type="dxa"/>
            <w:tcBorders/>
            <w:shd w:fill="auto" w:val="clear"/>
            <w:vAlign w:val="center"/>
          </w:tcPr>
          <w:p>
            <w:pPr>
              <w:pStyle w:val="TableContents"/>
              <w:spacing w:before="0" w:after="283"/>
              <w:rPr>
                <w:color w:val="231F20"/>
              </w:rPr>
            </w:pPr>
            <w:r>
              <w:rPr>
                <w:color w:val="231F20"/>
              </w:rPr>
              <w:t> </w:t>
            </w:r>
          </w:p>
        </w:tc>
        <w:tc>
          <w:tcPr>
            <w:tcW w:w="1660" w:type="dxa"/>
            <w:tcBorders/>
            <w:shd w:fill="auto" w:val="clear"/>
            <w:vAlign w:val="center"/>
          </w:tcPr>
          <w:p>
            <w:pPr>
              <w:pStyle w:val="TableContents"/>
              <w:spacing w:before="0" w:after="283"/>
              <w:ind w:left="0" w:right="0" w:firstLine="180"/>
              <w:rPr>
                <w:color w:val="231F20"/>
              </w:rPr>
            </w:pPr>
            <w:r>
              <w:rPr>
                <w:color w:val="231F20"/>
              </w:rPr>
              <w:t> </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$139,711</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$279,422</w:t>
            </w:r>
          </w:p>
        </w:tc>
        <w:tc>
          <w:tcPr>
            <w:tcW w:w="83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$419,134</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color w:val="231F20"/>
              </w:rPr>
            </w:pPr>
            <w:r>
              <w:rPr>
                <w:color w:val="231F20"/>
              </w:rPr>
              <w:t>—</w:t>
            </w:r>
          </w:p>
        </w:tc>
        <w:tc>
          <w:tcPr>
            <w:tcW w:w="913" w:type="dxa"/>
            <w:tcBorders/>
            <w:shd w:fill="auto" w:val="clear"/>
            <w:vAlign w:val="center"/>
          </w:tcPr>
          <w:p>
            <w:pPr>
              <w:pStyle w:val="TableContents"/>
              <w:spacing w:before="0" w:after="283"/>
              <w:rPr>
                <w:color w:val="231F20"/>
              </w:rPr>
            </w:pPr>
            <w:r>
              <w:rPr>
                <w:color w:val="231F20"/>
              </w:rPr>
              <w:t>—</w:t>
            </w:r>
          </w:p>
        </w:tc>
        <w:tc>
          <w:tcPr>
            <w:tcW w:w="1660" w:type="dxa"/>
            <w:tcBorders/>
            <w:shd w:fill="auto" w:val="clear"/>
            <w:vAlign w:val="center"/>
          </w:tcPr>
          <w:p>
            <w:pPr>
              <w:pStyle w:val="TableContents"/>
              <w:spacing w:before="0" w:after="283"/>
              <w:ind w:left="0" w:right="0" w:firstLine="180"/>
              <w:rPr>
                <w:color w:val="231F20"/>
              </w:rPr>
            </w:pPr>
            <w:r>
              <w:rPr>
                <w:color w:val="231F20"/>
              </w:rPr>
              <w:t>—</w:t>
            </w:r>
          </w:p>
        </w:tc>
      </w:tr>
      <w:tr>
        <w:trPr/>
        <w:tc>
          <w:tcPr>
            <w:tcW w:w="1053" w:type="dxa"/>
            <w:tcBorders/>
            <w:shd w:fill="auto" w:val="clear"/>
            <w:vAlign w:val="center"/>
          </w:tcPr>
          <w:p>
            <w:pPr>
              <w:pStyle w:val="TableContents"/>
              <w:spacing w:lineRule="auto" w:line="240"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Alan King (6)</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color w:val="231F20"/>
              </w:rPr>
            </w:pPr>
            <w:r>
              <w:rPr>
                <w:color w:val="231F20"/>
              </w:rPr>
              <w:t> </w:t>
            </w:r>
          </w:p>
        </w:tc>
        <w:tc>
          <w:tcPr>
            <w:tcW w:w="918" w:type="dxa"/>
            <w:tcBorders/>
            <w:shd w:fill="auto" w:val="clear"/>
            <w:vAlign w:val="center"/>
          </w:tcPr>
          <w:p>
            <w:pPr>
              <w:pStyle w:val="TableContents"/>
              <w:spacing w:before="0" w:after="283"/>
              <w:rPr>
                <w:color w:val="231F20"/>
              </w:rPr>
            </w:pPr>
            <w:r>
              <w:rPr>
                <w:color w:val="231F20"/>
              </w:rPr>
              <w:t> </w:t>
            </w:r>
          </w:p>
        </w:tc>
        <w:tc>
          <w:tcPr>
            <w:tcW w:w="816" w:type="dxa"/>
            <w:tcBorders/>
            <w:shd w:fill="auto" w:val="clear"/>
            <w:vAlign w:val="center"/>
          </w:tcPr>
          <w:p>
            <w:pPr>
              <w:pStyle w:val="TableContents"/>
              <w:spacing w:before="0" w:after="283"/>
              <w:rPr>
                <w:color w:val="231F20"/>
              </w:rPr>
            </w:pPr>
            <w:r>
              <w:rPr>
                <w:color w:val="231F20"/>
              </w:rPr>
              <w:t> </w:t>
            </w:r>
          </w:p>
        </w:tc>
        <w:tc>
          <w:tcPr>
            <w:tcW w:w="868" w:type="dxa"/>
            <w:tcBorders/>
            <w:shd w:fill="auto" w:val="clear"/>
            <w:vAlign w:val="center"/>
          </w:tcPr>
          <w:p>
            <w:pPr>
              <w:pStyle w:val="TableContents"/>
              <w:spacing w:before="0" w:after="283"/>
              <w:rPr>
                <w:color w:val="231F20"/>
              </w:rPr>
            </w:pPr>
            <w:r>
              <w:rPr>
                <w:color w:val="231F20"/>
              </w:rPr>
              <w:t> </w:t>
            </w:r>
          </w:p>
        </w:tc>
        <w:tc>
          <w:tcPr>
            <w:tcW w:w="935" w:type="dxa"/>
            <w:tcBorders/>
            <w:shd w:fill="auto" w:val="clear"/>
            <w:vAlign w:val="center"/>
          </w:tcPr>
          <w:p>
            <w:pPr>
              <w:pStyle w:val="TableContents"/>
              <w:spacing w:before="0" w:after="283"/>
              <w:rPr>
                <w:color w:val="231F20"/>
              </w:rPr>
            </w:pPr>
            <w:r>
              <w:rPr>
                <w:color w:val="231F20"/>
              </w:rPr>
              <w:t> </w:t>
            </w:r>
          </w:p>
        </w:tc>
        <w:tc>
          <w:tcPr>
            <w:tcW w:w="913" w:type="dxa"/>
            <w:tcBorders/>
            <w:shd w:fill="auto" w:val="clear"/>
            <w:vAlign w:val="center"/>
          </w:tcPr>
          <w:p>
            <w:pPr>
              <w:pStyle w:val="TableContents"/>
              <w:spacing w:before="0" w:after="283"/>
              <w:rPr>
                <w:color w:val="231F20"/>
              </w:rPr>
            </w:pPr>
            <w:r>
              <w:rPr>
                <w:color w:val="231F20"/>
              </w:rPr>
              <w:t> </w:t>
            </w:r>
          </w:p>
        </w:tc>
        <w:tc>
          <w:tcPr>
            <w:tcW w:w="1660" w:type="dxa"/>
            <w:tcBorders/>
            <w:shd w:fill="auto" w:val="clear"/>
            <w:vAlign w:val="center"/>
          </w:tcPr>
          <w:p>
            <w:pPr>
              <w:pStyle w:val="TableContents"/>
              <w:spacing w:before="0" w:after="283"/>
              <w:ind w:left="0" w:right="0" w:firstLine="180"/>
              <w:rPr>
                <w:color w:val="231F20"/>
              </w:rPr>
            </w:pPr>
            <w:r>
              <w:rPr>
                <w:color w:val="231F20"/>
              </w:rPr>
              <w:t> </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2,662</w:t>
            </w:r>
          </w:p>
        </w:tc>
        <w:tc>
          <w:tcPr>
            <w:tcW w:w="816" w:type="dxa"/>
            <w:tcBorders/>
            <w:shd w:fill="auto" w:val="clear"/>
            <w:vAlign w:val="center"/>
          </w:tcPr>
          <w:p>
            <w:pPr>
              <w:pStyle w:val="TableContents"/>
              <w:spacing w:lineRule="auto" w:line="240" w:before="0" w:after="283"/>
              <w:rPr>
                <w:rFonts w:ascii="Arial;Helvetica;Sans-Serif" w:hAnsi="Arial;Helvetica;Sans-Serif"/>
                <w:color w:val="231F20"/>
                <w:sz w:val="16"/>
              </w:rPr>
            </w:pPr>
            <w:r>
              <w:rPr>
                <w:rFonts w:ascii="Arial;Helvetica;Sans-Serif" w:hAnsi="Arial;Helvetica;Sans-Serif"/>
                <w:color w:val="231F20"/>
                <w:sz w:val="16"/>
              </w:rPr>
              <w:t>5,323 (4)</w:t>
            </w:r>
          </w:p>
        </w:tc>
        <w:tc>
          <w:tcPr>
            <w:tcW w:w="868"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7,985</w:t>
            </w:r>
          </w:p>
        </w:tc>
        <w:tc>
          <w:tcPr>
            <w:tcW w:w="935" w:type="dxa"/>
            <w:tcBorders/>
            <w:shd w:fill="auto" w:val="clear"/>
            <w:vAlign w:val="center"/>
          </w:tcPr>
          <w:p>
            <w:pPr>
              <w:pStyle w:val="TableContents"/>
              <w:spacing w:before="0" w:after="283"/>
              <w:rPr>
                <w:color w:val="231F20"/>
              </w:rPr>
            </w:pPr>
            <w:r>
              <w:rPr>
                <w:color w:val="231F20"/>
              </w:rPr>
              <w:t>—</w:t>
            </w:r>
          </w:p>
        </w:tc>
        <w:tc>
          <w:tcPr>
            <w:tcW w:w="913" w:type="dxa"/>
            <w:tcBorders/>
            <w:shd w:fill="auto" w:val="clear"/>
            <w:vAlign w:val="center"/>
          </w:tcPr>
          <w:p>
            <w:pPr>
              <w:pStyle w:val="TableContents"/>
              <w:spacing w:before="0" w:after="283"/>
              <w:rPr>
                <w:color w:val="231F20"/>
              </w:rPr>
            </w:pPr>
            <w:r>
              <w:rPr>
                <w:color w:val="231F20"/>
              </w:rPr>
              <w:t>—</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$1,200,070</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lineRule="auto" w:line="240" w:before="0" w:after="283"/>
              <w:rPr>
                <w:rFonts w:ascii="Arial;Helvetica;Sans-Serif" w:hAnsi="Arial;Helvetica;Sans-Serif"/>
                <w:color w:val="231F20"/>
                <w:sz w:val="16"/>
              </w:rPr>
            </w:pPr>
            <w:r>
              <w:rPr>
                <w:rFonts w:ascii="Arial;Helvetica;Sans-Serif" w:hAnsi="Arial;Helvetica;Sans-Serif"/>
                <w:color w:val="231F20"/>
                <w:sz w:val="16"/>
              </w:rPr>
              <w:t>1,486 (5)</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color w:val="231F20"/>
              </w:rPr>
            </w:pPr>
            <w:r>
              <w:rPr>
                <w:color w:val="231F20"/>
              </w:rPr>
              <w:t>—</w:t>
            </w:r>
          </w:p>
        </w:tc>
        <w:tc>
          <w:tcPr>
            <w:tcW w:w="913" w:type="dxa"/>
            <w:tcBorders/>
            <w:shd w:fill="auto" w:val="clear"/>
            <w:vAlign w:val="center"/>
          </w:tcPr>
          <w:p>
            <w:pPr>
              <w:pStyle w:val="TableContents"/>
              <w:spacing w:before="0" w:after="283"/>
              <w:rPr>
                <w:color w:val="231F20"/>
              </w:rPr>
            </w:pPr>
            <w:r>
              <w:rPr>
                <w:color w:val="231F20"/>
              </w:rPr>
              <w:t>—</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$335,019</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w:t>
            </w:r>
          </w:p>
        </w:tc>
        <w:tc>
          <w:tcPr>
            <w:tcW w:w="868" w:type="dxa"/>
            <w:tcBorders/>
            <w:shd w:fill="auto" w:val="clear"/>
            <w:vAlign w:val="center"/>
          </w:tcPr>
          <w:p>
            <w:pPr>
              <w:pStyle w:val="TableContents"/>
              <w:spacing w:before="0" w:after="283"/>
              <w:rPr>
                <w:color w:val="231F20"/>
              </w:rPr>
            </w:pPr>
            <w:r>
              <w:rPr>
                <w:color w:val="231F20"/>
              </w:rPr>
              <w:t>— </w:t>
            </w:r>
          </w:p>
        </w:tc>
        <w:tc>
          <w:tcPr>
            <w:tcW w:w="935"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DCDDDE" w:val="clear"/>
            <w:vAlign w:val="center"/>
          </w:tcPr>
          <w:p>
            <w:pPr>
              <w:pStyle w:val="TableContents"/>
              <w:spacing w:before="0" w:after="283"/>
              <w:rPr>
                <w:caps w:val="false"/>
                <w:smallCaps w:val="false"/>
              </w:rPr>
            </w:pPr>
            <w:r>
              <w:rPr>
                <w:caps w:val="false"/>
                <w:smallCaps w:val="false"/>
              </w:rPr>
              <w:t> </w:t>
            </w:r>
          </w:p>
        </w:tc>
        <w:tc>
          <w:tcPr>
            <w:tcW w:w="552" w:type="dxa"/>
            <w:tcBorders/>
            <w:shd w:fill="DCDDDE" w:val="clear"/>
            <w:vAlign w:val="center"/>
          </w:tcPr>
          <w:p>
            <w:pPr>
              <w:pStyle w:val="TableContents"/>
              <w:spacing w:before="0" w:after="283"/>
              <w:rPr>
                <w:color w:val="231F20"/>
              </w:rPr>
            </w:pPr>
            <w:r>
              <w:rPr>
                <w:color w:val="231F20"/>
              </w:rPr>
              <w:t> </w:t>
            </w:r>
          </w:p>
        </w:tc>
        <w:tc>
          <w:tcPr>
            <w:tcW w:w="830" w:type="dxa"/>
            <w:tcBorders/>
            <w:shd w:fill="DCDDDE" w:val="clear"/>
            <w:vAlign w:val="center"/>
          </w:tcPr>
          <w:p>
            <w:pPr>
              <w:pStyle w:val="TableContents"/>
              <w:spacing w:before="0" w:after="283"/>
              <w:rPr>
                <w:sz w:val="4"/>
                <w:szCs w:val="4"/>
              </w:rPr>
            </w:pPr>
            <w:r>
              <w:rPr>
                <w:sz w:val="4"/>
                <w:szCs w:val="4"/>
              </w:rPr>
            </w:r>
          </w:p>
        </w:tc>
        <w:tc>
          <w:tcPr>
            <w:tcW w:w="830" w:type="dxa"/>
            <w:tcBorders/>
            <w:shd w:fill="DCDDDE" w:val="clear"/>
            <w:vAlign w:val="center"/>
          </w:tcPr>
          <w:p>
            <w:pPr>
              <w:pStyle w:val="TableContents"/>
              <w:spacing w:before="0" w:after="283"/>
              <w:rPr>
                <w:sz w:val="4"/>
                <w:szCs w:val="4"/>
              </w:rPr>
            </w:pPr>
            <w:r>
              <w:rPr>
                <w:sz w:val="4"/>
                <w:szCs w:val="4"/>
              </w:rPr>
            </w:r>
          </w:p>
        </w:tc>
        <w:tc>
          <w:tcPr>
            <w:tcW w:w="830" w:type="dxa"/>
            <w:tcBorders/>
            <w:shd w:fill="DCDDDE" w:val="clear"/>
            <w:vAlign w:val="center"/>
          </w:tcPr>
          <w:p>
            <w:pPr>
              <w:pStyle w:val="TableContents"/>
              <w:spacing w:before="0" w:after="283"/>
              <w:rPr>
                <w:sz w:val="4"/>
                <w:szCs w:val="4"/>
              </w:rPr>
            </w:pPr>
            <w:r>
              <w:rPr>
                <w:sz w:val="4"/>
                <w:szCs w:val="4"/>
              </w:rPr>
            </w:r>
          </w:p>
        </w:tc>
        <w:tc>
          <w:tcPr>
            <w:tcW w:w="918" w:type="dxa"/>
            <w:tcBorders/>
            <w:shd w:fill="DCDDDE" w:val="clear"/>
            <w:vAlign w:val="center"/>
          </w:tcPr>
          <w:p>
            <w:pPr>
              <w:pStyle w:val="TableContents"/>
              <w:spacing w:before="0" w:after="283"/>
              <w:rPr>
                <w:sz w:val="4"/>
                <w:szCs w:val="4"/>
              </w:rPr>
            </w:pPr>
            <w:r>
              <w:rPr>
                <w:sz w:val="4"/>
                <w:szCs w:val="4"/>
              </w:rPr>
            </w:r>
          </w:p>
        </w:tc>
        <w:tc>
          <w:tcPr>
            <w:tcW w:w="816" w:type="dxa"/>
            <w:tcBorders/>
            <w:shd w:fill="DCDDDE" w:val="clear"/>
            <w:vAlign w:val="center"/>
          </w:tcPr>
          <w:p>
            <w:pPr>
              <w:pStyle w:val="TableContents"/>
              <w:spacing w:before="0" w:after="283"/>
              <w:rPr>
                <w:sz w:val="4"/>
                <w:szCs w:val="4"/>
              </w:rPr>
            </w:pPr>
            <w:r>
              <w:rPr>
                <w:sz w:val="4"/>
                <w:szCs w:val="4"/>
              </w:rPr>
            </w:r>
          </w:p>
        </w:tc>
        <w:tc>
          <w:tcPr>
            <w:tcW w:w="868" w:type="dxa"/>
            <w:tcBorders/>
            <w:shd w:fill="DCDDDE" w:val="clear"/>
            <w:vAlign w:val="center"/>
          </w:tcPr>
          <w:p>
            <w:pPr>
              <w:pStyle w:val="TableContents"/>
              <w:spacing w:before="0" w:after="283"/>
              <w:rPr>
                <w:sz w:val="4"/>
                <w:szCs w:val="4"/>
              </w:rPr>
            </w:pPr>
            <w:r>
              <w:rPr>
                <w:sz w:val="4"/>
                <w:szCs w:val="4"/>
              </w:rPr>
            </w:r>
          </w:p>
        </w:tc>
        <w:tc>
          <w:tcPr>
            <w:tcW w:w="935" w:type="dxa"/>
            <w:tcBorders/>
            <w:shd w:fill="DCDDDE" w:val="clear"/>
            <w:vAlign w:val="center"/>
          </w:tcPr>
          <w:p>
            <w:pPr>
              <w:pStyle w:val="TableContents"/>
              <w:spacing w:before="0" w:after="283"/>
              <w:rPr>
                <w:sz w:val="4"/>
                <w:szCs w:val="4"/>
              </w:rPr>
            </w:pPr>
            <w:r>
              <w:rPr>
                <w:sz w:val="4"/>
                <w:szCs w:val="4"/>
              </w:rPr>
            </w:r>
          </w:p>
        </w:tc>
        <w:tc>
          <w:tcPr>
            <w:tcW w:w="913" w:type="dxa"/>
            <w:tcBorders/>
            <w:shd w:fill="DCDDDE" w:val="clear"/>
            <w:vAlign w:val="center"/>
          </w:tcPr>
          <w:p>
            <w:pPr>
              <w:pStyle w:val="TableContents"/>
              <w:spacing w:before="0" w:after="283"/>
              <w:rPr>
                <w:sz w:val="4"/>
                <w:szCs w:val="4"/>
              </w:rPr>
            </w:pPr>
            <w:r>
              <w:rPr>
                <w:sz w:val="4"/>
                <w:szCs w:val="4"/>
              </w:rPr>
            </w:r>
          </w:p>
        </w:tc>
        <w:tc>
          <w:tcPr>
            <w:tcW w:w="1660" w:type="dxa"/>
            <w:tcBorders/>
            <w:shd w:fill="DCDDDE" w:val="clear"/>
            <w:vAlign w:val="center"/>
          </w:tcPr>
          <w:p>
            <w:pPr>
              <w:pStyle w:val="TableContents"/>
              <w:spacing w:before="0" w:after="283"/>
              <w:ind w:left="0" w:right="0" w:firstLine="180"/>
              <w:rPr>
                <w:sz w:val="4"/>
                <w:szCs w:val="4"/>
              </w:rPr>
            </w:pPr>
            <w:r>
              <w:rPr>
                <w:sz w:val="4"/>
                <w:szCs w:val="4"/>
              </w:rPr>
            </w:r>
          </w:p>
        </w:tc>
      </w:tr>
      <w:tr>
        <w:trPr/>
        <w:tc>
          <w:tcPr>
            <w:tcW w:w="1053"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Alexey</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2,662</w:t>
            </w:r>
          </w:p>
        </w:tc>
        <w:tc>
          <w:tcPr>
            <w:tcW w:w="816" w:type="dxa"/>
            <w:tcBorders/>
            <w:shd w:fill="DCDDDE" w:val="clear"/>
            <w:vAlign w:val="center"/>
          </w:tcPr>
          <w:p>
            <w:pPr>
              <w:pStyle w:val="TableContents"/>
              <w:spacing w:lineRule="auto" w:line="240" w:before="0" w:after="283"/>
              <w:rPr>
                <w:rFonts w:ascii="Arial;Helvetica;Sans-Serif" w:hAnsi="Arial;Helvetica;Sans-Serif"/>
                <w:color w:val="231F20"/>
                <w:sz w:val="16"/>
              </w:rPr>
            </w:pPr>
            <w:r>
              <w:rPr>
                <w:rFonts w:ascii="Arial;Helvetica;Sans-Serif" w:hAnsi="Arial;Helvetica;Sans-Serif"/>
                <w:color w:val="231F20"/>
                <w:sz w:val="16"/>
              </w:rPr>
              <w:t>5,323 (4)</w:t>
            </w:r>
          </w:p>
        </w:tc>
        <w:tc>
          <w:tcPr>
            <w:tcW w:w="868"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7,985</w:t>
            </w:r>
          </w:p>
        </w:tc>
        <w:tc>
          <w:tcPr>
            <w:tcW w:w="935" w:type="dxa"/>
            <w:tcBorders/>
            <w:shd w:fill="DCDDDE" w:val="clear"/>
            <w:vAlign w:val="center"/>
          </w:tcPr>
          <w:p>
            <w:pPr>
              <w:pStyle w:val="TableContents"/>
              <w:spacing w:before="0" w:after="283"/>
              <w:rPr>
                <w:color w:val="231F20"/>
              </w:rPr>
            </w:pPr>
            <w:r>
              <w:rPr>
                <w:color w:val="231F20"/>
              </w:rPr>
              <w:t>—</w:t>
            </w:r>
          </w:p>
        </w:tc>
        <w:tc>
          <w:tcPr>
            <w:tcW w:w="913" w:type="dxa"/>
            <w:tcBorders/>
            <w:shd w:fill="DCDDDE" w:val="clear"/>
            <w:vAlign w:val="center"/>
          </w:tcPr>
          <w:p>
            <w:pPr>
              <w:pStyle w:val="TableContents"/>
              <w:spacing w:before="0" w:after="283"/>
              <w:rPr>
                <w:color w:val="231F20"/>
              </w:rPr>
            </w:pPr>
            <w:r>
              <w:rPr>
                <w:color w:val="231F20"/>
              </w:rPr>
              <w:t>—</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$1,200,070</w:t>
            </w:r>
          </w:p>
        </w:tc>
      </w:tr>
      <w:tr>
        <w:trPr/>
        <w:tc>
          <w:tcPr>
            <w:tcW w:w="1053"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Gavrilenya</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lineRule="auto" w:line="240" w:before="0" w:after="283"/>
              <w:rPr>
                <w:rFonts w:ascii="Arial;Helvetica;Sans-Serif" w:hAnsi="Arial;Helvetica;Sans-Serif"/>
                <w:color w:val="231F20"/>
                <w:sz w:val="16"/>
              </w:rPr>
            </w:pPr>
            <w:r>
              <w:rPr>
                <w:rFonts w:ascii="Arial;Helvetica;Sans-Serif" w:hAnsi="Arial;Helvetica;Sans-Serif"/>
                <w:color w:val="231F20"/>
                <w:sz w:val="16"/>
              </w:rPr>
              <w:t>1,486 (5)</w:t>
            </w:r>
          </w:p>
        </w:tc>
        <w:tc>
          <w:tcPr>
            <w:tcW w:w="868" w:type="dxa"/>
            <w:tcBorders/>
            <w:shd w:fill="DCDDDE" w:val="clear"/>
            <w:vAlign w:val="center"/>
          </w:tcPr>
          <w:p>
            <w:pPr>
              <w:pStyle w:val="TableContents"/>
              <w:spacing w:before="0" w:after="283"/>
              <w:rPr>
                <w:color w:val="231F20"/>
              </w:rPr>
            </w:pPr>
            <w:r>
              <w:rPr>
                <w:color w:val="231F20"/>
              </w:rPr>
              <w:t>—</w:t>
            </w:r>
          </w:p>
        </w:tc>
        <w:tc>
          <w:tcPr>
            <w:tcW w:w="935" w:type="dxa"/>
            <w:tcBorders/>
            <w:shd w:fill="DCDDDE" w:val="clear"/>
            <w:vAlign w:val="center"/>
          </w:tcPr>
          <w:p>
            <w:pPr>
              <w:pStyle w:val="TableContents"/>
              <w:spacing w:before="0" w:after="283"/>
              <w:rPr>
                <w:color w:val="231F20"/>
              </w:rPr>
            </w:pPr>
            <w:r>
              <w:rPr>
                <w:color w:val="231F20"/>
              </w:rPr>
              <w:t>—</w:t>
            </w:r>
          </w:p>
        </w:tc>
        <w:tc>
          <w:tcPr>
            <w:tcW w:w="913" w:type="dxa"/>
            <w:tcBorders/>
            <w:shd w:fill="DCDDDE" w:val="clear"/>
            <w:vAlign w:val="center"/>
          </w:tcPr>
          <w:p>
            <w:pPr>
              <w:pStyle w:val="TableContents"/>
              <w:spacing w:before="0" w:after="283"/>
              <w:rPr>
                <w:color w:val="231F20"/>
              </w:rPr>
            </w:pPr>
            <w:r>
              <w:rPr>
                <w:color w:val="231F20"/>
              </w:rPr>
              <w:t>—</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$335,019</w:t>
            </w:r>
          </w:p>
        </w:tc>
      </w:tr>
      <w:tr>
        <w:trPr/>
        <w:tc>
          <w:tcPr>
            <w:tcW w:w="1053" w:type="dxa"/>
            <w:tcBorders/>
            <w:shd w:fill="DCDDDE"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before="0" w:after="283"/>
              <w:rPr>
                <w:color w:val="231F20"/>
              </w:rPr>
            </w:pPr>
            <w:r>
              <w:rPr>
                <w:color w:val="231F20"/>
              </w:rPr>
              <w:t>—</w:t>
            </w:r>
          </w:p>
        </w:tc>
        <w:tc>
          <w:tcPr>
            <w:tcW w:w="868" w:type="dxa"/>
            <w:tcBorders/>
            <w:shd w:fill="DCDDDE" w:val="clear"/>
            <w:vAlign w:val="center"/>
          </w:tcPr>
          <w:p>
            <w:pPr>
              <w:pStyle w:val="TableContents"/>
              <w:spacing w:before="0" w:after="283"/>
              <w:rPr>
                <w:color w:val="231F20"/>
              </w:rPr>
            </w:pPr>
            <w:r>
              <w:rPr>
                <w:color w:val="231F20"/>
              </w:rPr>
              <w:t>—</w:t>
            </w:r>
          </w:p>
        </w:tc>
        <w:tc>
          <w:tcPr>
            <w:tcW w:w="935"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DCDDDE"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830" w:type="dxa"/>
            <w:tcBorders/>
            <w:shd w:fill="DCDDDE" w:val="clear"/>
            <w:vAlign w:val="center"/>
          </w:tcPr>
          <w:p>
            <w:pPr>
              <w:pStyle w:val="TableContents"/>
              <w:spacing w:before="0" w:after="283"/>
              <w:rPr>
                <w:color w:val="231F20"/>
              </w:rPr>
            </w:pPr>
            <w:r>
              <w:rPr>
                <w:color w:val="231F20"/>
              </w:rPr>
              <w:t>—</w:t>
            </w:r>
          </w:p>
        </w:tc>
        <w:tc>
          <w:tcPr>
            <w:tcW w:w="918" w:type="dxa"/>
            <w:tcBorders/>
            <w:shd w:fill="DCDDDE" w:val="clear"/>
            <w:vAlign w:val="center"/>
          </w:tcPr>
          <w:p>
            <w:pPr>
              <w:pStyle w:val="TableContents"/>
              <w:spacing w:before="0" w:after="283"/>
              <w:rPr>
                <w:color w:val="231F20"/>
              </w:rPr>
            </w:pPr>
            <w:r>
              <w:rPr>
                <w:color w:val="231F20"/>
              </w:rPr>
              <w:t>—</w:t>
            </w:r>
          </w:p>
        </w:tc>
        <w:tc>
          <w:tcPr>
            <w:tcW w:w="816" w:type="dxa"/>
            <w:tcBorders/>
            <w:shd w:fill="DCDDDE" w:val="clear"/>
            <w:vAlign w:val="center"/>
          </w:tcPr>
          <w:p>
            <w:pPr>
              <w:pStyle w:val="TableContents"/>
              <w:spacing w:before="0" w:after="283"/>
              <w:rPr>
                <w:color w:val="231F20"/>
              </w:rPr>
            </w:pPr>
            <w:r>
              <w:rPr>
                <w:color w:val="231F20"/>
              </w:rPr>
              <w:t>—</w:t>
            </w:r>
          </w:p>
        </w:tc>
        <w:tc>
          <w:tcPr>
            <w:tcW w:w="868" w:type="dxa"/>
            <w:tcBorders/>
            <w:shd w:fill="DCDDDE" w:val="clear"/>
            <w:vAlign w:val="center"/>
          </w:tcPr>
          <w:p>
            <w:pPr>
              <w:pStyle w:val="TableContents"/>
              <w:spacing w:before="0" w:after="283"/>
              <w:rPr>
                <w:color w:val="231F20"/>
              </w:rPr>
            </w:pPr>
            <w:r>
              <w:rPr>
                <w:color w:val="231F20"/>
              </w:rPr>
              <w:t>—</w:t>
            </w:r>
          </w:p>
        </w:tc>
        <w:tc>
          <w:tcPr>
            <w:tcW w:w="935"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DCDDDE"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DCDDDE"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auto" w:val="clear"/>
            <w:vAlign w:val="center"/>
          </w:tcPr>
          <w:p>
            <w:pPr>
              <w:pStyle w:val="TableContents"/>
              <w:spacing w:before="0" w:after="283"/>
              <w:rPr>
                <w:caps w:val="false"/>
                <w:smallCaps w:val="false"/>
              </w:rPr>
            </w:pPr>
            <w:r>
              <w:rPr>
                <w:caps w:val="false"/>
                <w:smallCaps w:val="false"/>
              </w:rPr>
              <w:t> </w:t>
            </w:r>
          </w:p>
        </w:tc>
        <w:tc>
          <w:tcPr>
            <w:tcW w:w="552" w:type="dxa"/>
            <w:tcBorders/>
            <w:shd w:fill="auto" w:val="clear"/>
            <w:vAlign w:val="center"/>
          </w:tcPr>
          <w:p>
            <w:pPr>
              <w:pStyle w:val="TableContents"/>
              <w:spacing w:before="0" w:after="283"/>
              <w:rPr>
                <w:color w:val="231F20"/>
              </w:rPr>
            </w:pPr>
            <w:r>
              <w:rPr>
                <w:color w:val="231F20"/>
              </w:rPr>
              <w:t> </w:t>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ind w:left="0" w:right="0" w:firstLine="180"/>
              <w:rPr>
                <w:sz w:val="4"/>
                <w:szCs w:val="4"/>
              </w:rPr>
            </w:pPr>
            <w:r>
              <w:rPr>
                <w:sz w:val="4"/>
                <w:szCs w:val="4"/>
              </w:rPr>
            </w:r>
          </w:p>
        </w:tc>
      </w:tr>
      <w:tr>
        <w:trPr/>
        <w:tc>
          <w:tcPr>
            <w:tcW w:w="1053"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John S.</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2,662</w:t>
            </w:r>
          </w:p>
        </w:tc>
        <w:tc>
          <w:tcPr>
            <w:tcW w:w="816" w:type="dxa"/>
            <w:tcBorders/>
            <w:shd w:fill="auto" w:val="clear"/>
            <w:vAlign w:val="center"/>
          </w:tcPr>
          <w:p>
            <w:pPr>
              <w:pStyle w:val="TableContents"/>
              <w:spacing w:lineRule="auto" w:line="240" w:before="0" w:after="283"/>
              <w:rPr>
                <w:rFonts w:ascii="Arial;Helvetica;Sans-Serif" w:hAnsi="Arial;Helvetica;Sans-Serif"/>
                <w:color w:val="231F20"/>
                <w:sz w:val="16"/>
              </w:rPr>
            </w:pPr>
            <w:r>
              <w:rPr>
                <w:rFonts w:ascii="Arial;Helvetica;Sans-Serif" w:hAnsi="Arial;Helvetica;Sans-Serif"/>
                <w:color w:val="231F20"/>
                <w:sz w:val="16"/>
              </w:rPr>
              <w:t>5,323 (4)</w:t>
            </w:r>
          </w:p>
        </w:tc>
        <w:tc>
          <w:tcPr>
            <w:tcW w:w="868"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7,985</w:t>
            </w:r>
          </w:p>
        </w:tc>
        <w:tc>
          <w:tcPr>
            <w:tcW w:w="935" w:type="dxa"/>
            <w:tcBorders/>
            <w:shd w:fill="auto" w:val="clear"/>
            <w:vAlign w:val="center"/>
          </w:tcPr>
          <w:p>
            <w:pPr>
              <w:pStyle w:val="TableContents"/>
              <w:spacing w:before="0" w:after="283"/>
              <w:rPr>
                <w:color w:val="231F20"/>
              </w:rPr>
            </w:pPr>
            <w:r>
              <w:rPr>
                <w:color w:val="231F20"/>
              </w:rPr>
              <w:t>—</w:t>
            </w:r>
          </w:p>
        </w:tc>
        <w:tc>
          <w:tcPr>
            <w:tcW w:w="913" w:type="dxa"/>
            <w:tcBorders/>
            <w:shd w:fill="auto" w:val="clear"/>
            <w:vAlign w:val="center"/>
          </w:tcPr>
          <w:p>
            <w:pPr>
              <w:pStyle w:val="TableContents"/>
              <w:spacing w:before="0" w:after="283"/>
              <w:rPr>
                <w:color w:val="231F20"/>
              </w:rPr>
            </w:pPr>
            <w:r>
              <w:rPr>
                <w:color w:val="231F20"/>
              </w:rPr>
              <w:t>—</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$1,200,070</w:t>
            </w:r>
          </w:p>
        </w:tc>
      </w:tr>
      <w:tr>
        <w:trPr/>
        <w:tc>
          <w:tcPr>
            <w:tcW w:w="1053"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Coughlin</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lineRule="auto" w:line="240" w:before="0" w:after="283"/>
              <w:rPr>
                <w:rFonts w:ascii="Arial;Helvetica;Sans-Serif" w:hAnsi="Arial;Helvetica;Sans-Serif"/>
                <w:color w:val="231F20"/>
                <w:sz w:val="16"/>
              </w:rPr>
            </w:pPr>
            <w:r>
              <w:rPr>
                <w:rFonts w:ascii="Arial;Helvetica;Sans-Serif" w:hAnsi="Arial;Helvetica;Sans-Serif"/>
                <w:color w:val="231F20"/>
                <w:sz w:val="16"/>
              </w:rPr>
              <w:t>1,486 (5)</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color w:val="231F20"/>
              </w:rPr>
            </w:pPr>
            <w:r>
              <w:rPr>
                <w:color w:val="231F20"/>
              </w:rPr>
              <w:t>—</w:t>
            </w:r>
          </w:p>
        </w:tc>
        <w:tc>
          <w:tcPr>
            <w:tcW w:w="913" w:type="dxa"/>
            <w:tcBorders/>
            <w:shd w:fill="auto" w:val="clear"/>
            <w:vAlign w:val="center"/>
          </w:tcPr>
          <w:p>
            <w:pPr>
              <w:pStyle w:val="TableContents"/>
              <w:spacing w:before="0" w:after="283"/>
              <w:rPr>
                <w:color w:val="231F20"/>
              </w:rPr>
            </w:pPr>
            <w:r>
              <w:rPr>
                <w:color w:val="231F20"/>
              </w:rPr>
              <w:t>—</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$335,019</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auto" w:val="clear"/>
            <w:vAlign w:val="center"/>
          </w:tcPr>
          <w:p>
            <w:pPr>
              <w:pStyle w:val="TableContents"/>
              <w:spacing w:before="0" w:after="283"/>
              <w:ind w:left="0" w:right="0" w:firstLine="180"/>
              <w:rPr>
                <w:rFonts w:ascii="Arial;Helvetica;Sans-Serif" w:hAnsi="Arial;Helvetica;Sans-Serif"/>
                <w:color w:val="231F20"/>
                <w:sz w:val="16"/>
              </w:rPr>
            </w:pPr>
            <w:r>
              <w:rPr>
                <w:rFonts w:ascii="Arial;Helvetica;Sans-Serif" w:hAnsi="Arial;Helvetica;Sans-Serif"/>
                <w:color w:val="231F20"/>
                <w:sz w:val="16"/>
              </w:rPr>
              <w:t>$1,200,037</w:t>
            </w:r>
          </w:p>
        </w:tc>
      </w:tr>
      <w:tr>
        <w:trPr/>
        <w:tc>
          <w:tcPr>
            <w:tcW w:w="1053" w:type="dxa"/>
            <w:tcBorders/>
            <w:shd w:fill="auto" w:val="clear"/>
            <w:vAlign w:val="center"/>
          </w:tcPr>
          <w:p>
            <w:pPr>
              <w:pStyle w:val="TableContents"/>
              <w:spacing w:before="0" w:after="283"/>
              <w:rPr>
                <w:caps w:val="false"/>
                <w:smallCaps w:val="false"/>
                <w:color w:val="58595B"/>
              </w:rPr>
            </w:pPr>
            <w:r>
              <w:rPr>
                <w:caps w:val="false"/>
                <w:smallCaps w:val="false"/>
                <w:color w:val="58595B"/>
              </w:rPr>
              <w:t> </w:t>
            </w:r>
          </w:p>
        </w:tc>
        <w:tc>
          <w:tcPr>
            <w:tcW w:w="552"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1/24/22</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830" w:type="dxa"/>
            <w:tcBorders/>
            <w:shd w:fill="auto" w:val="clear"/>
            <w:vAlign w:val="center"/>
          </w:tcPr>
          <w:p>
            <w:pPr>
              <w:pStyle w:val="TableContents"/>
              <w:spacing w:before="0" w:after="283"/>
              <w:rPr>
                <w:color w:val="231F20"/>
              </w:rPr>
            </w:pPr>
            <w:r>
              <w:rPr>
                <w:color w:val="231F20"/>
              </w:rPr>
              <w:t>—</w:t>
            </w:r>
          </w:p>
        </w:tc>
        <w:tc>
          <w:tcPr>
            <w:tcW w:w="918" w:type="dxa"/>
            <w:tcBorders/>
            <w:shd w:fill="auto" w:val="clear"/>
            <w:vAlign w:val="center"/>
          </w:tcPr>
          <w:p>
            <w:pPr>
              <w:pStyle w:val="TableContents"/>
              <w:spacing w:before="0" w:after="283"/>
              <w:rPr>
                <w:color w:val="231F20"/>
              </w:rPr>
            </w:pPr>
            <w:r>
              <w:rPr>
                <w:color w:val="231F20"/>
              </w:rPr>
              <w:t>—</w:t>
            </w:r>
          </w:p>
        </w:tc>
        <w:tc>
          <w:tcPr>
            <w:tcW w:w="816" w:type="dxa"/>
            <w:tcBorders/>
            <w:shd w:fill="auto" w:val="clear"/>
            <w:vAlign w:val="center"/>
          </w:tcPr>
          <w:p>
            <w:pPr>
              <w:pStyle w:val="TableContents"/>
              <w:spacing w:before="0" w:after="283"/>
              <w:rPr>
                <w:color w:val="231F20"/>
              </w:rPr>
            </w:pPr>
            <w:r>
              <w:rPr>
                <w:color w:val="231F20"/>
              </w:rPr>
              <w:t>—</w:t>
            </w:r>
          </w:p>
        </w:tc>
        <w:tc>
          <w:tcPr>
            <w:tcW w:w="868" w:type="dxa"/>
            <w:tcBorders/>
            <w:shd w:fill="auto" w:val="clear"/>
            <w:vAlign w:val="center"/>
          </w:tcPr>
          <w:p>
            <w:pPr>
              <w:pStyle w:val="TableContents"/>
              <w:spacing w:before="0" w:after="283"/>
              <w:rPr>
                <w:color w:val="231F20"/>
              </w:rPr>
            </w:pPr>
            <w:r>
              <w:rPr>
                <w:color w:val="231F20"/>
              </w:rPr>
              <w:t>—</w:t>
            </w:r>
          </w:p>
        </w:tc>
        <w:tc>
          <w:tcPr>
            <w:tcW w:w="935"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18,352</w:t>
            </w:r>
          </w:p>
        </w:tc>
        <w:tc>
          <w:tcPr>
            <w:tcW w:w="913"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$225.45</w:t>
            </w:r>
          </w:p>
        </w:tc>
        <w:tc>
          <w:tcPr>
            <w:tcW w:w="1660" w:type="dxa"/>
            <w:tcBorders/>
            <w:shd w:fill="auto" w:val="clear"/>
            <w:vAlign w:val="center"/>
          </w:tcPr>
          <w:p>
            <w:pPr>
              <w:pStyle w:val="TableContents"/>
              <w:spacing w:before="0" w:after="283"/>
              <w:rPr>
                <w:rFonts w:ascii="Arial;Helvetica;Sans-Serif" w:hAnsi="Arial;Helvetica;Sans-Serif"/>
                <w:color w:val="231F20"/>
                <w:sz w:val="16"/>
              </w:rPr>
            </w:pPr>
            <w:r>
              <w:rPr>
                <w:rFonts w:ascii="Arial;Helvetica;Sans-Serif" w:hAnsi="Arial;Helvetica;Sans-Serif"/>
                <w:color w:val="231F20"/>
                <w:sz w:val="16"/>
              </w:rPr>
              <w:t>$1,200,037</w:t>
            </w:r>
          </w:p>
        </w:tc>
      </w:tr>
    </w:tbl>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Reflects the threshold, target and maximum amounts that could be earned under our 2022 annual cash incentive program for each NEO. For information concerning this program, see “Compensation Discussion and Analysis—Key Elements of 2022 Named Executive Officer Compensation—Annual Cash Incentive.” See the 2022 Summary Compensation Table for actual amounts earned for 2022 performance.</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(2) Reflects the number of time-based stock options granted in 2022. For information concerning these grants and the vesting terms, see “Compensation Discussion and Analysis — Key Elements of 2022 Named Executive Officer Compensation — Equity Awards.”</w:t>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46</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rPr/>
            </w:pPr>
            <w:r>
              <w:rPr/>
              <w:t> </w:t>
            </w:r>
          </w:p>
        </w:tc>
      </w:tr>
    </w:tbl>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spacing w:before="0" w:after="0"/>
        <w:ind w:left="20" w:right="0" w:hanging="0"/>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(3)</w:t>
      </w:r>
      <w:r>
        <w:rPr>
          <w:rFonts w:ascii="Times New Roman;Times;Serif" w:hAnsi="Times New Roman;Times;Serif"/>
          <w:b w:val="false"/>
          <w:i w:val="false"/>
          <w:caps w:val="false"/>
          <w:smallCaps w:val="false"/>
          <w:color w:val="58595B"/>
          <w:sz w:val="20"/>
        </w:rPr>
        <w:t xml:space="preserve"> </w:t>
      </w:r>
      <w:r>
        <w:rPr>
          <w:rFonts w:ascii="Arial;Helvetica;Sans-Serif" w:hAnsi="Arial;Helvetica;Sans-Serif"/>
          <w:b w:val="false"/>
          <w:i/>
          <w:caps w:val="false"/>
          <w:smallCaps w:val="false"/>
          <w:color w:val="58595B"/>
          <w:sz w:val="16"/>
        </w:rPr>
        <w:t xml:space="preserve">Reflects the grant date fair value of Performance Share, Performance-Based RSU, and stock option awards granted to each of the named executive officers in 2022 computed in accordance with </w:t>
      </w:r>
      <w:r>
        <w:rPr>
          <w:rFonts w:ascii="Arial;Helvetica;Sans-Serif" w:hAnsi="Arial;Helvetica;Sans-Serif"/>
          <w:b w:val="false"/>
          <w:i/>
          <w:caps w:val="false"/>
          <w:smallCaps w:val="false"/>
          <w:color w:val="58595B"/>
          <w:spacing w:val="-3"/>
          <w:sz w:val="16"/>
        </w:rPr>
        <w:t>FASB</w:t>
      </w:r>
      <w:r>
        <w:rPr>
          <w:rFonts w:ascii="Arial;Helvetica;Sans-Serif" w:hAnsi="Arial;Helvetica;Sans-Serif"/>
          <w:b w:val="false"/>
          <w:i/>
          <w:caps w:val="false"/>
          <w:smallCaps w:val="false"/>
          <w:color w:val="58595B"/>
          <w:sz w:val="16"/>
        </w:rPr>
        <w:t xml:space="preserve"> ASC </w:t>
      </w:r>
      <w:r>
        <w:rPr>
          <w:rFonts w:ascii="Arial;Helvetica;Sans-Serif" w:hAnsi="Arial;Helvetica;Sans-Serif"/>
          <w:b w:val="false"/>
          <w:i/>
          <w:caps w:val="false"/>
          <w:smallCaps w:val="false"/>
          <w:color w:val="58595B"/>
          <w:spacing w:val="-4"/>
          <w:sz w:val="16"/>
        </w:rPr>
        <w:t xml:space="preserve">Topic </w:t>
      </w:r>
      <w:r>
        <w:rPr>
          <w:rFonts w:ascii="Arial;Helvetica;Sans-Serif" w:hAnsi="Arial;Helvetica;Sans-Serif"/>
          <w:b w:val="false"/>
          <w:i/>
          <w:caps w:val="false"/>
          <w:smallCaps w:val="false"/>
          <w:color w:val="58595B"/>
          <w:sz w:val="16"/>
        </w:rPr>
        <w:t xml:space="preserve">718. </w:t>
      </w:r>
      <w:r>
        <w:rPr>
          <w:rFonts w:ascii="Arial;Helvetica;Sans-Serif" w:hAnsi="Arial;Helvetica;Sans-Serif"/>
          <w:b w:val="false"/>
          <w:i/>
          <w:caps w:val="false"/>
          <w:smallCaps w:val="false"/>
          <w:color w:val="58595B"/>
          <w:spacing w:val="-3"/>
          <w:sz w:val="16"/>
        </w:rPr>
        <w:t>Awards</w:t>
      </w:r>
      <w:r>
        <w:rPr>
          <w:rFonts w:ascii="Arial;Helvetica;Sans-Serif" w:hAnsi="Arial;Helvetica;Sans-Serif"/>
          <w:b w:val="false"/>
          <w:i/>
          <w:caps w:val="false"/>
          <w:smallCaps w:val="false"/>
          <w:color w:val="58595B"/>
          <w:sz w:val="16"/>
        </w:rPr>
        <w:t xml:space="preserve"> with performance conditions are computed based on the probable outcome of the performance condition as of the grant date for the award. There can be no assurance that the grant date fair value of stock and option awards will ever be realized by the named executive officers.</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(4)</w:t>
      </w:r>
      <w:r>
        <w:rPr>
          <w:rFonts w:ascii="Times New Roman;Times;Serif" w:hAnsi="Times New Roman;Times;Serif"/>
          <w:b w:val="false"/>
          <w:i w:val="false"/>
          <w:caps w:val="false"/>
          <w:smallCaps w:val="false"/>
          <w:color w:val="58595B"/>
          <w:sz w:val="20"/>
        </w:rPr>
        <w:t xml:space="preserve"> </w:t>
      </w:r>
      <w:r>
        <w:rPr>
          <w:rFonts w:ascii="Arial;Helvetica;Sans-Serif" w:hAnsi="Arial;Helvetica;Sans-Serif"/>
          <w:b w:val="false"/>
          <w:i/>
          <w:caps w:val="false"/>
          <w:smallCaps w:val="false"/>
          <w:color w:val="58595B"/>
          <w:sz w:val="16"/>
        </w:rPr>
        <w:t xml:space="preserve">Reflects the Performance-Based RSU awards granted in 2022. </w:t>
      </w:r>
      <w:r>
        <w:rPr>
          <w:rFonts w:ascii="Arial;Helvetica;Sans-Serif" w:hAnsi="Arial;Helvetica;Sans-Serif"/>
          <w:b w:val="false"/>
          <w:i/>
          <w:caps w:val="false"/>
          <w:smallCaps w:val="false"/>
          <w:color w:val="58595B"/>
          <w:spacing w:val="-3"/>
          <w:sz w:val="16"/>
        </w:rPr>
        <w:t>For</w:t>
      </w:r>
      <w:r>
        <w:rPr>
          <w:rFonts w:ascii="Arial;Helvetica;Sans-Serif" w:hAnsi="Arial;Helvetica;Sans-Serif"/>
          <w:b w:val="false"/>
          <w:i/>
          <w:caps w:val="false"/>
          <w:smallCaps w:val="false"/>
          <w:color w:val="58595B"/>
          <w:sz w:val="16"/>
        </w:rPr>
        <w:t xml:space="preserve"> information concerning these grants, see “Compensation Discussion and Analysis — </w:t>
      </w:r>
      <w:r>
        <w:rPr>
          <w:rFonts w:ascii="Arial;Helvetica;Sans-Serif" w:hAnsi="Arial;Helvetica;Sans-Serif"/>
          <w:b w:val="false"/>
          <w:i/>
          <w:caps w:val="false"/>
          <w:smallCaps w:val="false"/>
          <w:color w:val="58595B"/>
          <w:spacing w:val="-4"/>
          <w:sz w:val="16"/>
        </w:rPr>
        <w:t>Key</w:t>
      </w:r>
      <w:r>
        <w:rPr>
          <w:rFonts w:ascii="Arial;Helvetica;Sans-Serif" w:hAnsi="Arial;Helvetica;Sans-Serif"/>
          <w:b w:val="false"/>
          <w:i/>
          <w:caps w:val="false"/>
          <w:smallCaps w:val="false"/>
          <w:color w:val="58595B"/>
          <w:sz w:val="16"/>
        </w:rPr>
        <w:t xml:space="preserve"> Elements of 2022 Named Executive Officer Compensation — Equity </w:t>
      </w:r>
      <w:r>
        <w:rPr>
          <w:rFonts w:ascii="Arial;Helvetica;Sans-Serif" w:hAnsi="Arial;Helvetica;Sans-Serif"/>
          <w:b w:val="false"/>
          <w:i/>
          <w:caps w:val="false"/>
          <w:smallCaps w:val="false"/>
          <w:color w:val="58595B"/>
          <w:spacing w:val="-4"/>
          <w:sz w:val="16"/>
        </w:rPr>
        <w:t>Awards.”</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(5)</w:t>
      </w:r>
      <w:r>
        <w:rPr>
          <w:rFonts w:ascii="Times New Roman;Times;Serif" w:hAnsi="Times New Roman;Times;Serif"/>
          <w:b w:val="false"/>
          <w:i w:val="false"/>
          <w:caps w:val="false"/>
          <w:smallCaps w:val="false"/>
          <w:color w:val="58595B"/>
          <w:sz w:val="20"/>
        </w:rPr>
        <w:t xml:space="preserve"> </w:t>
      </w:r>
      <w:r>
        <w:rPr>
          <w:rFonts w:ascii="Arial;Helvetica;Sans-Serif" w:hAnsi="Arial;Helvetica;Sans-Serif"/>
          <w:b w:val="false"/>
          <w:i/>
          <w:caps w:val="false"/>
          <w:smallCaps w:val="false"/>
          <w:color w:val="58595B"/>
          <w:sz w:val="16"/>
        </w:rPr>
        <w:t xml:space="preserve">Reflects the Performance Share awards granted in 2022. </w:t>
      </w:r>
      <w:r>
        <w:rPr>
          <w:rFonts w:ascii="Arial;Helvetica;Sans-Serif" w:hAnsi="Arial;Helvetica;Sans-Serif"/>
          <w:b w:val="false"/>
          <w:i/>
          <w:caps w:val="false"/>
          <w:smallCaps w:val="false"/>
          <w:color w:val="58595B"/>
          <w:spacing w:val="-3"/>
          <w:sz w:val="16"/>
        </w:rPr>
        <w:t>For</w:t>
      </w:r>
      <w:r>
        <w:rPr>
          <w:rFonts w:ascii="Arial;Helvetica;Sans-Serif" w:hAnsi="Arial;Helvetica;Sans-Serif"/>
          <w:b w:val="false"/>
          <w:i/>
          <w:caps w:val="false"/>
          <w:smallCaps w:val="false"/>
          <w:color w:val="58595B"/>
          <w:sz w:val="16"/>
        </w:rPr>
        <w:t xml:space="preserve"> information concerning these grants, see “Compensation Discussion and Analysis — </w:t>
      </w:r>
      <w:r>
        <w:rPr>
          <w:rFonts w:ascii="Arial;Helvetica;Sans-Serif" w:hAnsi="Arial;Helvetica;Sans-Serif"/>
          <w:b w:val="false"/>
          <w:i/>
          <w:caps w:val="false"/>
          <w:smallCaps w:val="false"/>
          <w:color w:val="58595B"/>
          <w:spacing w:val="-4"/>
          <w:sz w:val="16"/>
        </w:rPr>
        <w:t>Key</w:t>
      </w:r>
      <w:r>
        <w:rPr>
          <w:rFonts w:ascii="Arial;Helvetica;Sans-Serif" w:hAnsi="Arial;Helvetica;Sans-Serif"/>
          <w:b w:val="false"/>
          <w:i/>
          <w:caps w:val="false"/>
          <w:smallCaps w:val="false"/>
          <w:color w:val="58595B"/>
          <w:sz w:val="16"/>
        </w:rPr>
        <w:t xml:space="preserve"> Elements of 2022 Named Executive Officer Compensation — Equity </w:t>
      </w:r>
      <w:r>
        <w:rPr>
          <w:rFonts w:ascii="Arial;Helvetica;Sans-Serif" w:hAnsi="Arial;Helvetica;Sans-Serif"/>
          <w:b w:val="false"/>
          <w:i/>
          <w:caps w:val="false"/>
          <w:smallCaps w:val="false"/>
          <w:color w:val="58595B"/>
          <w:spacing w:val="-4"/>
          <w:sz w:val="16"/>
        </w:rPr>
        <w:t>Awards.”</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(6)</w:t>
      </w:r>
      <w:r>
        <w:rPr>
          <w:rFonts w:ascii="Times New Roman;Times;Serif" w:hAnsi="Times New Roman;Times;Serif"/>
          <w:b w:val="false"/>
          <w:i w:val="false"/>
          <w:caps w:val="false"/>
          <w:smallCaps w:val="false"/>
          <w:color w:val="58595B"/>
          <w:sz w:val="20"/>
        </w:rPr>
        <w:t xml:space="preserve"> </w:t>
      </w:r>
      <w:r>
        <w:rPr>
          <w:rFonts w:ascii="Arial;Helvetica;Sans-Serif" w:hAnsi="Arial;Helvetica;Sans-Serif"/>
          <w:b w:val="false"/>
          <w:i/>
          <w:caps w:val="false"/>
          <w:smallCaps w:val="false"/>
          <w:color w:val="58595B"/>
          <w:sz w:val="16"/>
        </w:rPr>
        <w:t xml:space="preserve">As </w:t>
      </w:r>
      <w:r>
        <w:rPr>
          <w:rFonts w:ascii="Arial;Helvetica;Sans-Serif" w:hAnsi="Arial;Helvetica;Sans-Serif"/>
          <w:b w:val="false"/>
          <w:i/>
          <w:caps w:val="false"/>
          <w:smallCaps w:val="false"/>
          <w:color w:val="58595B"/>
          <w:spacing w:val="-3"/>
          <w:sz w:val="16"/>
        </w:rPr>
        <w:t>Mr.</w:t>
      </w:r>
      <w:r>
        <w:rPr>
          <w:rFonts w:ascii="Arial;Helvetica;Sans-Serif" w:hAnsi="Arial;Helvetica;Sans-Serif"/>
          <w:b w:val="false"/>
          <w:i/>
          <w:caps w:val="false"/>
          <w:smallCaps w:val="false"/>
          <w:color w:val="58595B"/>
          <w:sz w:val="16"/>
        </w:rPr>
        <w:t xml:space="preserve"> Netto is based in Brazil, his cash compensation is denominated in Brazilian Real. Non-equity incentive plan award amounts for </w:t>
      </w:r>
      <w:r>
        <w:rPr>
          <w:rFonts w:ascii="Arial;Helvetica;Sans-Serif" w:hAnsi="Arial;Helvetica;Sans-Serif"/>
          <w:b w:val="false"/>
          <w:i/>
          <w:caps w:val="false"/>
          <w:smallCaps w:val="false"/>
          <w:color w:val="58595B"/>
          <w:spacing w:val="-3"/>
          <w:sz w:val="16"/>
        </w:rPr>
        <w:t>Mr.</w:t>
      </w:r>
      <w:r>
        <w:rPr>
          <w:rFonts w:ascii="Arial;Helvetica;Sans-Serif" w:hAnsi="Arial;Helvetica;Sans-Serif"/>
          <w:b w:val="false"/>
          <w:i/>
          <w:caps w:val="false"/>
          <w:smallCaps w:val="false"/>
          <w:color w:val="58595B"/>
          <w:sz w:val="16"/>
        </w:rPr>
        <w:t xml:space="preserve"> Netto have been converted to U.S. dollars at an average exchange </w:t>
      </w:r>
      <w:r>
        <w:rPr>
          <w:rFonts w:ascii="Arial;Helvetica;Sans-Serif" w:hAnsi="Arial;Helvetica;Sans-Serif"/>
          <w:b w:val="false"/>
          <w:i/>
          <w:caps w:val="false"/>
          <w:smallCaps w:val="false"/>
          <w:color w:val="58595B"/>
          <w:spacing w:val="-3"/>
          <w:sz w:val="16"/>
        </w:rPr>
        <w:t>rate</w:t>
      </w:r>
      <w:r>
        <w:rPr>
          <w:rFonts w:ascii="Arial;Helvetica;Sans-Serif" w:hAnsi="Arial;Helvetica;Sans-Serif"/>
          <w:b w:val="false"/>
          <w:i/>
          <w:caps w:val="false"/>
          <w:smallCaps w:val="false"/>
          <w:color w:val="58595B"/>
          <w:sz w:val="16"/>
        </w:rPr>
        <w:t xml:space="preserve"> of $1 to R$5.1535 for 2022. Prior to his relocation to the United States, </w:t>
      </w:r>
      <w:r>
        <w:rPr>
          <w:rFonts w:ascii="Arial;Helvetica;Sans-Serif" w:hAnsi="Arial;Helvetica;Sans-Serif"/>
          <w:b w:val="false"/>
          <w:i/>
          <w:caps w:val="false"/>
          <w:smallCaps w:val="false"/>
          <w:color w:val="58595B"/>
          <w:spacing w:val="-3"/>
          <w:sz w:val="16"/>
        </w:rPr>
        <w:t>Mr.</w:t>
      </w:r>
      <w:r>
        <w:rPr>
          <w:rFonts w:ascii="Arial;Helvetica;Sans-Serif" w:hAnsi="Arial;Helvetica;Sans-Serif"/>
          <w:b w:val="false"/>
          <w:i/>
          <w:caps w:val="false"/>
          <w:smallCaps w:val="false"/>
          <w:color w:val="58595B"/>
          <w:sz w:val="16"/>
        </w:rPr>
        <w:t xml:space="preserve"> King was based in the United Kingdom. Non-equity incentive plan award amounts for </w:t>
      </w:r>
      <w:r>
        <w:rPr>
          <w:rFonts w:ascii="Arial;Helvetica;Sans-Serif" w:hAnsi="Arial;Helvetica;Sans-Serif"/>
          <w:b w:val="false"/>
          <w:i/>
          <w:caps w:val="false"/>
          <w:smallCaps w:val="false"/>
          <w:color w:val="58595B"/>
          <w:spacing w:val="-3"/>
          <w:sz w:val="16"/>
        </w:rPr>
        <w:t xml:space="preserve">Mr. </w:t>
      </w:r>
      <w:r>
        <w:rPr>
          <w:rFonts w:ascii="Arial;Helvetica;Sans-Serif" w:hAnsi="Arial;Helvetica;Sans-Serif"/>
          <w:b w:val="false"/>
          <w:i/>
          <w:caps w:val="false"/>
          <w:smallCaps w:val="false"/>
          <w:color w:val="58595B"/>
          <w:sz w:val="16"/>
        </w:rPr>
        <w:t xml:space="preserve">King have been converted to U.S. dollars at an average exchange </w:t>
      </w:r>
      <w:r>
        <w:rPr>
          <w:rFonts w:ascii="Arial;Helvetica;Sans-Serif" w:hAnsi="Arial;Helvetica;Sans-Serif"/>
          <w:b w:val="false"/>
          <w:i/>
          <w:caps w:val="false"/>
          <w:smallCaps w:val="false"/>
          <w:color w:val="58595B"/>
          <w:spacing w:val="-3"/>
          <w:sz w:val="16"/>
        </w:rPr>
        <w:t>rate</w:t>
      </w:r>
      <w:r>
        <w:rPr>
          <w:rFonts w:ascii="Arial;Helvetica;Sans-Serif" w:hAnsi="Arial;Helvetica;Sans-Serif"/>
          <w:b w:val="false"/>
          <w:i/>
          <w:caps w:val="false"/>
          <w:smallCaps w:val="false"/>
          <w:color w:val="58595B"/>
          <w:sz w:val="16"/>
        </w:rPr>
        <w:t xml:space="preserve"> of $1 to £0.8080 for 2022.</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4"/>
          <w:sz w:val="18"/>
        </w:rPr>
        <w:t xml:space="preserve">For </w:t>
      </w:r>
      <w:r>
        <w:rPr>
          <w:rFonts w:ascii="Arial;Helvetica;Sans-Serif" w:hAnsi="Arial;Helvetica;Sans-Serif"/>
          <w:b w:val="false"/>
          <w:i w:val="false"/>
          <w:caps w:val="false"/>
          <w:smallCaps w:val="false"/>
          <w:color w:val="58595B"/>
          <w:spacing w:val="-3"/>
          <w:sz w:val="18"/>
        </w:rPr>
        <w:t xml:space="preserve">information regarding </w:t>
      </w:r>
      <w:r>
        <w:rPr>
          <w:rFonts w:ascii="Arial;Helvetica;Sans-Serif" w:hAnsi="Arial;Helvetica;Sans-Serif"/>
          <w:b w:val="false"/>
          <w:i w:val="false"/>
          <w:caps w:val="false"/>
          <w:smallCaps w:val="false"/>
          <w:color w:val="58595B"/>
          <w:sz w:val="18"/>
        </w:rPr>
        <w:t xml:space="preserve">the </w:t>
      </w:r>
      <w:r>
        <w:rPr>
          <w:rFonts w:ascii="Arial;Helvetica;Sans-Serif" w:hAnsi="Arial;Helvetica;Sans-Serif"/>
          <w:b w:val="false"/>
          <w:i w:val="false"/>
          <w:caps w:val="false"/>
          <w:smallCaps w:val="false"/>
          <w:color w:val="58595B"/>
          <w:spacing w:val="-2"/>
          <w:sz w:val="18"/>
        </w:rPr>
        <w:t xml:space="preserve">amount </w:t>
      </w:r>
      <w:r>
        <w:rPr>
          <w:rFonts w:ascii="Arial;Helvetica;Sans-Serif" w:hAnsi="Arial;Helvetica;Sans-Serif"/>
          <w:b w:val="false"/>
          <w:i w:val="false"/>
          <w:caps w:val="false"/>
          <w:smallCaps w:val="false"/>
          <w:color w:val="58595B"/>
          <w:sz w:val="18"/>
        </w:rPr>
        <w:t xml:space="preserve">of salary and bonus in </w:t>
      </w:r>
      <w:r>
        <w:rPr>
          <w:rFonts w:ascii="Arial;Helvetica;Sans-Serif" w:hAnsi="Arial;Helvetica;Sans-Serif"/>
          <w:b w:val="false"/>
          <w:i w:val="false"/>
          <w:caps w:val="false"/>
          <w:smallCaps w:val="false"/>
          <w:color w:val="58595B"/>
          <w:spacing w:val="-3"/>
          <w:sz w:val="18"/>
        </w:rPr>
        <w:t xml:space="preserve">proportion </w:t>
      </w:r>
      <w:r>
        <w:rPr>
          <w:rFonts w:ascii="Arial;Helvetica;Sans-Serif" w:hAnsi="Arial;Helvetica;Sans-Serif"/>
          <w:b w:val="false"/>
          <w:i w:val="false"/>
          <w:caps w:val="false"/>
          <w:smallCaps w:val="false"/>
          <w:color w:val="58595B"/>
          <w:sz w:val="18"/>
        </w:rPr>
        <w:t xml:space="preserve">to </w:t>
      </w:r>
      <w:r>
        <w:rPr>
          <w:rFonts w:ascii="Arial;Helvetica;Sans-Serif" w:hAnsi="Arial;Helvetica;Sans-Serif"/>
          <w:b w:val="false"/>
          <w:i w:val="false"/>
          <w:caps w:val="false"/>
          <w:smallCaps w:val="false"/>
          <w:color w:val="58595B"/>
          <w:spacing w:val="-3"/>
          <w:sz w:val="18"/>
        </w:rPr>
        <w:t xml:space="preserve">total compensation </w:t>
      </w:r>
      <w:r>
        <w:rPr>
          <w:rFonts w:ascii="Arial;Helvetica;Sans-Serif" w:hAnsi="Arial;Helvetica;Sans-Serif"/>
          <w:b w:val="false"/>
          <w:i w:val="false"/>
          <w:caps w:val="false"/>
          <w:smallCaps w:val="false"/>
          <w:color w:val="58595B"/>
          <w:sz w:val="18"/>
        </w:rPr>
        <w:t xml:space="preserve">of our </w:t>
      </w:r>
      <w:r>
        <w:rPr>
          <w:rFonts w:ascii="Arial;Helvetica;Sans-Serif" w:hAnsi="Arial;Helvetica;Sans-Serif"/>
          <w:b w:val="false"/>
          <w:i w:val="false"/>
          <w:caps w:val="false"/>
          <w:smallCaps w:val="false"/>
          <w:color w:val="58595B"/>
          <w:spacing w:val="-3"/>
          <w:sz w:val="18"/>
        </w:rPr>
        <w:t xml:space="preserve">NEOs, </w:t>
      </w:r>
      <w:r>
        <w:rPr>
          <w:rFonts w:ascii="Arial;Helvetica;Sans-Serif" w:hAnsi="Arial;Helvetica;Sans-Serif"/>
          <w:b w:val="false"/>
          <w:i w:val="false"/>
          <w:caps w:val="false"/>
          <w:smallCaps w:val="false"/>
          <w:color w:val="58595B"/>
          <w:sz w:val="18"/>
        </w:rPr>
        <w:t xml:space="preserve">see “Compensation Discussion and </w:t>
      </w:r>
      <w:r>
        <w:rPr>
          <w:rFonts w:ascii="Arial;Helvetica;Sans-Serif" w:hAnsi="Arial;Helvetica;Sans-Serif"/>
          <w:b w:val="false"/>
          <w:i w:val="false"/>
          <w:caps w:val="false"/>
          <w:smallCaps w:val="false"/>
          <w:color w:val="58595B"/>
          <w:spacing w:val="-3"/>
          <w:sz w:val="18"/>
        </w:rPr>
        <w:t xml:space="preserve">Analysis </w:t>
      </w:r>
      <w:r>
        <w:rPr>
          <w:rFonts w:ascii="Arial;Helvetica;Sans-Serif" w:hAnsi="Arial;Helvetica;Sans-Serif"/>
          <w:b w:val="false"/>
          <w:i w:val="false"/>
          <w:caps w:val="false"/>
          <w:smallCaps w:val="false"/>
          <w:color w:val="58595B"/>
          <w:sz w:val="18"/>
        </w:rPr>
        <w:t xml:space="preserve">— </w:t>
      </w:r>
      <w:r>
        <w:rPr>
          <w:rFonts w:ascii="Arial;Helvetica;Sans-Serif" w:hAnsi="Arial;Helvetica;Sans-Serif"/>
          <w:b w:val="false"/>
          <w:i w:val="false"/>
          <w:caps w:val="false"/>
          <w:smallCaps w:val="false"/>
          <w:color w:val="58595B"/>
          <w:spacing w:val="-3"/>
          <w:sz w:val="18"/>
        </w:rPr>
        <w:t xml:space="preserve">Components </w:t>
      </w:r>
      <w:r>
        <w:rPr>
          <w:rFonts w:ascii="Arial;Helvetica;Sans-Serif" w:hAnsi="Arial;Helvetica;Sans-Serif"/>
          <w:b w:val="false"/>
          <w:i w:val="false"/>
          <w:caps w:val="false"/>
          <w:smallCaps w:val="false"/>
          <w:color w:val="58595B"/>
          <w:sz w:val="18"/>
        </w:rPr>
        <w:t xml:space="preserve">of </w:t>
      </w:r>
      <w:r>
        <w:rPr>
          <w:rFonts w:ascii="Arial;Helvetica;Sans-Serif" w:hAnsi="Arial;Helvetica;Sans-Serif"/>
          <w:b w:val="false"/>
          <w:i w:val="false"/>
          <w:caps w:val="false"/>
          <w:smallCaps w:val="false"/>
          <w:color w:val="58595B"/>
          <w:spacing w:val="-3"/>
          <w:sz w:val="18"/>
        </w:rPr>
        <w:t xml:space="preserve">Compensation </w:t>
      </w:r>
      <w:r>
        <w:rPr>
          <w:rFonts w:ascii="Arial;Helvetica;Sans-Serif" w:hAnsi="Arial;Helvetica;Sans-Serif"/>
          <w:b w:val="false"/>
          <w:i w:val="false"/>
          <w:caps w:val="false"/>
          <w:smallCaps w:val="false"/>
          <w:color w:val="58595B"/>
          <w:sz w:val="18"/>
        </w:rPr>
        <w:t xml:space="preserve">and </w:t>
      </w:r>
      <w:r>
        <w:rPr>
          <w:rFonts w:ascii="Arial;Helvetica;Sans-Serif" w:hAnsi="Arial;Helvetica;Sans-Serif"/>
          <w:b w:val="false"/>
          <w:i w:val="false"/>
          <w:caps w:val="false"/>
          <w:smallCaps w:val="false"/>
          <w:color w:val="58595B"/>
          <w:spacing w:val="-6"/>
          <w:sz w:val="18"/>
        </w:rPr>
        <w:t xml:space="preserve">Target </w:t>
      </w:r>
      <w:r>
        <w:rPr>
          <w:rFonts w:ascii="Arial;Helvetica;Sans-Serif" w:hAnsi="Arial;Helvetica;Sans-Serif"/>
          <w:b w:val="false"/>
          <w:i w:val="false"/>
          <w:caps w:val="false"/>
          <w:smallCaps w:val="false"/>
          <w:color w:val="58595B"/>
          <w:spacing w:val="-3"/>
          <w:sz w:val="18"/>
        </w:rPr>
        <w:t xml:space="preserve">Direct Compensation </w:t>
      </w:r>
      <w:r>
        <w:rPr>
          <w:rFonts w:ascii="Arial;Helvetica;Sans-Serif" w:hAnsi="Arial;Helvetica;Sans-Serif"/>
          <w:b w:val="false"/>
          <w:i w:val="false"/>
          <w:caps w:val="false"/>
          <w:smallCaps w:val="false"/>
          <w:color w:val="58595B"/>
          <w:sz w:val="18"/>
        </w:rPr>
        <w:t xml:space="preserve">Mix” </w:t>
      </w:r>
      <w:r>
        <w:rPr>
          <w:rFonts w:ascii="Arial;Helvetica;Sans-Serif" w:hAnsi="Arial;Helvetica;Sans-Serif"/>
          <w:b w:val="false"/>
          <w:i w:val="false"/>
          <w:caps w:val="false"/>
          <w:smallCaps w:val="false"/>
          <w:color w:val="58595B"/>
          <w:spacing w:val="-3"/>
          <w:sz w:val="18"/>
        </w:rPr>
        <w:t xml:space="preserve">above. </w:t>
      </w:r>
      <w:r>
        <w:rPr>
          <w:rFonts w:ascii="Arial;Helvetica;Sans-Serif" w:hAnsi="Arial;Helvetica;Sans-Serif"/>
          <w:b w:val="false"/>
          <w:i w:val="false"/>
          <w:caps w:val="false"/>
          <w:smallCaps w:val="false"/>
          <w:color w:val="58595B"/>
          <w:spacing w:val="-4"/>
          <w:sz w:val="18"/>
        </w:rPr>
        <w:t xml:space="preserve">For </w:t>
      </w:r>
      <w:r>
        <w:rPr>
          <w:rFonts w:ascii="Arial;Helvetica;Sans-Serif" w:hAnsi="Arial;Helvetica;Sans-Serif"/>
          <w:b w:val="false"/>
          <w:i w:val="false"/>
          <w:caps w:val="false"/>
          <w:smallCaps w:val="false"/>
          <w:color w:val="58595B"/>
          <w:spacing w:val="-3"/>
          <w:sz w:val="18"/>
        </w:rPr>
        <w:t xml:space="preserve">information regarding </w:t>
      </w:r>
      <w:r>
        <w:rPr>
          <w:rFonts w:ascii="Arial;Helvetica;Sans-Serif" w:hAnsi="Arial;Helvetica;Sans-Serif"/>
          <w:b w:val="false"/>
          <w:i w:val="false"/>
          <w:caps w:val="false"/>
          <w:smallCaps w:val="false"/>
          <w:color w:val="58595B"/>
          <w:sz w:val="18"/>
        </w:rPr>
        <w:t xml:space="preserve">the </w:t>
      </w:r>
      <w:r>
        <w:rPr>
          <w:rFonts w:ascii="Arial;Helvetica;Sans-Serif" w:hAnsi="Arial;Helvetica;Sans-Serif"/>
          <w:b w:val="false"/>
          <w:i w:val="false"/>
          <w:caps w:val="false"/>
          <w:smallCaps w:val="false"/>
          <w:color w:val="58595B"/>
          <w:spacing w:val="-3"/>
          <w:sz w:val="18"/>
        </w:rPr>
        <w:t xml:space="preserve">employment agreements </w:t>
      </w:r>
      <w:r>
        <w:rPr>
          <w:rFonts w:ascii="Arial;Helvetica;Sans-Serif" w:hAnsi="Arial;Helvetica;Sans-Serif"/>
          <w:b w:val="false"/>
          <w:i w:val="false"/>
          <w:caps w:val="false"/>
          <w:smallCaps w:val="false"/>
          <w:color w:val="58595B"/>
          <w:sz w:val="18"/>
        </w:rPr>
        <w:t xml:space="preserve">and </w:t>
      </w:r>
      <w:r>
        <w:rPr>
          <w:rFonts w:ascii="Arial;Helvetica;Sans-Serif" w:hAnsi="Arial;Helvetica;Sans-Serif"/>
          <w:b w:val="false"/>
          <w:i w:val="false"/>
          <w:caps w:val="false"/>
          <w:smallCaps w:val="false"/>
          <w:color w:val="58595B"/>
          <w:spacing w:val="-3"/>
          <w:sz w:val="18"/>
        </w:rPr>
        <w:t xml:space="preserve">offer </w:t>
      </w:r>
      <w:r>
        <w:rPr>
          <w:rFonts w:ascii="Arial;Helvetica;Sans-Serif" w:hAnsi="Arial;Helvetica;Sans-Serif"/>
          <w:b w:val="false"/>
          <w:i w:val="false"/>
          <w:caps w:val="false"/>
          <w:smallCaps w:val="false"/>
          <w:color w:val="58595B"/>
          <w:sz w:val="18"/>
        </w:rPr>
        <w:t xml:space="preserve">letters with our </w:t>
      </w:r>
      <w:r>
        <w:rPr>
          <w:rFonts w:ascii="Arial;Helvetica;Sans-Serif" w:hAnsi="Arial;Helvetica;Sans-Serif"/>
          <w:b w:val="false"/>
          <w:i w:val="false"/>
          <w:caps w:val="false"/>
          <w:smallCaps w:val="false"/>
          <w:color w:val="58595B"/>
          <w:spacing w:val="-3"/>
          <w:sz w:val="18"/>
        </w:rPr>
        <w:t xml:space="preserve">NEOs, </w:t>
      </w:r>
      <w:r>
        <w:rPr>
          <w:rFonts w:ascii="Arial;Helvetica;Sans-Serif" w:hAnsi="Arial;Helvetica;Sans-Serif"/>
          <w:b w:val="false"/>
          <w:i w:val="false"/>
          <w:caps w:val="false"/>
          <w:smallCaps w:val="false"/>
          <w:color w:val="58595B"/>
          <w:sz w:val="18"/>
        </w:rPr>
        <w:t xml:space="preserve">see </w:t>
      </w:r>
      <w:r>
        <w:rPr>
          <w:rFonts w:ascii="Arial;Helvetica;Sans-Serif" w:hAnsi="Arial;Helvetica;Sans-Serif"/>
          <w:b w:val="false"/>
          <w:i w:val="false"/>
          <w:caps w:val="false"/>
          <w:smallCaps w:val="false"/>
          <w:color w:val="58595B"/>
          <w:spacing w:val="-3"/>
          <w:sz w:val="18"/>
        </w:rPr>
        <w:t xml:space="preserve">“Potential Payments Upon </w:t>
      </w:r>
      <w:r>
        <w:rPr>
          <w:rFonts w:ascii="Arial;Helvetica;Sans-Serif" w:hAnsi="Arial;Helvetica;Sans-Serif"/>
          <w:b w:val="false"/>
          <w:i w:val="false"/>
          <w:caps w:val="false"/>
          <w:smallCaps w:val="false"/>
          <w:color w:val="58595B"/>
          <w:spacing w:val="-4"/>
          <w:sz w:val="18"/>
        </w:rPr>
        <w:t xml:space="preserve">Termination </w:t>
      </w:r>
      <w:r>
        <w:rPr>
          <w:rFonts w:ascii="Arial;Helvetica;Sans-Serif" w:hAnsi="Arial;Helvetica;Sans-Serif"/>
          <w:b w:val="false"/>
          <w:i w:val="false"/>
          <w:caps w:val="false"/>
          <w:smallCaps w:val="false"/>
          <w:color w:val="58595B"/>
          <w:sz w:val="18"/>
        </w:rPr>
        <w:t xml:space="preserve">or </w:t>
      </w:r>
      <w:r>
        <w:rPr>
          <w:rFonts w:ascii="Arial;Helvetica;Sans-Serif" w:hAnsi="Arial;Helvetica;Sans-Serif"/>
          <w:b w:val="false"/>
          <w:i w:val="false"/>
          <w:caps w:val="false"/>
          <w:smallCaps w:val="false"/>
          <w:color w:val="58595B"/>
          <w:spacing w:val="-2"/>
          <w:sz w:val="18"/>
        </w:rPr>
        <w:t xml:space="preserve">Change </w:t>
      </w:r>
      <w:r>
        <w:rPr>
          <w:rFonts w:ascii="Arial;Helvetica;Sans-Serif" w:hAnsi="Arial;Helvetica;Sans-Serif"/>
          <w:b w:val="false"/>
          <w:i w:val="false"/>
          <w:caps w:val="false"/>
          <w:smallCaps w:val="false"/>
          <w:color w:val="58595B"/>
          <w:sz w:val="18"/>
        </w:rPr>
        <w:t xml:space="preserve">in </w:t>
      </w:r>
      <w:r>
        <w:rPr>
          <w:rFonts w:ascii="Arial;Helvetica;Sans-Serif" w:hAnsi="Arial;Helvetica;Sans-Serif"/>
          <w:b w:val="false"/>
          <w:i w:val="false"/>
          <w:caps w:val="false"/>
          <w:smallCaps w:val="false"/>
          <w:color w:val="58595B"/>
          <w:spacing w:val="-3"/>
          <w:sz w:val="18"/>
        </w:rPr>
        <w:t>Control” below.</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EE0027"/>
          <w:sz w:val="20"/>
        </w:rPr>
      </w:pPr>
      <w:bookmarkStart w:id="119" w:name="a069"/>
      <w:bookmarkEnd w:id="119"/>
      <w:r>
        <w:rPr>
          <w:rFonts w:ascii="Arial;Helvetica;Sans-Serif" w:hAnsi="Arial;Helvetica;Sans-Serif"/>
          <w:b/>
          <w:i w:val="false"/>
          <w:caps w:val="false"/>
          <w:smallCaps w:val="false"/>
          <w:color w:val="EE0027"/>
          <w:sz w:val="20"/>
        </w:rPr>
        <w:t>Outstanding Equity Awards at 2022 Fiscal Year-End</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shows the number of stock options and stock awards held by the NEOs on December 31, 2022:</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96"/>
        <w:gridCol w:w="726"/>
        <w:gridCol w:w="1109"/>
        <w:gridCol w:w="1291"/>
        <w:gridCol w:w="1080"/>
        <w:gridCol w:w="708"/>
        <w:gridCol w:w="822"/>
        <w:gridCol w:w="60"/>
        <w:gridCol w:w="726"/>
        <w:gridCol w:w="776"/>
        <w:gridCol w:w="994"/>
        <w:gridCol w:w="1117"/>
      </w:tblGrid>
      <w:tr>
        <w:trPr/>
        <w:tc>
          <w:tcPr>
            <w:tcW w:w="796" w:type="dxa"/>
            <w:tcBorders/>
            <w:shd w:fill="EE0027" w:val="clear"/>
            <w:vAlign w:val="center"/>
          </w:tcPr>
          <w:p>
            <w:pPr>
              <w:pStyle w:val="TableContents"/>
              <w:spacing w:before="0" w:after="283"/>
              <w:jc w:val="center"/>
              <w:rPr/>
            </w:pPr>
            <w:r>
              <w:rPr/>
              <w:t> </w:t>
            </w:r>
          </w:p>
        </w:tc>
        <w:tc>
          <w:tcPr>
            <w:tcW w:w="726" w:type="dxa"/>
            <w:tcBorders/>
            <w:shd w:fill="EE0027" w:val="clear"/>
            <w:vAlign w:val="center"/>
          </w:tcPr>
          <w:p>
            <w:pPr>
              <w:pStyle w:val="TableContents"/>
              <w:spacing w:before="0" w:after="283"/>
              <w:jc w:val="center"/>
              <w:rPr/>
            </w:pPr>
            <w:r>
              <w:rPr/>
              <w:t> </w:t>
            </w:r>
          </w:p>
        </w:tc>
        <w:tc>
          <w:tcPr>
            <w:tcW w:w="5010" w:type="dxa"/>
            <w:gridSpan w:val="5"/>
            <w:tcBorders/>
            <w:shd w:fill="EE0027" w:val="clear"/>
            <w:vAlign w:val="center"/>
          </w:tcPr>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OPTION AWARDS</w:t>
            </w:r>
          </w:p>
        </w:tc>
        <w:tc>
          <w:tcPr>
            <w:tcW w:w="60" w:type="dxa"/>
            <w:tcBorders/>
            <w:shd w:fill="EE0027" w:val="clear"/>
            <w:vAlign w:val="center"/>
          </w:tcPr>
          <w:p>
            <w:pPr>
              <w:pStyle w:val="TableContents"/>
              <w:spacing w:before="0" w:after="283"/>
              <w:jc w:val="center"/>
              <w:rPr/>
            </w:pPr>
            <w:r>
              <w:rPr/>
              <w:t> </w:t>
            </w:r>
          </w:p>
        </w:tc>
        <w:tc>
          <w:tcPr>
            <w:tcW w:w="3613" w:type="dxa"/>
            <w:gridSpan w:val="4"/>
            <w:tcBorders/>
            <w:shd w:fill="EE0027" w:val="clear"/>
            <w:vAlign w:val="center"/>
          </w:tcPr>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AWARDS</w:t>
            </w:r>
          </w:p>
        </w:tc>
      </w:tr>
      <w:tr>
        <w:trPr/>
        <w:tc>
          <w:tcPr>
            <w:tcW w:w="796"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726"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Grant Date</w:t>
            </w:r>
          </w:p>
        </w:tc>
        <w:tc>
          <w:tcPr>
            <w:tcW w:w="1109" w:type="dxa"/>
            <w:tcBorders>
              <w:top w:val="single" w:sz="8" w:space="0" w:color="FFFFFF"/>
            </w:tcBorders>
            <w:shd w:fill="EE0027" w:val="clear"/>
            <w:tcMar>
              <w:top w:w="60" w:type="dxa"/>
            </w:tcMar>
            <w:vAlign w:val="center"/>
          </w:tcPr>
          <w:p>
            <w:pPr>
              <w:pStyle w:val="TableContents"/>
              <w:spacing w:lineRule="auto" w:line="240"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Number of </w:t>
              <w:br/>
              <w:t xml:space="preserve">Securities </w:t>
              <w:br/>
              <w:t xml:space="preserve">Underlying </w:t>
              <w:br/>
              <w:t xml:space="preserve">Unexercised </w:t>
              <w:br/>
              <w:t xml:space="preserve">Options (#) </w:t>
              <w:br/>
              <w:t>Exercisable (1)</w:t>
            </w:r>
          </w:p>
        </w:tc>
        <w:tc>
          <w:tcPr>
            <w:tcW w:w="1291" w:type="dxa"/>
            <w:tcBorders>
              <w:top w:val="single" w:sz="8" w:space="0" w:color="FFFFFF"/>
            </w:tcBorders>
            <w:shd w:fill="EE0027" w:val="clear"/>
            <w:tcMar>
              <w:top w:w="60" w:type="dxa"/>
            </w:tcMar>
            <w:vAlign w:val="center"/>
          </w:tcPr>
          <w:p>
            <w:pPr>
              <w:pStyle w:val="TableContents"/>
              <w:spacing w:lineRule="auto" w:line="240"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Number of </w:t>
              <w:br/>
              <w:t xml:space="preserve">Securities </w:t>
              <w:br/>
              <w:t xml:space="preserve">Underlying </w:t>
              <w:br/>
              <w:t xml:space="preserve">Unexercised </w:t>
              <w:br/>
              <w:t xml:space="preserve">Options(#) </w:t>
              <w:br/>
              <w:t>Unexercisable (1)</w:t>
            </w:r>
          </w:p>
        </w:tc>
        <w:tc>
          <w:tcPr>
            <w:tcW w:w="1080" w:type="dxa"/>
            <w:tcBorders>
              <w:top w:val="single" w:sz="8" w:space="0" w:color="FFFFFF"/>
            </w:tcBorders>
            <w:shd w:fill="EE0027" w:val="clear"/>
            <w:tcMar>
              <w:top w:w="60" w:type="dxa"/>
            </w:tcMar>
            <w:vAlign w:val="center"/>
          </w:tcPr>
          <w:p>
            <w:pPr>
              <w:pStyle w:val="TableContents"/>
              <w:spacing w:lineRule="auto" w:line="240"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Equity </w:t>
              <w:br/>
              <w:t xml:space="preserve">Incentive </w:t>
              <w:br/>
              <w:t xml:space="preserve">Plan Awards: </w:t>
              <w:br/>
              <w:t xml:space="preserve">Number of </w:t>
              <w:br/>
              <w:t xml:space="preserve">Securities </w:t>
              <w:br/>
              <w:t xml:space="preserve">Underlying </w:t>
              <w:br/>
              <w:t xml:space="preserve">Unexercised </w:t>
              <w:br/>
              <w:t xml:space="preserve">Unearned </w:t>
              <w:br/>
              <w:t>Options (#)(2)</w:t>
            </w:r>
          </w:p>
        </w:tc>
        <w:tc>
          <w:tcPr>
            <w:tcW w:w="708" w:type="dxa"/>
            <w:tcBorders>
              <w:top w:val="single" w:sz="8" w:space="0" w:color="FFFFFF"/>
            </w:tcBorders>
            <w:shd w:fill="EE0027" w:val="clear"/>
            <w:tcMar>
              <w:top w:w="60" w:type="dxa"/>
            </w:tcMar>
            <w:vAlign w:val="center"/>
          </w:tcPr>
          <w:p>
            <w:pPr>
              <w:pStyle w:val="TableContents"/>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Option </w:t>
              <w:br/>
              <w:t xml:space="preserve">Exercise </w:t>
              <w:br/>
              <w:t>Price</w:t>
            </w:r>
          </w:p>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w:t>
            </w:r>
          </w:p>
        </w:tc>
        <w:tc>
          <w:tcPr>
            <w:tcW w:w="822" w:type="dxa"/>
            <w:tcBorders>
              <w:top w:val="single" w:sz="8" w:space="0" w:color="FFFFFF"/>
            </w:tcBorders>
            <w:shd w:fill="EE0027" w:val="clear"/>
            <w:tcMar>
              <w:top w:w="60" w:type="dxa"/>
            </w:tcMar>
            <w:vAlign w:val="center"/>
          </w:tcPr>
          <w:p>
            <w:pPr>
              <w:pStyle w:val="TableContents"/>
              <w:spacing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Option </w:t>
            </w:r>
            <w:r>
              <w:rPr>
                <w:rFonts w:ascii="Arial;Helvetica;Sans-Serif" w:hAnsi="Arial;Helvetica;Sans-Serif"/>
                <w:b w:val="false"/>
                <w:i w:val="false"/>
                <w:caps w:val="false"/>
                <w:smallCaps w:val="false"/>
                <w:color w:val="FFFFFF"/>
                <w:spacing w:val="-3"/>
                <w:sz w:val="16"/>
              </w:rPr>
              <w:br/>
            </w:r>
            <w:r>
              <w:rPr>
                <w:rFonts w:ascii="Arial;Helvetica;Sans-Serif" w:hAnsi="Arial;Helvetica;Sans-Serif"/>
                <w:b/>
                <w:i w:val="false"/>
                <w:caps w:val="false"/>
                <w:smallCaps w:val="false"/>
                <w:color w:val="FFFFFF"/>
                <w:spacing w:val="-4"/>
                <w:sz w:val="16"/>
              </w:rPr>
              <w:t xml:space="preserve">Expiration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3"/>
                <w:sz w:val="16"/>
              </w:rPr>
              <w:t>Date</w:t>
            </w:r>
          </w:p>
        </w:tc>
        <w:tc>
          <w:tcPr>
            <w:tcW w:w="60" w:type="dxa"/>
            <w:tcBorders/>
            <w:shd w:fill="EE0027" w:val="clear"/>
            <w:vAlign w:val="center"/>
          </w:tcPr>
          <w:p>
            <w:pPr>
              <w:pStyle w:val="TableContents"/>
              <w:spacing w:before="0" w:after="283"/>
              <w:jc w:val="left"/>
              <w:rPr/>
            </w:pPr>
            <w:r>
              <w:rPr/>
              <w:t> </w:t>
            </w:r>
          </w:p>
        </w:tc>
        <w:tc>
          <w:tcPr>
            <w:tcW w:w="726"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Number </w:t>
            </w:r>
            <w:r>
              <w:rPr>
                <w:rFonts w:ascii="Arial;Helvetica;Sans-Serif" w:hAnsi="Arial;Helvetica;Sans-Serif"/>
                <w:b w:val="false"/>
                <w:i w:val="false"/>
                <w:caps w:val="false"/>
                <w:smallCaps w:val="false"/>
                <w:color w:val="FFFFFF"/>
                <w:spacing w:val="-3"/>
                <w:sz w:val="16"/>
              </w:rPr>
              <w:br/>
            </w:r>
            <w:r>
              <w:rPr>
                <w:rFonts w:ascii="Arial;Helvetica;Sans-Serif" w:hAnsi="Arial;Helvetica;Sans-Serif"/>
                <w:b/>
                <w:i w:val="false"/>
                <w:caps w:val="false"/>
                <w:smallCaps w:val="false"/>
                <w:color w:val="FFFFFF"/>
                <w:sz w:val="16"/>
              </w:rPr>
              <w:t xml:space="preserve">of </w:t>
            </w:r>
            <w:r>
              <w:rPr>
                <w:rFonts w:ascii="Arial;Helvetica;Sans-Serif" w:hAnsi="Arial;Helvetica;Sans-Serif"/>
                <w:b/>
                <w:i w:val="false"/>
                <w:caps w:val="false"/>
                <w:smallCaps w:val="false"/>
                <w:color w:val="FFFFFF"/>
                <w:spacing w:val="-7"/>
                <w:sz w:val="16"/>
              </w:rPr>
              <w:t xml:space="preserve">Shares </w:t>
              <w:br/>
            </w:r>
            <w:r>
              <w:rPr>
                <w:rFonts w:ascii="Arial;Helvetica;Sans-Serif" w:hAnsi="Arial;Helvetica;Sans-Serif"/>
                <w:b/>
                <w:i w:val="false"/>
                <w:caps w:val="false"/>
                <w:smallCaps w:val="false"/>
                <w:color w:val="FFFFFF"/>
                <w:sz w:val="16"/>
              </w:rPr>
              <w:t xml:space="preserve">or </w:t>
            </w:r>
            <w:r>
              <w:rPr>
                <w:rFonts w:ascii="Arial;Helvetica;Sans-Serif" w:hAnsi="Arial;Helvetica;Sans-Serif"/>
                <w:b/>
                <w:i w:val="false"/>
                <w:caps w:val="false"/>
                <w:smallCaps w:val="false"/>
                <w:color w:val="FFFFFF"/>
                <w:spacing w:val="-3"/>
                <w:sz w:val="16"/>
              </w:rPr>
              <w:t xml:space="preserve">Units </w:t>
            </w:r>
            <w:r>
              <w:rPr>
                <w:rFonts w:ascii="Arial;Helvetica;Sans-Serif" w:hAnsi="Arial;Helvetica;Sans-Serif"/>
                <w:b/>
                <w:i w:val="false"/>
                <w:caps w:val="false"/>
                <w:smallCaps w:val="false"/>
                <w:color w:val="FFFFFF"/>
                <w:sz w:val="16"/>
              </w:rPr>
              <w:br/>
              <w:t xml:space="preserve">of </w:t>
            </w:r>
            <w:r>
              <w:rPr>
                <w:rFonts w:ascii="Arial;Helvetica;Sans-Serif" w:hAnsi="Arial;Helvetica;Sans-Serif"/>
                <w:b/>
                <w:i w:val="false"/>
                <w:caps w:val="false"/>
                <w:smallCaps w:val="false"/>
                <w:color w:val="FFFFFF"/>
                <w:spacing w:val="-3"/>
                <w:sz w:val="16"/>
              </w:rPr>
              <w:t xml:space="preserve">Stock </w:t>
              <w:br/>
              <w:t xml:space="preserve">that </w:t>
              <w:br/>
              <w:t xml:space="preserve">Have </w:t>
            </w:r>
            <w:r>
              <w:rPr>
                <w:rFonts w:ascii="Arial;Helvetica;Sans-Serif" w:hAnsi="Arial;Helvetica;Sans-Serif"/>
                <w:b/>
                <w:i w:val="false"/>
                <w:caps w:val="false"/>
                <w:smallCaps w:val="false"/>
                <w:color w:val="FFFFFF"/>
                <w:spacing w:val="-7"/>
                <w:sz w:val="16"/>
              </w:rPr>
              <w:t xml:space="preserve">Not </w:t>
            </w:r>
            <w:r>
              <w:rPr>
                <w:rFonts w:ascii="Arial;Helvetica;Sans-Serif" w:hAnsi="Arial;Helvetica;Sans-Serif"/>
                <w:b/>
                <w:i w:val="false"/>
                <w:caps w:val="false"/>
                <w:smallCaps w:val="false"/>
                <w:color w:val="FFFFFF"/>
                <w:spacing w:val="-5"/>
                <w:sz w:val="16"/>
              </w:rPr>
              <w:br/>
              <w:t xml:space="preserve">Vested </w:t>
              <w:br/>
            </w:r>
            <w:r>
              <w:rPr>
                <w:rFonts w:ascii="Arial;Helvetica;Sans-Serif" w:hAnsi="Arial;Helvetica;Sans-Serif"/>
                <w:b/>
                <w:i w:val="false"/>
                <w:caps w:val="false"/>
                <w:smallCaps w:val="false"/>
                <w:color w:val="FFFFFF"/>
                <w:sz w:val="16"/>
              </w:rPr>
              <w:t xml:space="preserve">(#) </w:t>
            </w:r>
            <w:r>
              <w:rPr>
                <w:rFonts w:ascii="Arial;Helvetica;Sans-Serif" w:hAnsi="Arial;Helvetica;Sans-Serif"/>
                <w:b/>
                <w:i w:val="false"/>
                <w:caps w:val="false"/>
                <w:smallCaps w:val="false"/>
                <w:color w:val="FFFFFF"/>
                <w:spacing w:val="-2"/>
                <w:sz w:val="16"/>
              </w:rPr>
              <w:t>(3)</w:t>
            </w:r>
          </w:p>
        </w:tc>
        <w:tc>
          <w:tcPr>
            <w:tcW w:w="776" w:type="dxa"/>
            <w:tcBorders>
              <w:top w:val="single" w:sz="8" w:space="0" w:color="FFFFFF"/>
            </w:tcBorders>
            <w:shd w:fill="EE0027" w:val="clear"/>
            <w:tcMar>
              <w:top w:w="60" w:type="dxa"/>
            </w:tcMar>
            <w:vAlign w:val="center"/>
          </w:tcPr>
          <w:p>
            <w:pPr>
              <w:pStyle w:val="TableContents"/>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Market </w:t>
              <w:br/>
              <w:t xml:space="preserve">Value of </w:t>
              <w:br/>
              <w:t xml:space="preserve">Shares or </w:t>
              <w:br/>
              <w:t xml:space="preserve">Units of </w:t>
              <w:br/>
              <w:t xml:space="preserve">Stock that </w:t>
              <w:br/>
              <w:t xml:space="preserve">Have Not </w:t>
              <w:br/>
              <w:t>Vested</w:t>
            </w:r>
          </w:p>
          <w:p>
            <w:pPr>
              <w:pStyle w:val="TableContents"/>
              <w:spacing w:lineRule="auto" w:line="240"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(4)</w:t>
            </w:r>
          </w:p>
        </w:tc>
        <w:tc>
          <w:tcPr>
            <w:tcW w:w="994" w:type="dxa"/>
            <w:tcBorders>
              <w:top w:val="single" w:sz="8" w:space="0" w:color="FFFFFF"/>
            </w:tcBorders>
            <w:shd w:fill="EE0027" w:val="clear"/>
            <w:tcMar>
              <w:top w:w="60" w:type="dxa"/>
            </w:tcMar>
            <w:vAlign w:val="center"/>
          </w:tcPr>
          <w:p>
            <w:pPr>
              <w:pStyle w:val="TableContents"/>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Vested (#)</w:t>
            </w:r>
          </w:p>
        </w:tc>
        <w:tc>
          <w:tcPr>
            <w:tcW w:w="1117" w:type="dxa"/>
            <w:tcBorders>
              <w:top w:val="single" w:sz="8" w:space="0" w:color="FFFFFF"/>
            </w:tcBorders>
            <w:shd w:fill="EE0027" w:val="clear"/>
            <w:tcMar>
              <w:top w:w="60" w:type="dxa"/>
            </w:tcMar>
            <w:vAlign w:val="center"/>
          </w:tcPr>
          <w:p>
            <w:pPr>
              <w:pStyle w:val="TableContents"/>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Equity </w:t>
              <w:br/>
              <w:t xml:space="preserve">Incentive </w:t>
              <w:br/>
              <w:t xml:space="preserve">Plan </w:t>
            </w:r>
            <w:r>
              <w:rPr>
                <w:rFonts w:ascii="Arial;Helvetica;Sans-Serif" w:hAnsi="Arial;Helvetica;Sans-Serif"/>
                <w:b/>
                <w:i w:val="false"/>
                <w:caps w:val="false"/>
                <w:smallCaps w:val="false"/>
                <w:color w:val="FFFFFF"/>
                <w:spacing w:val="-5"/>
                <w:sz w:val="16"/>
              </w:rPr>
              <w:t xml:space="preserve">Awards: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4"/>
                <w:sz w:val="16"/>
              </w:rPr>
              <w:t xml:space="preserve">Market </w:t>
            </w:r>
            <w:r>
              <w:rPr>
                <w:rFonts w:ascii="Arial;Helvetica;Sans-Serif" w:hAnsi="Arial;Helvetica;Sans-Serif"/>
                <w:b/>
                <w:i w:val="false"/>
                <w:caps w:val="false"/>
                <w:smallCaps w:val="false"/>
                <w:color w:val="FFFFFF"/>
                <w:spacing w:val="-3"/>
                <w:sz w:val="16"/>
              </w:rPr>
              <w:t xml:space="preserve">or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4"/>
                <w:sz w:val="16"/>
              </w:rPr>
              <w:t xml:space="preserve">Payout </w:t>
            </w:r>
            <w:r>
              <w:rPr>
                <w:rFonts w:ascii="Arial;Helvetica;Sans-Serif" w:hAnsi="Arial;Helvetica;Sans-Serif"/>
                <w:b/>
                <w:i w:val="false"/>
                <w:caps w:val="false"/>
                <w:smallCaps w:val="false"/>
                <w:color w:val="FFFFFF"/>
                <w:spacing w:val="-9"/>
                <w:sz w:val="16"/>
              </w:rPr>
              <w:t xml:space="preserve">Value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z w:val="16"/>
              </w:rPr>
              <w:t xml:space="preserve">of </w:t>
            </w:r>
            <w:r>
              <w:rPr>
                <w:rFonts w:ascii="Arial;Helvetica;Sans-Serif" w:hAnsi="Arial;Helvetica;Sans-Serif"/>
                <w:b/>
                <w:i w:val="false"/>
                <w:caps w:val="false"/>
                <w:smallCaps w:val="false"/>
                <w:color w:val="FFFFFF"/>
                <w:spacing w:val="-4"/>
                <w:sz w:val="16"/>
              </w:rPr>
              <w:t xml:space="preserve">Unearned </w:t>
              <w:br/>
            </w:r>
            <w:r>
              <w:rPr>
                <w:rFonts w:ascii="Arial;Helvetica;Sans-Serif" w:hAnsi="Arial;Helvetica;Sans-Serif"/>
                <w:b/>
                <w:i w:val="false"/>
                <w:caps w:val="false"/>
                <w:smallCaps w:val="false"/>
                <w:color w:val="FFFFFF"/>
                <w:spacing w:val="-3"/>
                <w:sz w:val="16"/>
              </w:rPr>
              <w:t>Shares, Units</w:t>
            </w:r>
          </w:p>
          <w:p>
            <w:pPr>
              <w:pStyle w:val="TableContents"/>
              <w:spacing w:lineRule="auto" w:line="240"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or Other Rights </w:t>
              <w:br/>
              <w:t xml:space="preserve">that Have Not </w:t>
              <w:br/>
              <w:t>Vested ($) (4)</w:t>
            </w:r>
          </w:p>
        </w:tc>
      </w:tr>
      <w:tr>
        <w:trPr/>
        <w:tc>
          <w:tcPr>
            <w:tcW w:w="796" w:type="dxa"/>
            <w:vMerge w:val="restart"/>
            <w:tcBorders/>
            <w:shd w:fill="auto" w:val="clear"/>
            <w:vAlign w:val="center"/>
          </w:tcPr>
          <w:p>
            <w:pPr>
              <w:pStyle w:val="TableContents"/>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Ronald F.</w:t>
            </w:r>
          </w:p>
          <w:p>
            <w:pPr>
              <w:pStyle w:val="TableContents"/>
              <w:spacing w:before="0" w:after="283"/>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Clarke</w:t>
            </w:r>
          </w:p>
        </w:tc>
        <w:tc>
          <w:tcPr>
            <w:tcW w:w="72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12/4/2014</w:t>
            </w:r>
          </w:p>
        </w:tc>
        <w:tc>
          <w:tcPr>
            <w:tcW w:w="110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850,000</w:t>
            </w:r>
          </w:p>
        </w:tc>
        <w:tc>
          <w:tcPr>
            <w:tcW w:w="1291" w:type="dxa"/>
            <w:tcBorders/>
            <w:shd w:fill="auto" w:val="clear"/>
            <w:vAlign w:val="center"/>
          </w:tcPr>
          <w:p>
            <w:pPr>
              <w:pStyle w:val="TableContents"/>
              <w:spacing w:before="0" w:after="283"/>
              <w:jc w:val="left"/>
              <w:rPr>
                <w:color w:val="58595B"/>
              </w:rPr>
            </w:pPr>
            <w:r>
              <w:rPr>
                <w:color w:val="58595B"/>
              </w:rPr>
              <w:t>—</w:t>
            </w:r>
          </w:p>
        </w:tc>
        <w:tc>
          <w:tcPr>
            <w:tcW w:w="1080" w:type="dxa"/>
            <w:tcBorders/>
            <w:shd w:fill="auto" w:val="clear"/>
            <w:vAlign w:val="center"/>
          </w:tcPr>
          <w:p>
            <w:pPr>
              <w:pStyle w:val="TableContents"/>
              <w:spacing w:before="0" w:after="283"/>
              <w:jc w:val="left"/>
              <w:rPr>
                <w:color w:val="58595B"/>
              </w:rPr>
            </w:pPr>
            <w:r>
              <w:rPr>
                <w:color w:val="58595B"/>
              </w:rPr>
              <w:t>—</w:t>
            </w:r>
          </w:p>
        </w:tc>
        <w:tc>
          <w:tcPr>
            <w:tcW w:w="70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$149.68</w:t>
            </w:r>
          </w:p>
        </w:tc>
        <w:tc>
          <w:tcPr>
            <w:tcW w:w="82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12/4/2024</w:t>
            </w:r>
          </w:p>
        </w:tc>
        <w:tc>
          <w:tcPr>
            <w:tcW w:w="60" w:type="dxa"/>
            <w:tcBorders/>
            <w:shd w:fill="auto" w:val="clear"/>
            <w:vAlign w:val="center"/>
          </w:tcPr>
          <w:p>
            <w:pPr>
              <w:pStyle w:val="TableContents"/>
              <w:spacing w:before="0" w:after="283"/>
              <w:jc w:val="left"/>
              <w:rPr/>
            </w:pPr>
            <w:r>
              <w:rPr/>
              <w:t> </w:t>
            </w:r>
          </w:p>
        </w:tc>
        <w:tc>
          <w:tcPr>
            <w:tcW w:w="726" w:type="dxa"/>
            <w:tcBorders/>
            <w:shd w:fill="auto" w:val="clear"/>
            <w:vAlign w:val="center"/>
          </w:tcPr>
          <w:p>
            <w:pPr>
              <w:pStyle w:val="TableContents"/>
              <w:spacing w:before="0" w:after="283"/>
              <w:jc w:val="left"/>
              <w:rPr>
                <w:color w:val="58595B"/>
              </w:rPr>
            </w:pPr>
            <w:r>
              <w:rPr>
                <w:color w:val="58595B"/>
              </w:rPr>
              <w:t>—</w:t>
            </w:r>
          </w:p>
        </w:tc>
        <w:tc>
          <w:tcPr>
            <w:tcW w:w="776" w:type="dxa"/>
            <w:tcBorders/>
            <w:shd w:fill="auto" w:val="clear"/>
            <w:vAlign w:val="center"/>
          </w:tcPr>
          <w:p>
            <w:pPr>
              <w:pStyle w:val="TableContents"/>
              <w:spacing w:before="0" w:after="283"/>
              <w:jc w:val="left"/>
              <w:rPr>
                <w:color w:val="58595B"/>
              </w:rPr>
            </w:pPr>
            <w:r>
              <w:rPr>
                <w:color w:val="58595B"/>
              </w:rPr>
              <w:t>—</w:t>
            </w:r>
          </w:p>
        </w:tc>
        <w:tc>
          <w:tcPr>
            <w:tcW w:w="994" w:type="dxa"/>
            <w:tcBorders/>
            <w:shd w:fill="auto" w:val="clear"/>
            <w:vAlign w:val="center"/>
          </w:tcPr>
          <w:p>
            <w:pPr>
              <w:pStyle w:val="TableContents"/>
              <w:spacing w:before="0" w:after="283"/>
              <w:jc w:val="left"/>
              <w:rPr>
                <w:color w:val="58595B"/>
              </w:rPr>
            </w:pPr>
            <w:r>
              <w:rPr>
                <w:color w:val="58595B"/>
              </w:rPr>
              <w:t>—</w:t>
            </w:r>
          </w:p>
        </w:tc>
        <w:tc>
          <w:tcPr>
            <w:tcW w:w="1117" w:type="dxa"/>
            <w:tcBorders/>
            <w:shd w:fill="auto" w:val="clear"/>
            <w:vAlign w:val="center"/>
          </w:tcPr>
          <w:p>
            <w:pPr>
              <w:pStyle w:val="TableContents"/>
              <w:spacing w:before="0" w:after="283"/>
              <w:jc w:val="left"/>
              <w:rPr>
                <w:color w:val="58595B"/>
              </w:rPr>
            </w:pPr>
            <w:r>
              <w:rPr>
                <w:color w:val="58595B"/>
              </w:rPr>
              <w:t>—</w:t>
            </w:r>
          </w:p>
        </w:tc>
      </w:tr>
      <w:tr>
        <w:trPr/>
        <w:tc>
          <w:tcPr>
            <w:tcW w:w="796" w:type="dxa"/>
            <w:vMerge w:val="continue"/>
            <w:tcBorders/>
            <w:shd w:fill="auto" w:val="clear"/>
            <w:vAlign w:val="center"/>
          </w:tcPr>
          <w:p>
            <w:pPr>
              <w:pStyle w:val="Normal"/>
              <w:rPr/>
            </w:pPr>
            <w:r>
              <w:rPr/>
            </w:r>
          </w:p>
        </w:tc>
        <w:tc>
          <w:tcPr>
            <w:tcW w:w="72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1/20/2016</w:t>
            </w:r>
          </w:p>
        </w:tc>
        <w:tc>
          <w:tcPr>
            <w:tcW w:w="110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425,000</w:t>
            </w:r>
          </w:p>
        </w:tc>
        <w:tc>
          <w:tcPr>
            <w:tcW w:w="1291" w:type="dxa"/>
            <w:tcBorders/>
            <w:shd w:fill="auto" w:val="clear"/>
            <w:vAlign w:val="center"/>
          </w:tcPr>
          <w:p>
            <w:pPr>
              <w:pStyle w:val="TableContents"/>
              <w:spacing w:before="0" w:after="283"/>
              <w:jc w:val="left"/>
              <w:rPr>
                <w:color w:val="58595B"/>
              </w:rPr>
            </w:pPr>
            <w:r>
              <w:rPr>
                <w:color w:val="58595B"/>
              </w:rPr>
              <w:t>—</w:t>
            </w:r>
          </w:p>
        </w:tc>
        <w:tc>
          <w:tcPr>
            <w:tcW w:w="1080" w:type="dxa"/>
            <w:tcBorders/>
            <w:shd w:fill="auto" w:val="clear"/>
            <w:vAlign w:val="center"/>
          </w:tcPr>
          <w:p>
            <w:pPr>
              <w:pStyle w:val="TableContents"/>
              <w:spacing w:before="0" w:after="283"/>
              <w:jc w:val="left"/>
              <w:rPr>
                <w:color w:val="58595B"/>
              </w:rPr>
            </w:pPr>
            <w:r>
              <w:rPr>
                <w:color w:val="58595B"/>
              </w:rPr>
              <w:t>—</w:t>
            </w:r>
          </w:p>
        </w:tc>
        <w:tc>
          <w:tcPr>
            <w:tcW w:w="70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$114.90</w:t>
            </w:r>
          </w:p>
        </w:tc>
        <w:tc>
          <w:tcPr>
            <w:tcW w:w="82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1/20/2026</w:t>
            </w:r>
          </w:p>
        </w:tc>
        <w:tc>
          <w:tcPr>
            <w:tcW w:w="60" w:type="dxa"/>
            <w:tcBorders/>
            <w:shd w:fill="auto" w:val="clear"/>
            <w:vAlign w:val="center"/>
          </w:tcPr>
          <w:p>
            <w:pPr>
              <w:pStyle w:val="TableContents"/>
              <w:spacing w:before="0" w:after="283"/>
              <w:jc w:val="left"/>
              <w:rPr/>
            </w:pPr>
            <w:r>
              <w:rPr/>
              <w:t> </w:t>
            </w:r>
          </w:p>
        </w:tc>
        <w:tc>
          <w:tcPr>
            <w:tcW w:w="726" w:type="dxa"/>
            <w:tcBorders/>
            <w:shd w:fill="auto" w:val="clear"/>
            <w:vAlign w:val="center"/>
          </w:tcPr>
          <w:p>
            <w:pPr>
              <w:pStyle w:val="TableContents"/>
              <w:spacing w:before="0" w:after="283"/>
              <w:jc w:val="left"/>
              <w:rPr>
                <w:color w:val="58595B"/>
              </w:rPr>
            </w:pPr>
            <w:r>
              <w:rPr>
                <w:color w:val="58595B"/>
              </w:rPr>
              <w:t>—</w:t>
            </w:r>
          </w:p>
        </w:tc>
        <w:tc>
          <w:tcPr>
            <w:tcW w:w="776" w:type="dxa"/>
            <w:tcBorders/>
            <w:shd w:fill="auto" w:val="clear"/>
            <w:vAlign w:val="center"/>
          </w:tcPr>
          <w:p>
            <w:pPr>
              <w:pStyle w:val="TableContents"/>
              <w:spacing w:before="0" w:after="283"/>
              <w:jc w:val="left"/>
              <w:rPr>
                <w:color w:val="58595B"/>
              </w:rPr>
            </w:pPr>
            <w:r>
              <w:rPr>
                <w:color w:val="58595B"/>
              </w:rPr>
              <w:t>—</w:t>
            </w:r>
          </w:p>
        </w:tc>
        <w:tc>
          <w:tcPr>
            <w:tcW w:w="994" w:type="dxa"/>
            <w:tcBorders/>
            <w:shd w:fill="auto" w:val="clear"/>
            <w:vAlign w:val="center"/>
          </w:tcPr>
          <w:p>
            <w:pPr>
              <w:pStyle w:val="TableContents"/>
              <w:spacing w:before="0" w:after="283"/>
              <w:jc w:val="left"/>
              <w:rPr>
                <w:color w:val="58595B"/>
              </w:rPr>
            </w:pPr>
            <w:r>
              <w:rPr>
                <w:color w:val="58595B"/>
              </w:rPr>
              <w:t>—</w:t>
            </w:r>
          </w:p>
        </w:tc>
        <w:tc>
          <w:tcPr>
            <w:tcW w:w="1117" w:type="dxa"/>
            <w:tcBorders/>
            <w:shd w:fill="auto" w:val="clear"/>
            <w:vAlign w:val="center"/>
          </w:tcPr>
          <w:p>
            <w:pPr>
              <w:pStyle w:val="TableContents"/>
              <w:spacing w:before="0" w:after="283"/>
              <w:jc w:val="left"/>
              <w:rPr>
                <w:color w:val="58595B"/>
              </w:rPr>
            </w:pPr>
            <w:r>
              <w:rPr>
                <w:color w:val="58595B"/>
              </w:rPr>
              <w:t>—</w:t>
            </w:r>
          </w:p>
        </w:tc>
      </w:tr>
      <w:tr>
        <w:trPr/>
        <w:tc>
          <w:tcPr>
            <w:tcW w:w="796" w:type="dxa"/>
            <w:vMerge w:val="continue"/>
            <w:tcBorders/>
            <w:shd w:fill="auto" w:val="clear"/>
            <w:vAlign w:val="center"/>
          </w:tcPr>
          <w:p>
            <w:pPr>
              <w:pStyle w:val="Normal"/>
              <w:rPr/>
            </w:pPr>
            <w:r>
              <w:rPr/>
            </w:r>
          </w:p>
        </w:tc>
        <w:tc>
          <w:tcPr>
            <w:tcW w:w="72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1/25/2017</w:t>
            </w:r>
          </w:p>
        </w:tc>
        <w:tc>
          <w:tcPr>
            <w:tcW w:w="110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850,000</w:t>
            </w:r>
          </w:p>
        </w:tc>
        <w:tc>
          <w:tcPr>
            <w:tcW w:w="1291" w:type="dxa"/>
            <w:tcBorders/>
            <w:shd w:fill="auto" w:val="clear"/>
            <w:vAlign w:val="center"/>
          </w:tcPr>
          <w:p>
            <w:pPr>
              <w:pStyle w:val="TableContents"/>
              <w:spacing w:before="0" w:after="283"/>
              <w:jc w:val="left"/>
              <w:rPr>
                <w:color w:val="58595B"/>
              </w:rPr>
            </w:pPr>
            <w:r>
              <w:rPr>
                <w:color w:val="58595B"/>
              </w:rPr>
              <w:t>—</w:t>
            </w:r>
          </w:p>
        </w:tc>
        <w:tc>
          <w:tcPr>
            <w:tcW w:w="1080" w:type="dxa"/>
            <w:tcBorders/>
            <w:shd w:fill="auto" w:val="clear"/>
            <w:vAlign w:val="center"/>
          </w:tcPr>
          <w:p>
            <w:pPr>
              <w:pStyle w:val="TableContents"/>
              <w:spacing w:before="0" w:after="283"/>
              <w:jc w:val="left"/>
              <w:rPr>
                <w:color w:val="58595B"/>
              </w:rPr>
            </w:pPr>
            <w:r>
              <w:rPr>
                <w:color w:val="58595B"/>
              </w:rPr>
              <w:t>—</w:t>
            </w:r>
          </w:p>
        </w:tc>
        <w:tc>
          <w:tcPr>
            <w:tcW w:w="70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$150.74</w:t>
            </w:r>
          </w:p>
        </w:tc>
        <w:tc>
          <w:tcPr>
            <w:tcW w:w="82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1/25/2027</w:t>
            </w:r>
          </w:p>
        </w:tc>
        <w:tc>
          <w:tcPr>
            <w:tcW w:w="60" w:type="dxa"/>
            <w:tcBorders/>
            <w:shd w:fill="auto" w:val="clear"/>
            <w:vAlign w:val="center"/>
          </w:tcPr>
          <w:p>
            <w:pPr>
              <w:pStyle w:val="TableContents"/>
              <w:spacing w:before="0" w:after="283"/>
              <w:jc w:val="left"/>
              <w:rPr/>
            </w:pPr>
            <w:r>
              <w:rPr/>
              <w:t> </w:t>
            </w:r>
          </w:p>
        </w:tc>
        <w:tc>
          <w:tcPr>
            <w:tcW w:w="726" w:type="dxa"/>
            <w:tcBorders/>
            <w:shd w:fill="auto" w:val="clear"/>
            <w:vAlign w:val="center"/>
          </w:tcPr>
          <w:p>
            <w:pPr>
              <w:pStyle w:val="TableContents"/>
              <w:spacing w:before="0" w:after="283"/>
              <w:jc w:val="left"/>
              <w:rPr>
                <w:color w:val="58595B"/>
              </w:rPr>
            </w:pPr>
            <w:r>
              <w:rPr>
                <w:color w:val="58595B"/>
              </w:rPr>
              <w:t>—</w:t>
            </w:r>
          </w:p>
        </w:tc>
        <w:tc>
          <w:tcPr>
            <w:tcW w:w="776" w:type="dxa"/>
            <w:tcBorders/>
            <w:shd w:fill="auto" w:val="clear"/>
            <w:vAlign w:val="center"/>
          </w:tcPr>
          <w:p>
            <w:pPr>
              <w:pStyle w:val="TableContents"/>
              <w:spacing w:before="0" w:after="283"/>
              <w:jc w:val="left"/>
              <w:rPr>
                <w:color w:val="58595B"/>
              </w:rPr>
            </w:pPr>
            <w:r>
              <w:rPr>
                <w:color w:val="58595B"/>
              </w:rPr>
              <w:t>—</w:t>
            </w:r>
          </w:p>
        </w:tc>
        <w:tc>
          <w:tcPr>
            <w:tcW w:w="994" w:type="dxa"/>
            <w:tcBorders/>
            <w:shd w:fill="auto" w:val="clear"/>
            <w:vAlign w:val="center"/>
          </w:tcPr>
          <w:p>
            <w:pPr>
              <w:pStyle w:val="TableContents"/>
              <w:spacing w:before="0" w:after="283"/>
              <w:jc w:val="left"/>
              <w:rPr>
                <w:color w:val="58595B"/>
              </w:rPr>
            </w:pPr>
            <w:r>
              <w:rPr>
                <w:color w:val="58595B"/>
              </w:rPr>
              <w:t>—</w:t>
            </w:r>
          </w:p>
        </w:tc>
        <w:tc>
          <w:tcPr>
            <w:tcW w:w="1117" w:type="dxa"/>
            <w:tcBorders/>
            <w:shd w:fill="auto" w:val="clear"/>
            <w:vAlign w:val="center"/>
          </w:tcPr>
          <w:p>
            <w:pPr>
              <w:pStyle w:val="TableContents"/>
              <w:spacing w:before="0" w:after="283"/>
              <w:jc w:val="left"/>
              <w:rPr>
                <w:color w:val="58595B"/>
              </w:rPr>
            </w:pPr>
            <w:r>
              <w:rPr>
                <w:color w:val="58595B"/>
              </w:rPr>
              <w:t>—</w:t>
            </w:r>
          </w:p>
        </w:tc>
      </w:tr>
      <w:tr>
        <w:trPr/>
        <w:tc>
          <w:tcPr>
            <w:tcW w:w="796" w:type="dxa"/>
            <w:vMerge w:val="continue"/>
            <w:tcBorders/>
            <w:shd w:fill="auto" w:val="clear"/>
            <w:vAlign w:val="center"/>
          </w:tcPr>
          <w:p>
            <w:pPr>
              <w:pStyle w:val="Normal"/>
              <w:rPr/>
            </w:pPr>
            <w:r>
              <w:rPr/>
            </w:r>
          </w:p>
        </w:tc>
        <w:tc>
          <w:tcPr>
            <w:tcW w:w="72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9/30/2021</w:t>
            </w:r>
          </w:p>
        </w:tc>
        <w:tc>
          <w:tcPr>
            <w:tcW w:w="1109" w:type="dxa"/>
            <w:tcBorders/>
            <w:shd w:fill="auto" w:val="clear"/>
            <w:vAlign w:val="center"/>
          </w:tcPr>
          <w:p>
            <w:pPr>
              <w:pStyle w:val="TableContents"/>
              <w:spacing w:before="0" w:after="283"/>
              <w:jc w:val="left"/>
              <w:rPr>
                <w:color w:val="58595B"/>
              </w:rPr>
            </w:pPr>
            <w:r>
              <w:rPr>
                <w:color w:val="58595B"/>
              </w:rPr>
              <w:t>—</w:t>
            </w:r>
          </w:p>
        </w:tc>
        <w:tc>
          <w:tcPr>
            <w:tcW w:w="1291" w:type="dxa"/>
            <w:tcBorders/>
            <w:shd w:fill="auto" w:val="clear"/>
            <w:vAlign w:val="center"/>
          </w:tcPr>
          <w:p>
            <w:pPr>
              <w:pStyle w:val="TableContents"/>
              <w:spacing w:before="0" w:after="283"/>
              <w:jc w:val="left"/>
              <w:rPr>
                <w:color w:val="58595B"/>
              </w:rPr>
            </w:pPr>
            <w:r>
              <w:rPr>
                <w:color w:val="58595B"/>
              </w:rPr>
              <w:t>—</w:t>
            </w:r>
          </w:p>
        </w:tc>
        <w:tc>
          <w:tcPr>
            <w:tcW w:w="1080"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850,000</w:t>
            </w:r>
          </w:p>
        </w:tc>
        <w:tc>
          <w:tcPr>
            <w:tcW w:w="70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$261.27</w:t>
            </w:r>
          </w:p>
        </w:tc>
        <w:tc>
          <w:tcPr>
            <w:tcW w:w="82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12/31/2024</w:t>
            </w:r>
          </w:p>
        </w:tc>
        <w:tc>
          <w:tcPr>
            <w:tcW w:w="60" w:type="dxa"/>
            <w:tcBorders/>
            <w:shd w:fill="auto" w:val="clear"/>
            <w:vAlign w:val="center"/>
          </w:tcPr>
          <w:p>
            <w:pPr>
              <w:pStyle w:val="TableContents"/>
              <w:spacing w:before="0" w:after="283"/>
              <w:jc w:val="left"/>
              <w:rPr/>
            </w:pPr>
            <w:r>
              <w:rPr/>
              <w:t> </w:t>
            </w:r>
          </w:p>
        </w:tc>
        <w:tc>
          <w:tcPr>
            <w:tcW w:w="726" w:type="dxa"/>
            <w:tcBorders/>
            <w:shd w:fill="auto" w:val="clear"/>
            <w:vAlign w:val="center"/>
          </w:tcPr>
          <w:p>
            <w:pPr>
              <w:pStyle w:val="TableContents"/>
              <w:spacing w:before="0" w:after="283"/>
              <w:jc w:val="left"/>
              <w:rPr>
                <w:color w:val="58595B"/>
              </w:rPr>
            </w:pPr>
            <w:r>
              <w:rPr>
                <w:color w:val="58595B"/>
              </w:rPr>
              <w:t>—</w:t>
            </w:r>
          </w:p>
        </w:tc>
        <w:tc>
          <w:tcPr>
            <w:tcW w:w="776" w:type="dxa"/>
            <w:tcBorders/>
            <w:shd w:fill="auto" w:val="clear"/>
            <w:vAlign w:val="center"/>
          </w:tcPr>
          <w:p>
            <w:pPr>
              <w:pStyle w:val="TableContents"/>
              <w:spacing w:before="0" w:after="283"/>
              <w:jc w:val="left"/>
              <w:rPr>
                <w:color w:val="58595B"/>
              </w:rPr>
            </w:pPr>
            <w:r>
              <w:rPr>
                <w:color w:val="58595B"/>
              </w:rPr>
              <w:t>—</w:t>
            </w:r>
          </w:p>
        </w:tc>
        <w:tc>
          <w:tcPr>
            <w:tcW w:w="994" w:type="dxa"/>
            <w:tcBorders/>
            <w:shd w:fill="auto" w:val="clear"/>
            <w:vAlign w:val="center"/>
          </w:tcPr>
          <w:p>
            <w:pPr>
              <w:pStyle w:val="TableContents"/>
              <w:spacing w:before="0" w:after="283"/>
              <w:jc w:val="left"/>
              <w:rPr>
                <w:color w:val="58595B"/>
              </w:rPr>
            </w:pPr>
            <w:r>
              <w:rPr>
                <w:color w:val="58595B"/>
              </w:rPr>
              <w:t>—</w:t>
            </w:r>
          </w:p>
        </w:tc>
        <w:tc>
          <w:tcPr>
            <w:tcW w:w="1117" w:type="dxa"/>
            <w:tcBorders/>
            <w:shd w:fill="auto" w:val="clear"/>
            <w:vAlign w:val="center"/>
          </w:tcPr>
          <w:p>
            <w:pPr>
              <w:pStyle w:val="TableContents"/>
              <w:spacing w:before="0" w:after="283"/>
              <w:jc w:val="left"/>
              <w:rPr>
                <w:color w:val="58595B"/>
              </w:rPr>
            </w:pPr>
            <w:r>
              <w:rPr>
                <w:color w:val="58595B"/>
              </w:rPr>
              <w:t>—</w:t>
            </w:r>
          </w:p>
        </w:tc>
      </w:tr>
      <w:tr>
        <w:trPr/>
        <w:tc>
          <w:tcPr>
            <w:tcW w:w="796" w:type="dxa"/>
            <w:vMerge w:val="restart"/>
            <w:tcBorders/>
            <w:shd w:fill="DCDDDE"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 xml:space="preserve">Alissa B. </w:t>
              <w:br/>
              <w:t>Vickery</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10/19/2016</w:t>
            </w:r>
          </w:p>
        </w:tc>
        <w:tc>
          <w:tcPr>
            <w:tcW w:w="110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10,000</w:t>
            </w:r>
          </w:p>
        </w:tc>
        <w:tc>
          <w:tcPr>
            <w:tcW w:w="1291" w:type="dxa"/>
            <w:tcBorders/>
            <w:shd w:fill="DCDDDE" w:val="clear"/>
            <w:vAlign w:val="center"/>
          </w:tcPr>
          <w:p>
            <w:pPr>
              <w:pStyle w:val="TableContents"/>
              <w:spacing w:before="0" w:after="283"/>
              <w:jc w:val="left"/>
              <w:rPr>
                <w:color w:val="58595B"/>
              </w:rPr>
            </w:pPr>
            <w:r>
              <w:rPr>
                <w:color w:val="58595B"/>
              </w:rPr>
              <w:t>—</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$174.35</w:t>
            </w:r>
          </w:p>
        </w:tc>
        <w:tc>
          <w:tcPr>
            <w:tcW w:w="82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10/19/2026</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color w:val="58595B"/>
              </w:rPr>
            </w:pPr>
            <w:r>
              <w:rPr>
                <w:color w:val="58595B"/>
              </w:rPr>
              <w:t>—</w:t>
            </w:r>
          </w:p>
        </w:tc>
        <w:tc>
          <w:tcPr>
            <w:tcW w:w="776" w:type="dxa"/>
            <w:tcBorders/>
            <w:shd w:fill="DCDDDE" w:val="clear"/>
            <w:vAlign w:val="center"/>
          </w:tcPr>
          <w:p>
            <w:pPr>
              <w:pStyle w:val="TableContents"/>
              <w:spacing w:before="0" w:after="283"/>
              <w:jc w:val="left"/>
              <w:rPr>
                <w:color w:val="58595B"/>
              </w:rPr>
            </w:pPr>
            <w:r>
              <w:rPr>
                <w:color w:val="58595B"/>
              </w:rPr>
              <w:t>—</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vMerge w:val="continue"/>
            <w:tcBorders/>
            <w:shd w:fill="DCDDDE" w:val="clear"/>
            <w:vAlign w:val="center"/>
          </w:tcPr>
          <w:p>
            <w:pPr>
              <w:pStyle w:val="Normal"/>
              <w:rPr/>
            </w:pPr>
            <w:r>
              <w:rPr/>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1/25/2017</w:t>
            </w:r>
          </w:p>
        </w:tc>
        <w:tc>
          <w:tcPr>
            <w:tcW w:w="110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2,000</w:t>
            </w:r>
          </w:p>
        </w:tc>
        <w:tc>
          <w:tcPr>
            <w:tcW w:w="1291" w:type="dxa"/>
            <w:tcBorders/>
            <w:shd w:fill="DCDDDE" w:val="clear"/>
            <w:vAlign w:val="center"/>
          </w:tcPr>
          <w:p>
            <w:pPr>
              <w:pStyle w:val="TableContents"/>
              <w:spacing w:before="0" w:after="283"/>
              <w:jc w:val="left"/>
              <w:rPr>
                <w:color w:val="58595B"/>
              </w:rPr>
            </w:pPr>
            <w:r>
              <w:rPr>
                <w:color w:val="58595B"/>
              </w:rPr>
              <w:t>—</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$150.74</w:t>
            </w:r>
          </w:p>
        </w:tc>
        <w:tc>
          <w:tcPr>
            <w:tcW w:w="82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1/25/2027</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color w:val="58595B"/>
              </w:rPr>
            </w:pPr>
            <w:r>
              <w:rPr>
                <w:color w:val="58595B"/>
              </w:rPr>
              <w:t>—</w:t>
            </w:r>
          </w:p>
        </w:tc>
        <w:tc>
          <w:tcPr>
            <w:tcW w:w="776" w:type="dxa"/>
            <w:tcBorders/>
            <w:shd w:fill="DCDDDE" w:val="clear"/>
            <w:vAlign w:val="center"/>
          </w:tcPr>
          <w:p>
            <w:pPr>
              <w:pStyle w:val="TableContents"/>
              <w:spacing w:before="0" w:after="283"/>
              <w:jc w:val="left"/>
              <w:rPr>
                <w:color w:val="58595B"/>
              </w:rPr>
            </w:pPr>
            <w:r>
              <w:rPr>
                <w:color w:val="58595B"/>
              </w:rPr>
              <w:t>—</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5/5/2017</w:t>
            </w:r>
          </w:p>
        </w:tc>
        <w:tc>
          <w:tcPr>
            <w:tcW w:w="110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3,276</w:t>
            </w:r>
          </w:p>
        </w:tc>
        <w:tc>
          <w:tcPr>
            <w:tcW w:w="1291" w:type="dxa"/>
            <w:tcBorders/>
            <w:shd w:fill="DCDDDE" w:val="clear"/>
            <w:vAlign w:val="center"/>
          </w:tcPr>
          <w:p>
            <w:pPr>
              <w:pStyle w:val="TableContents"/>
              <w:spacing w:before="0" w:after="283"/>
              <w:jc w:val="left"/>
              <w:rPr>
                <w:color w:val="58595B"/>
              </w:rPr>
            </w:pPr>
            <w:r>
              <w:rPr>
                <w:color w:val="58595B"/>
              </w:rPr>
              <w:t>—</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$133.40</w:t>
            </w:r>
          </w:p>
        </w:tc>
        <w:tc>
          <w:tcPr>
            <w:tcW w:w="82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5/5/2027</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color w:val="58595B"/>
              </w:rPr>
            </w:pPr>
            <w:r>
              <w:rPr>
                <w:color w:val="58595B"/>
              </w:rPr>
              <w:t>—</w:t>
            </w:r>
          </w:p>
        </w:tc>
        <w:tc>
          <w:tcPr>
            <w:tcW w:w="776" w:type="dxa"/>
            <w:tcBorders/>
            <w:shd w:fill="DCDDDE" w:val="clear"/>
            <w:vAlign w:val="center"/>
          </w:tcPr>
          <w:p>
            <w:pPr>
              <w:pStyle w:val="TableContents"/>
              <w:spacing w:before="0" w:after="283"/>
              <w:jc w:val="left"/>
              <w:rPr>
                <w:color w:val="58595B"/>
              </w:rPr>
            </w:pPr>
            <w:r>
              <w:rPr>
                <w:color w:val="58595B"/>
              </w:rPr>
              <w:t>—</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4/22/2019</w:t>
            </w:r>
          </w:p>
        </w:tc>
        <w:tc>
          <w:tcPr>
            <w:tcW w:w="110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6,000</w:t>
            </w:r>
          </w:p>
        </w:tc>
        <w:tc>
          <w:tcPr>
            <w:tcW w:w="1291"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2,000</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$252.50</w:t>
            </w:r>
          </w:p>
        </w:tc>
        <w:tc>
          <w:tcPr>
            <w:tcW w:w="82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4/22/2029</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color w:val="58595B"/>
              </w:rPr>
            </w:pPr>
            <w:r>
              <w:rPr>
                <w:color w:val="58595B"/>
              </w:rPr>
              <w:t>—</w:t>
            </w:r>
          </w:p>
        </w:tc>
        <w:tc>
          <w:tcPr>
            <w:tcW w:w="776" w:type="dxa"/>
            <w:tcBorders/>
            <w:shd w:fill="DCDDDE" w:val="clear"/>
            <w:vAlign w:val="center"/>
          </w:tcPr>
          <w:p>
            <w:pPr>
              <w:pStyle w:val="TableContents"/>
              <w:spacing w:before="0" w:after="283"/>
              <w:jc w:val="left"/>
              <w:rPr>
                <w:color w:val="58595B"/>
              </w:rPr>
            </w:pPr>
            <w:r>
              <w:rPr>
                <w:color w:val="58595B"/>
              </w:rPr>
              <w:t>—</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4/22/2019</w:t>
            </w:r>
          </w:p>
        </w:tc>
        <w:tc>
          <w:tcPr>
            <w:tcW w:w="1109" w:type="dxa"/>
            <w:tcBorders/>
            <w:shd w:fill="DCDDDE" w:val="clear"/>
            <w:vAlign w:val="center"/>
          </w:tcPr>
          <w:p>
            <w:pPr>
              <w:pStyle w:val="TableContents"/>
              <w:spacing w:before="0" w:after="283"/>
              <w:jc w:val="left"/>
              <w:rPr>
                <w:color w:val="58595B"/>
              </w:rPr>
            </w:pPr>
            <w:r>
              <w:rPr>
                <w:color w:val="58595B"/>
              </w:rPr>
              <w:t>—</w:t>
            </w:r>
          </w:p>
        </w:tc>
        <w:tc>
          <w:tcPr>
            <w:tcW w:w="1291" w:type="dxa"/>
            <w:tcBorders/>
            <w:shd w:fill="DCDDDE" w:val="clear"/>
            <w:vAlign w:val="center"/>
          </w:tcPr>
          <w:p>
            <w:pPr>
              <w:pStyle w:val="TableContents"/>
              <w:spacing w:before="0" w:after="283"/>
              <w:jc w:val="left"/>
              <w:rPr>
                <w:color w:val="58595B"/>
              </w:rPr>
            </w:pPr>
            <w:r>
              <w:rPr>
                <w:color w:val="58595B"/>
              </w:rPr>
              <w:t>—</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color w:val="58595B"/>
              </w:rPr>
            </w:pPr>
            <w:r>
              <w:rPr>
                <w:color w:val="58595B"/>
              </w:rPr>
              <w:t>—</w:t>
            </w:r>
          </w:p>
        </w:tc>
        <w:tc>
          <w:tcPr>
            <w:tcW w:w="822"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99</w:t>
            </w:r>
          </w:p>
        </w:tc>
        <w:tc>
          <w:tcPr>
            <w:tcW w:w="77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$18,184</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4/10/2020</w:t>
            </w:r>
          </w:p>
        </w:tc>
        <w:tc>
          <w:tcPr>
            <w:tcW w:w="110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2,212</w:t>
            </w:r>
          </w:p>
        </w:tc>
        <w:tc>
          <w:tcPr>
            <w:tcW w:w="1291"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2,212</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$224.99</w:t>
            </w:r>
          </w:p>
        </w:tc>
        <w:tc>
          <w:tcPr>
            <w:tcW w:w="82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4/10/2030</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color w:val="58595B"/>
              </w:rPr>
            </w:pPr>
            <w:r>
              <w:rPr>
                <w:color w:val="58595B"/>
              </w:rPr>
              <w:t>—</w:t>
            </w:r>
          </w:p>
        </w:tc>
        <w:tc>
          <w:tcPr>
            <w:tcW w:w="776" w:type="dxa"/>
            <w:tcBorders/>
            <w:shd w:fill="DCDDDE" w:val="clear"/>
            <w:vAlign w:val="center"/>
          </w:tcPr>
          <w:p>
            <w:pPr>
              <w:pStyle w:val="TableContents"/>
              <w:spacing w:before="0" w:after="283"/>
              <w:jc w:val="left"/>
              <w:rPr>
                <w:color w:val="58595B"/>
              </w:rPr>
            </w:pPr>
            <w:r>
              <w:rPr>
                <w:color w:val="58595B"/>
              </w:rPr>
              <w:t>—</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10/21/2020</w:t>
            </w:r>
          </w:p>
        </w:tc>
        <w:tc>
          <w:tcPr>
            <w:tcW w:w="1109" w:type="dxa"/>
            <w:tcBorders/>
            <w:shd w:fill="DCDDDE" w:val="clear"/>
            <w:vAlign w:val="center"/>
          </w:tcPr>
          <w:p>
            <w:pPr>
              <w:pStyle w:val="TableContents"/>
              <w:spacing w:before="0" w:after="283"/>
              <w:jc w:val="left"/>
              <w:rPr>
                <w:color w:val="58595B"/>
              </w:rPr>
            </w:pPr>
            <w:r>
              <w:rPr>
                <w:color w:val="58595B"/>
              </w:rPr>
              <w:t>—</w:t>
            </w:r>
          </w:p>
        </w:tc>
        <w:tc>
          <w:tcPr>
            <w:tcW w:w="1291" w:type="dxa"/>
            <w:tcBorders/>
            <w:shd w:fill="DCDDDE" w:val="clear"/>
            <w:vAlign w:val="center"/>
          </w:tcPr>
          <w:p>
            <w:pPr>
              <w:pStyle w:val="TableContents"/>
              <w:spacing w:before="0" w:after="283"/>
              <w:jc w:val="left"/>
              <w:rPr>
                <w:color w:val="58595B"/>
              </w:rPr>
            </w:pPr>
            <w:r>
              <w:rPr>
                <w:color w:val="58595B"/>
              </w:rPr>
              <w:t>—</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color w:val="58595B"/>
              </w:rPr>
            </w:pPr>
            <w:r>
              <w:rPr>
                <w:color w:val="58595B"/>
              </w:rPr>
              <w:t>—</w:t>
            </w:r>
          </w:p>
        </w:tc>
        <w:tc>
          <w:tcPr>
            <w:tcW w:w="822"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112</w:t>
            </w:r>
          </w:p>
        </w:tc>
        <w:tc>
          <w:tcPr>
            <w:tcW w:w="77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$20,572</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3/12/2021</w:t>
            </w:r>
          </w:p>
        </w:tc>
        <w:tc>
          <w:tcPr>
            <w:tcW w:w="1109" w:type="dxa"/>
            <w:tcBorders/>
            <w:shd w:fill="DCDDDE" w:val="clear"/>
            <w:vAlign w:val="center"/>
          </w:tcPr>
          <w:p>
            <w:pPr>
              <w:pStyle w:val="TableContents"/>
              <w:spacing w:before="0" w:after="283"/>
              <w:jc w:val="left"/>
              <w:rPr>
                <w:color w:val="58595B"/>
              </w:rPr>
            </w:pPr>
            <w:r>
              <w:rPr>
                <w:color w:val="58595B"/>
              </w:rPr>
              <w:t>—</w:t>
            </w:r>
          </w:p>
        </w:tc>
        <w:tc>
          <w:tcPr>
            <w:tcW w:w="1291" w:type="dxa"/>
            <w:tcBorders/>
            <w:shd w:fill="DCDDDE" w:val="clear"/>
            <w:vAlign w:val="center"/>
          </w:tcPr>
          <w:p>
            <w:pPr>
              <w:pStyle w:val="TableContents"/>
              <w:spacing w:before="0" w:after="283"/>
              <w:jc w:val="left"/>
              <w:rPr>
                <w:color w:val="58595B"/>
              </w:rPr>
            </w:pPr>
            <w:r>
              <w:rPr>
                <w:color w:val="58595B"/>
              </w:rPr>
              <w:t>—</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color w:val="58595B"/>
              </w:rPr>
            </w:pPr>
            <w:r>
              <w:rPr>
                <w:color w:val="58595B"/>
              </w:rPr>
              <w:t>—</w:t>
            </w:r>
          </w:p>
        </w:tc>
        <w:tc>
          <w:tcPr>
            <w:tcW w:w="822"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265</w:t>
            </w:r>
          </w:p>
        </w:tc>
        <w:tc>
          <w:tcPr>
            <w:tcW w:w="77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$48,765</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9" w:type="dxa"/>
            <w:tcBorders/>
            <w:shd w:fill="DCDDDE" w:val="clear"/>
            <w:vAlign w:val="center"/>
          </w:tcPr>
          <w:p>
            <w:pPr>
              <w:pStyle w:val="TableContents"/>
              <w:spacing w:before="0" w:after="283"/>
              <w:jc w:val="left"/>
              <w:rPr>
                <w:color w:val="58595B"/>
              </w:rPr>
            </w:pPr>
            <w:r>
              <w:rPr>
                <w:color w:val="58595B"/>
              </w:rPr>
              <w:t>—</w:t>
            </w:r>
          </w:p>
        </w:tc>
        <w:tc>
          <w:tcPr>
            <w:tcW w:w="1291"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4,588</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$225.45</w:t>
            </w:r>
          </w:p>
        </w:tc>
        <w:tc>
          <w:tcPr>
            <w:tcW w:w="82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1/24/2032</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color w:val="58595B"/>
              </w:rPr>
            </w:pPr>
            <w:r>
              <w:rPr>
                <w:color w:val="58595B"/>
              </w:rPr>
              <w:t>—</w:t>
            </w:r>
          </w:p>
        </w:tc>
        <w:tc>
          <w:tcPr>
            <w:tcW w:w="776" w:type="dxa"/>
            <w:tcBorders/>
            <w:shd w:fill="DCDDDE" w:val="clear"/>
            <w:vAlign w:val="center"/>
          </w:tcPr>
          <w:p>
            <w:pPr>
              <w:pStyle w:val="TableContents"/>
              <w:spacing w:before="0" w:after="283"/>
              <w:jc w:val="left"/>
              <w:rPr>
                <w:color w:val="58595B"/>
              </w:rPr>
            </w:pPr>
            <w:r>
              <w:rPr>
                <w:color w:val="58595B"/>
              </w:rPr>
              <w:t>—</w:t>
            </w:r>
          </w:p>
        </w:tc>
        <w:tc>
          <w:tcPr>
            <w:tcW w:w="994" w:type="dxa"/>
            <w:tcBorders/>
            <w:shd w:fill="DCDDDE" w:val="clear"/>
            <w:vAlign w:val="center"/>
          </w:tcPr>
          <w:p>
            <w:pPr>
              <w:pStyle w:val="TableContents"/>
              <w:spacing w:before="0" w:after="283"/>
              <w:jc w:val="left"/>
              <w:rPr>
                <w:color w:val="58595B"/>
              </w:rPr>
            </w:pPr>
            <w:r>
              <w:rPr>
                <w:color w:val="58595B"/>
              </w:rPr>
              <w:t>—</w:t>
            </w:r>
          </w:p>
        </w:tc>
        <w:tc>
          <w:tcPr>
            <w:tcW w:w="1117" w:type="dxa"/>
            <w:tcBorders/>
            <w:shd w:fill="DCDDDE" w:val="clear"/>
            <w:vAlign w:val="center"/>
          </w:tcPr>
          <w:p>
            <w:pPr>
              <w:pStyle w:val="TableContents"/>
              <w:spacing w:before="0" w:after="283"/>
              <w:jc w:val="left"/>
              <w:rPr>
                <w:color w:val="58595B"/>
              </w:rPr>
            </w:pPr>
            <w:r>
              <w:rPr>
                <w:color w:val="58595B"/>
              </w:rPr>
              <w:t>—</w:t>
            </w:r>
          </w:p>
        </w:tc>
      </w:tr>
      <w:tr>
        <w:trPr/>
        <w:tc>
          <w:tcPr>
            <w:tcW w:w="796"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9" w:type="dxa"/>
            <w:tcBorders/>
            <w:shd w:fill="DCDDDE" w:val="clear"/>
            <w:vAlign w:val="center"/>
          </w:tcPr>
          <w:p>
            <w:pPr>
              <w:pStyle w:val="TableContents"/>
              <w:spacing w:before="0" w:after="283"/>
              <w:jc w:val="left"/>
              <w:rPr>
                <w:color w:val="58595B"/>
              </w:rPr>
            </w:pPr>
            <w:r>
              <w:rPr>
                <w:color w:val="58595B"/>
              </w:rPr>
              <w:t>—</w:t>
            </w:r>
          </w:p>
        </w:tc>
        <w:tc>
          <w:tcPr>
            <w:tcW w:w="1291" w:type="dxa"/>
            <w:tcBorders/>
            <w:shd w:fill="DCDDDE" w:val="clear"/>
            <w:vAlign w:val="center"/>
          </w:tcPr>
          <w:p>
            <w:pPr>
              <w:pStyle w:val="TableContents"/>
              <w:spacing w:before="0" w:after="283"/>
              <w:jc w:val="left"/>
              <w:rPr>
                <w:color w:val="58595B"/>
              </w:rPr>
            </w:pPr>
            <w:r>
              <w:rPr>
                <w:color w:val="58595B"/>
              </w:rPr>
              <w:t>—</w:t>
            </w:r>
          </w:p>
        </w:tc>
        <w:tc>
          <w:tcPr>
            <w:tcW w:w="1080" w:type="dxa"/>
            <w:tcBorders/>
            <w:shd w:fill="DCDDDE" w:val="clear"/>
            <w:vAlign w:val="center"/>
          </w:tcPr>
          <w:p>
            <w:pPr>
              <w:pStyle w:val="TableContents"/>
              <w:spacing w:before="0" w:after="283"/>
              <w:jc w:val="left"/>
              <w:rPr>
                <w:color w:val="58595B"/>
              </w:rPr>
            </w:pPr>
            <w:r>
              <w:rPr>
                <w:color w:val="58595B"/>
              </w:rPr>
              <w:t>—</w:t>
            </w:r>
          </w:p>
        </w:tc>
        <w:tc>
          <w:tcPr>
            <w:tcW w:w="708" w:type="dxa"/>
            <w:tcBorders/>
            <w:shd w:fill="DCDDDE" w:val="clear"/>
            <w:vAlign w:val="center"/>
          </w:tcPr>
          <w:p>
            <w:pPr>
              <w:pStyle w:val="TableContents"/>
              <w:spacing w:before="0" w:after="283"/>
              <w:jc w:val="left"/>
              <w:rPr>
                <w:color w:val="58595B"/>
              </w:rPr>
            </w:pPr>
            <w:r>
              <w:rPr>
                <w:color w:val="58595B"/>
              </w:rPr>
              <w:t>—</w:t>
            </w:r>
          </w:p>
        </w:tc>
        <w:tc>
          <w:tcPr>
            <w:tcW w:w="822"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726" w:type="dxa"/>
            <w:tcBorders/>
            <w:shd w:fill="DCDDDE" w:val="clear"/>
            <w:vAlign w:val="center"/>
          </w:tcPr>
          <w:p>
            <w:pPr>
              <w:pStyle w:val="TableContents"/>
              <w:spacing w:before="0" w:after="283"/>
              <w:jc w:val="left"/>
              <w:rPr>
                <w:color w:val="58595B"/>
              </w:rPr>
            </w:pPr>
            <w:r>
              <w:rPr>
                <w:color w:val="58595B"/>
              </w:rPr>
              <w:t>—</w:t>
            </w:r>
          </w:p>
        </w:tc>
        <w:tc>
          <w:tcPr>
            <w:tcW w:w="776" w:type="dxa"/>
            <w:tcBorders/>
            <w:shd w:fill="DCDDDE" w:val="clear"/>
            <w:vAlign w:val="center"/>
          </w:tcPr>
          <w:p>
            <w:pPr>
              <w:pStyle w:val="TableContents"/>
              <w:spacing w:before="0" w:after="283"/>
              <w:jc w:val="left"/>
              <w:rPr>
                <w:color w:val="58595B"/>
              </w:rPr>
            </w:pPr>
            <w:r>
              <w:rPr>
                <w:color w:val="58595B"/>
              </w:rPr>
              <w:t>—</w:t>
            </w:r>
          </w:p>
        </w:tc>
        <w:tc>
          <w:tcPr>
            <w:tcW w:w="994" w:type="dxa"/>
            <w:tcBorders/>
            <w:shd w:fill="DCDDDE" w:val="clear"/>
            <w:vAlign w:val="center"/>
          </w:tcPr>
          <w:p>
            <w:pPr>
              <w:pStyle w:val="TableContents"/>
              <w:spacing w:lineRule="auto" w:line="240" w:before="0" w:after="283"/>
              <w:jc w:val="left"/>
              <w:rPr>
                <w:rFonts w:ascii="Arial;Helvetica;Sans-Serif" w:hAnsi="Arial;Helvetica;Sans-Serif"/>
                <w:color w:val="58595B"/>
                <w:sz w:val="16"/>
              </w:rPr>
            </w:pPr>
            <w:r>
              <w:rPr>
                <w:rFonts w:ascii="Arial;Helvetica;Sans-Serif" w:hAnsi="Arial;Helvetica;Sans-Serif"/>
                <w:color w:val="58595B"/>
                <w:sz w:val="16"/>
              </w:rPr>
              <w:t>1,109 (5)</w:t>
            </w:r>
          </w:p>
        </w:tc>
        <w:tc>
          <w:tcPr>
            <w:tcW w:w="1117"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$203,701</w:t>
            </w:r>
          </w:p>
        </w:tc>
      </w:tr>
      <w:tr>
        <w:trPr/>
        <w:tc>
          <w:tcPr>
            <w:tcW w:w="796" w:type="dxa"/>
            <w:vMerge w:val="restart"/>
            <w:tcBorders/>
            <w:shd w:fill="auto"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 xml:space="preserve">Charles R. </w:t>
              <w:br/>
              <w:t>Freund</w:t>
            </w:r>
          </w:p>
        </w:tc>
        <w:tc>
          <w:tcPr>
            <w:tcW w:w="72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2/27/2019</w:t>
            </w:r>
          </w:p>
        </w:tc>
        <w:tc>
          <w:tcPr>
            <w:tcW w:w="110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15,000</w:t>
            </w:r>
          </w:p>
        </w:tc>
        <w:tc>
          <w:tcPr>
            <w:tcW w:w="1291" w:type="dxa"/>
            <w:tcBorders/>
            <w:shd w:fill="auto" w:val="clear"/>
            <w:vAlign w:val="center"/>
          </w:tcPr>
          <w:p>
            <w:pPr>
              <w:pStyle w:val="TableContents"/>
              <w:spacing w:before="0" w:after="283"/>
              <w:jc w:val="left"/>
              <w:rPr>
                <w:color w:val="58595B"/>
              </w:rPr>
            </w:pPr>
            <w:r>
              <w:rPr>
                <w:color w:val="58595B"/>
              </w:rPr>
              <w:t>—</w:t>
            </w:r>
          </w:p>
        </w:tc>
        <w:tc>
          <w:tcPr>
            <w:tcW w:w="1080" w:type="dxa"/>
            <w:tcBorders/>
            <w:shd w:fill="auto" w:val="clear"/>
            <w:vAlign w:val="center"/>
          </w:tcPr>
          <w:p>
            <w:pPr>
              <w:pStyle w:val="TableContents"/>
              <w:spacing w:before="0" w:after="283"/>
              <w:jc w:val="left"/>
              <w:rPr>
                <w:color w:val="58595B"/>
              </w:rPr>
            </w:pPr>
            <w:r>
              <w:rPr>
                <w:color w:val="58595B"/>
              </w:rPr>
              <w:t>—</w:t>
            </w:r>
          </w:p>
        </w:tc>
        <w:tc>
          <w:tcPr>
            <w:tcW w:w="70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$231.70</w:t>
            </w:r>
          </w:p>
        </w:tc>
        <w:tc>
          <w:tcPr>
            <w:tcW w:w="822"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3/31/2023</w:t>
            </w:r>
          </w:p>
        </w:tc>
        <w:tc>
          <w:tcPr>
            <w:tcW w:w="60" w:type="dxa"/>
            <w:tcBorders/>
            <w:shd w:fill="auto" w:val="clear"/>
            <w:vAlign w:val="center"/>
          </w:tcPr>
          <w:p>
            <w:pPr>
              <w:pStyle w:val="TableContents"/>
              <w:spacing w:before="0" w:after="283"/>
              <w:jc w:val="left"/>
              <w:rPr/>
            </w:pPr>
            <w:r>
              <w:rPr/>
              <w:t> </w:t>
            </w:r>
          </w:p>
        </w:tc>
        <w:tc>
          <w:tcPr>
            <w:tcW w:w="726" w:type="dxa"/>
            <w:tcBorders/>
            <w:shd w:fill="auto" w:val="clear"/>
            <w:vAlign w:val="center"/>
          </w:tcPr>
          <w:p>
            <w:pPr>
              <w:pStyle w:val="TableContents"/>
              <w:spacing w:before="0" w:after="283"/>
              <w:jc w:val="left"/>
              <w:rPr>
                <w:color w:val="58595B"/>
              </w:rPr>
            </w:pPr>
            <w:r>
              <w:rPr>
                <w:color w:val="58595B"/>
              </w:rPr>
              <w:t>—</w:t>
            </w:r>
          </w:p>
        </w:tc>
        <w:tc>
          <w:tcPr>
            <w:tcW w:w="776" w:type="dxa"/>
            <w:tcBorders/>
            <w:shd w:fill="auto" w:val="clear"/>
            <w:vAlign w:val="center"/>
          </w:tcPr>
          <w:p>
            <w:pPr>
              <w:pStyle w:val="TableContents"/>
              <w:spacing w:before="0" w:after="283"/>
              <w:jc w:val="left"/>
              <w:rPr>
                <w:color w:val="58595B"/>
              </w:rPr>
            </w:pPr>
            <w:r>
              <w:rPr>
                <w:color w:val="58595B"/>
              </w:rPr>
              <w:t>—</w:t>
            </w:r>
          </w:p>
        </w:tc>
        <w:tc>
          <w:tcPr>
            <w:tcW w:w="994" w:type="dxa"/>
            <w:tcBorders/>
            <w:shd w:fill="auto" w:val="clear"/>
            <w:vAlign w:val="center"/>
          </w:tcPr>
          <w:p>
            <w:pPr>
              <w:pStyle w:val="TableContents"/>
              <w:spacing w:before="0" w:after="283"/>
              <w:jc w:val="left"/>
              <w:rPr>
                <w:color w:val="58595B"/>
              </w:rPr>
            </w:pPr>
            <w:r>
              <w:rPr>
                <w:color w:val="58595B"/>
              </w:rPr>
              <w:t>—</w:t>
            </w:r>
          </w:p>
        </w:tc>
        <w:tc>
          <w:tcPr>
            <w:tcW w:w="1117" w:type="dxa"/>
            <w:tcBorders/>
            <w:shd w:fill="auto" w:val="clear"/>
            <w:vAlign w:val="center"/>
          </w:tcPr>
          <w:p>
            <w:pPr>
              <w:pStyle w:val="TableContents"/>
              <w:spacing w:before="0" w:after="283"/>
              <w:jc w:val="left"/>
              <w:rPr>
                <w:color w:val="58595B"/>
              </w:rPr>
            </w:pPr>
            <w:r>
              <w:rPr>
                <w:color w:val="58595B"/>
              </w:rPr>
              <w:t>—</w:t>
            </w:r>
          </w:p>
        </w:tc>
      </w:tr>
      <w:tr>
        <w:trPr/>
        <w:tc>
          <w:tcPr>
            <w:tcW w:w="796" w:type="dxa"/>
            <w:vMerge w:val="continue"/>
            <w:tcBorders/>
            <w:shd w:fill="auto" w:val="clear"/>
            <w:vAlign w:val="center"/>
          </w:tcPr>
          <w:p>
            <w:pPr>
              <w:pStyle w:val="Normal"/>
              <w:rPr/>
            </w:pPr>
            <w:r>
              <w:rPr/>
            </w:r>
          </w:p>
        </w:tc>
        <w:tc>
          <w:tcPr>
            <w:tcW w:w="72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3/27/2020</w:t>
            </w:r>
          </w:p>
        </w:tc>
        <w:tc>
          <w:tcPr>
            <w:tcW w:w="110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10,443</w:t>
            </w:r>
          </w:p>
        </w:tc>
        <w:tc>
          <w:tcPr>
            <w:tcW w:w="1291" w:type="dxa"/>
            <w:tcBorders/>
            <w:shd w:fill="auto" w:val="clear"/>
            <w:vAlign w:val="center"/>
          </w:tcPr>
          <w:p>
            <w:pPr>
              <w:pStyle w:val="TableContents"/>
              <w:spacing w:before="0" w:after="283"/>
              <w:jc w:val="left"/>
              <w:rPr>
                <w:color w:val="58595B"/>
              </w:rPr>
            </w:pPr>
            <w:r>
              <w:rPr>
                <w:color w:val="58595B"/>
              </w:rPr>
              <w:t>—</w:t>
            </w:r>
          </w:p>
        </w:tc>
        <w:tc>
          <w:tcPr>
            <w:tcW w:w="1080" w:type="dxa"/>
            <w:tcBorders/>
            <w:shd w:fill="auto" w:val="clear"/>
            <w:vAlign w:val="center"/>
          </w:tcPr>
          <w:p>
            <w:pPr>
              <w:pStyle w:val="TableContents"/>
              <w:spacing w:before="0" w:after="283"/>
              <w:jc w:val="left"/>
              <w:rPr>
                <w:color w:val="58595B"/>
              </w:rPr>
            </w:pPr>
            <w:r>
              <w:rPr>
                <w:color w:val="58595B"/>
              </w:rPr>
              <w:t>—</w:t>
            </w:r>
          </w:p>
        </w:tc>
        <w:tc>
          <w:tcPr>
            <w:tcW w:w="70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$196.18</w:t>
            </w:r>
          </w:p>
        </w:tc>
        <w:tc>
          <w:tcPr>
            <w:tcW w:w="822"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3/31/2023</w:t>
            </w:r>
          </w:p>
        </w:tc>
        <w:tc>
          <w:tcPr>
            <w:tcW w:w="60" w:type="dxa"/>
            <w:tcBorders/>
            <w:shd w:fill="auto" w:val="clear"/>
            <w:vAlign w:val="center"/>
          </w:tcPr>
          <w:p>
            <w:pPr>
              <w:pStyle w:val="TableContents"/>
              <w:spacing w:before="0" w:after="283"/>
              <w:jc w:val="left"/>
              <w:rPr/>
            </w:pPr>
            <w:r>
              <w:rPr/>
              <w:t> </w:t>
            </w:r>
          </w:p>
        </w:tc>
        <w:tc>
          <w:tcPr>
            <w:tcW w:w="726" w:type="dxa"/>
            <w:tcBorders/>
            <w:shd w:fill="auto" w:val="clear"/>
            <w:vAlign w:val="center"/>
          </w:tcPr>
          <w:p>
            <w:pPr>
              <w:pStyle w:val="TableContents"/>
              <w:spacing w:before="0" w:after="283"/>
              <w:jc w:val="left"/>
              <w:rPr>
                <w:color w:val="58595B"/>
              </w:rPr>
            </w:pPr>
            <w:r>
              <w:rPr>
                <w:color w:val="58595B"/>
              </w:rPr>
              <w:t>—</w:t>
            </w:r>
          </w:p>
        </w:tc>
        <w:tc>
          <w:tcPr>
            <w:tcW w:w="776" w:type="dxa"/>
            <w:tcBorders/>
            <w:shd w:fill="auto" w:val="clear"/>
            <w:vAlign w:val="center"/>
          </w:tcPr>
          <w:p>
            <w:pPr>
              <w:pStyle w:val="TableContents"/>
              <w:spacing w:before="0" w:after="283"/>
              <w:jc w:val="left"/>
              <w:rPr>
                <w:color w:val="58595B"/>
              </w:rPr>
            </w:pPr>
            <w:r>
              <w:rPr>
                <w:color w:val="58595B"/>
              </w:rPr>
              <w:t>—</w:t>
            </w:r>
          </w:p>
        </w:tc>
        <w:tc>
          <w:tcPr>
            <w:tcW w:w="994" w:type="dxa"/>
            <w:tcBorders/>
            <w:shd w:fill="auto" w:val="clear"/>
            <w:vAlign w:val="center"/>
          </w:tcPr>
          <w:p>
            <w:pPr>
              <w:pStyle w:val="TableContents"/>
              <w:spacing w:before="0" w:after="283"/>
              <w:jc w:val="left"/>
              <w:rPr>
                <w:color w:val="58595B"/>
              </w:rPr>
            </w:pPr>
            <w:r>
              <w:rPr>
                <w:color w:val="58595B"/>
              </w:rPr>
              <w:t>—</w:t>
            </w:r>
          </w:p>
        </w:tc>
        <w:tc>
          <w:tcPr>
            <w:tcW w:w="1117" w:type="dxa"/>
            <w:tcBorders/>
            <w:shd w:fill="auto" w:val="clear"/>
            <w:vAlign w:val="center"/>
          </w:tcPr>
          <w:p>
            <w:pPr>
              <w:pStyle w:val="TableContents"/>
              <w:spacing w:before="0" w:after="283"/>
              <w:jc w:val="left"/>
              <w:rPr>
                <w:color w:val="58595B"/>
              </w:rPr>
            </w:pPr>
            <w:r>
              <w:rPr>
                <w:color w:val="58595B"/>
              </w:rPr>
              <w:t>—</w:t>
            </w:r>
          </w:p>
        </w:tc>
      </w:tr>
      <w:tr>
        <w:trPr/>
        <w:tc>
          <w:tcPr>
            <w:tcW w:w="796" w:type="dxa"/>
            <w:vMerge w:val="continue"/>
            <w:tcBorders/>
            <w:shd w:fill="auto" w:val="clear"/>
            <w:vAlign w:val="center"/>
          </w:tcPr>
          <w:p>
            <w:pPr>
              <w:pStyle w:val="Normal"/>
              <w:rPr/>
            </w:pPr>
            <w:r>
              <w:rPr/>
            </w:r>
          </w:p>
        </w:tc>
        <w:tc>
          <w:tcPr>
            <w:tcW w:w="72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1/25/2021</w:t>
            </w:r>
          </w:p>
        </w:tc>
        <w:tc>
          <w:tcPr>
            <w:tcW w:w="110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4,116</w:t>
            </w:r>
          </w:p>
        </w:tc>
        <w:tc>
          <w:tcPr>
            <w:tcW w:w="1291" w:type="dxa"/>
            <w:tcBorders/>
            <w:shd w:fill="auto" w:val="clear"/>
            <w:vAlign w:val="center"/>
          </w:tcPr>
          <w:p>
            <w:pPr>
              <w:pStyle w:val="TableContents"/>
              <w:spacing w:before="0" w:after="283"/>
              <w:jc w:val="left"/>
              <w:rPr>
                <w:color w:val="58595B"/>
              </w:rPr>
            </w:pPr>
            <w:r>
              <w:rPr>
                <w:color w:val="58595B"/>
              </w:rPr>
              <w:t>—</w:t>
            </w:r>
          </w:p>
        </w:tc>
        <w:tc>
          <w:tcPr>
            <w:tcW w:w="1080" w:type="dxa"/>
            <w:tcBorders/>
            <w:shd w:fill="auto" w:val="clear"/>
            <w:vAlign w:val="center"/>
          </w:tcPr>
          <w:p>
            <w:pPr>
              <w:pStyle w:val="TableContents"/>
              <w:spacing w:before="0" w:after="283"/>
              <w:jc w:val="left"/>
              <w:rPr>
                <w:color w:val="58595B"/>
              </w:rPr>
            </w:pPr>
            <w:r>
              <w:rPr>
                <w:color w:val="58595B"/>
              </w:rPr>
              <w:t>—</w:t>
            </w:r>
          </w:p>
        </w:tc>
        <w:tc>
          <w:tcPr>
            <w:tcW w:w="70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$261.07</w:t>
            </w:r>
          </w:p>
        </w:tc>
        <w:tc>
          <w:tcPr>
            <w:tcW w:w="822"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3/31/2023</w:t>
            </w:r>
          </w:p>
        </w:tc>
        <w:tc>
          <w:tcPr>
            <w:tcW w:w="60" w:type="dxa"/>
            <w:tcBorders/>
            <w:shd w:fill="auto" w:val="clear"/>
            <w:vAlign w:val="center"/>
          </w:tcPr>
          <w:p>
            <w:pPr>
              <w:pStyle w:val="TableContents"/>
              <w:spacing w:before="0" w:after="283"/>
              <w:jc w:val="left"/>
              <w:rPr/>
            </w:pPr>
            <w:r>
              <w:rPr/>
              <w:t> </w:t>
            </w:r>
          </w:p>
        </w:tc>
        <w:tc>
          <w:tcPr>
            <w:tcW w:w="726" w:type="dxa"/>
            <w:tcBorders/>
            <w:shd w:fill="auto" w:val="clear"/>
            <w:vAlign w:val="center"/>
          </w:tcPr>
          <w:p>
            <w:pPr>
              <w:pStyle w:val="TableContents"/>
              <w:spacing w:before="0" w:after="283"/>
              <w:jc w:val="left"/>
              <w:rPr>
                <w:color w:val="58595B"/>
              </w:rPr>
            </w:pPr>
            <w:r>
              <w:rPr>
                <w:color w:val="58595B"/>
              </w:rPr>
              <w:t>—</w:t>
            </w:r>
          </w:p>
        </w:tc>
        <w:tc>
          <w:tcPr>
            <w:tcW w:w="776" w:type="dxa"/>
            <w:tcBorders/>
            <w:shd w:fill="auto" w:val="clear"/>
            <w:vAlign w:val="center"/>
          </w:tcPr>
          <w:p>
            <w:pPr>
              <w:pStyle w:val="TableContents"/>
              <w:spacing w:before="0" w:after="283"/>
              <w:jc w:val="left"/>
              <w:rPr>
                <w:color w:val="58595B"/>
              </w:rPr>
            </w:pPr>
            <w:r>
              <w:rPr>
                <w:color w:val="58595B"/>
              </w:rPr>
              <w:t>—</w:t>
            </w:r>
          </w:p>
        </w:tc>
        <w:tc>
          <w:tcPr>
            <w:tcW w:w="994" w:type="dxa"/>
            <w:tcBorders/>
            <w:shd w:fill="auto" w:val="clear"/>
            <w:vAlign w:val="center"/>
          </w:tcPr>
          <w:p>
            <w:pPr>
              <w:pStyle w:val="TableContents"/>
              <w:spacing w:before="0" w:after="283"/>
              <w:jc w:val="left"/>
              <w:rPr>
                <w:color w:val="58595B"/>
              </w:rPr>
            </w:pPr>
            <w:r>
              <w:rPr>
                <w:color w:val="58595B"/>
              </w:rPr>
              <w:t>—</w:t>
            </w:r>
          </w:p>
        </w:tc>
        <w:tc>
          <w:tcPr>
            <w:tcW w:w="1117" w:type="dxa"/>
            <w:tcBorders/>
            <w:shd w:fill="auto" w:val="clear"/>
            <w:vAlign w:val="center"/>
          </w:tcPr>
          <w:p>
            <w:pPr>
              <w:pStyle w:val="TableContents"/>
              <w:spacing w:before="0" w:after="283"/>
              <w:jc w:val="left"/>
              <w:rPr>
                <w:color w:val="58595B"/>
              </w:rPr>
            </w:pPr>
            <w:r>
              <w:rPr>
                <w:color w:val="58595B"/>
              </w:rPr>
              <w:t>—</w:t>
            </w:r>
          </w:p>
        </w:tc>
      </w:tr>
    </w:tbl>
    <w:p>
      <w:pPr>
        <w:pStyle w:val="TextBody"/>
        <w:jc w:val="right"/>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47</w:t>
            </w:r>
          </w:p>
        </w:tc>
      </w:tr>
    </w:tbl>
    <w:p>
      <w:pPr>
        <w:pStyle w:val="TextBody"/>
        <w:jc w:val="right"/>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spacing w:before="0" w:after="0"/>
        <w:ind w:left="2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875"/>
        <w:gridCol w:w="696"/>
        <w:gridCol w:w="1103"/>
        <w:gridCol w:w="1280"/>
        <w:gridCol w:w="1112"/>
        <w:gridCol w:w="705"/>
        <w:gridCol w:w="819"/>
        <w:gridCol w:w="60"/>
        <w:gridCol w:w="715"/>
        <w:gridCol w:w="795"/>
        <w:gridCol w:w="969"/>
        <w:gridCol w:w="1076"/>
      </w:tblGrid>
      <w:tr>
        <w:trPr/>
        <w:tc>
          <w:tcPr>
            <w:tcW w:w="875" w:type="dxa"/>
            <w:tcBorders/>
            <w:shd w:fill="EE0027" w:val="clear"/>
            <w:vAlign w:val="center"/>
          </w:tcPr>
          <w:p>
            <w:pPr>
              <w:pStyle w:val="TableContents"/>
              <w:spacing w:before="0" w:after="283"/>
              <w:jc w:val="left"/>
              <w:rPr/>
            </w:pPr>
            <w:r>
              <w:rPr/>
              <w:t> </w:t>
            </w:r>
          </w:p>
        </w:tc>
        <w:tc>
          <w:tcPr>
            <w:tcW w:w="696" w:type="dxa"/>
            <w:tcBorders/>
            <w:shd w:fill="EE0027" w:val="clear"/>
            <w:vAlign w:val="center"/>
          </w:tcPr>
          <w:p>
            <w:pPr>
              <w:pStyle w:val="TableContents"/>
              <w:spacing w:before="0" w:after="283"/>
              <w:jc w:val="left"/>
              <w:rPr/>
            </w:pPr>
            <w:r>
              <w:rPr/>
              <w:t> </w:t>
            </w:r>
          </w:p>
        </w:tc>
        <w:tc>
          <w:tcPr>
            <w:tcW w:w="5019" w:type="dxa"/>
            <w:gridSpan w:val="5"/>
            <w:tcBorders/>
            <w:shd w:fill="EE0027" w:val="clear"/>
            <w:vAlign w:val="center"/>
          </w:tcPr>
          <w:p>
            <w:pPr>
              <w:pStyle w:val="TableContents"/>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OPTION AWARDS</w:t>
            </w:r>
          </w:p>
        </w:tc>
        <w:tc>
          <w:tcPr>
            <w:tcW w:w="60" w:type="dxa"/>
            <w:tcBorders/>
            <w:shd w:fill="EE0027" w:val="clear"/>
            <w:vAlign w:val="center"/>
          </w:tcPr>
          <w:p>
            <w:pPr>
              <w:pStyle w:val="TableContents"/>
              <w:spacing w:before="0" w:after="283"/>
              <w:jc w:val="left"/>
              <w:rPr/>
            </w:pPr>
            <w:r>
              <w:rPr/>
              <w:t> </w:t>
            </w:r>
          </w:p>
        </w:tc>
        <w:tc>
          <w:tcPr>
            <w:tcW w:w="3555" w:type="dxa"/>
            <w:gridSpan w:val="4"/>
            <w:tcBorders/>
            <w:shd w:fill="EE0027" w:val="clear"/>
            <w:vAlign w:val="center"/>
          </w:tcPr>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AWARDS</w:t>
            </w:r>
          </w:p>
        </w:tc>
      </w:tr>
      <w:tr>
        <w:trPr/>
        <w:tc>
          <w:tcPr>
            <w:tcW w:w="875"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696"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Grant Date</w:t>
            </w:r>
          </w:p>
        </w:tc>
        <w:tc>
          <w:tcPr>
            <w:tcW w:w="1103"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Number of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Securities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Underlying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Unexercised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Options (#)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Exercisable </w:t>
            </w:r>
            <w:r>
              <w:rPr>
                <w:rFonts w:ascii="Arial;Helvetica;Sans-Serif" w:hAnsi="Arial;Helvetica;Sans-Serif"/>
                <w:b/>
                <w:i w:val="false"/>
                <w:caps w:val="false"/>
                <w:smallCaps w:val="false"/>
                <w:color w:val="FFFFFF"/>
                <w:sz w:val="20"/>
              </w:rPr>
              <w:t>(1)</w:t>
            </w:r>
          </w:p>
        </w:tc>
        <w:tc>
          <w:tcPr>
            <w:tcW w:w="1280"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Number of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Securities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Underlying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Unexercised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Options(#)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Unexercisable </w:t>
            </w:r>
            <w:r>
              <w:rPr>
                <w:rFonts w:ascii="Arial;Helvetica;Sans-Serif" w:hAnsi="Arial;Helvetica;Sans-Serif"/>
                <w:b/>
                <w:i w:val="false"/>
                <w:caps w:val="false"/>
                <w:smallCaps w:val="false"/>
                <w:color w:val="FFFFFF"/>
                <w:sz w:val="20"/>
              </w:rPr>
              <w:t>(1)</w:t>
            </w:r>
          </w:p>
        </w:tc>
        <w:tc>
          <w:tcPr>
            <w:tcW w:w="1112" w:type="dxa"/>
            <w:tcBorders>
              <w:top w:val="single" w:sz="8" w:space="0" w:color="FFFFFF"/>
            </w:tcBorders>
            <w:shd w:fill="EE0027" w:val="clear"/>
            <w:tcMar>
              <w:top w:w="60" w:type="dxa"/>
            </w:tcMar>
            <w:vAlign w:val="center"/>
          </w:tcPr>
          <w:p>
            <w:pPr>
              <w:pStyle w:val="TableContents"/>
              <w:spacing w:lineRule="auto" w:line="240" w:before="0" w:after="283"/>
              <w:jc w:val="left"/>
              <w:rPr/>
            </w:pPr>
            <w:r>
              <w:rPr>
                <w:rFonts w:ascii="Arial;Helvetica;Sans-Serif" w:hAnsi="Arial;Helvetica;Sans-Serif"/>
                <w:b/>
                <w:color w:val="FFFFFF"/>
                <w:sz w:val="16"/>
              </w:rPr>
              <w:t xml:space="preserve">Equity </w:t>
            </w:r>
            <w:r>
              <w:rPr/>
              <w:br/>
            </w:r>
            <w:r>
              <w:rPr>
                <w:rFonts w:ascii="Arial;Helvetica;Sans-Serif" w:hAnsi="Arial;Helvetica;Sans-Serif"/>
                <w:b/>
                <w:color w:val="FFFFFF"/>
                <w:sz w:val="16"/>
              </w:rPr>
              <w:t xml:space="preserve">Incentive </w:t>
            </w:r>
            <w:r>
              <w:rPr/>
              <w:br/>
            </w:r>
            <w:r>
              <w:rPr>
                <w:rFonts w:ascii="Arial;Helvetica;Sans-Serif" w:hAnsi="Arial;Helvetica;Sans-Serif"/>
                <w:b/>
                <w:color w:val="FFFFFF"/>
                <w:sz w:val="16"/>
              </w:rPr>
              <w:t xml:space="preserve">Plan Awards: </w:t>
            </w:r>
            <w:r>
              <w:rPr/>
              <w:br/>
            </w:r>
            <w:r>
              <w:rPr>
                <w:rFonts w:ascii="Arial;Helvetica;Sans-Serif" w:hAnsi="Arial;Helvetica;Sans-Serif"/>
                <w:b/>
                <w:color w:val="FFFFFF"/>
                <w:sz w:val="16"/>
              </w:rPr>
              <w:t xml:space="preserve">Number of </w:t>
            </w:r>
            <w:r>
              <w:rPr/>
              <w:br/>
            </w:r>
            <w:r>
              <w:rPr>
                <w:rFonts w:ascii="Arial;Helvetica;Sans-Serif" w:hAnsi="Arial;Helvetica;Sans-Serif"/>
                <w:b/>
                <w:color w:val="FFFFFF"/>
                <w:sz w:val="16"/>
              </w:rPr>
              <w:t xml:space="preserve">Securities </w:t>
            </w:r>
            <w:r>
              <w:rPr/>
              <w:br/>
            </w:r>
            <w:r>
              <w:rPr>
                <w:rFonts w:ascii="Arial;Helvetica;Sans-Serif" w:hAnsi="Arial;Helvetica;Sans-Serif"/>
                <w:b/>
                <w:color w:val="FFFFFF"/>
                <w:sz w:val="16"/>
              </w:rPr>
              <w:t xml:space="preserve">Underlying </w:t>
            </w:r>
            <w:r>
              <w:rPr/>
              <w:br/>
            </w:r>
            <w:r>
              <w:rPr>
                <w:rFonts w:ascii="Arial;Helvetica;Sans-Serif" w:hAnsi="Arial;Helvetica;Sans-Serif"/>
                <w:b/>
                <w:color w:val="FFFFFF"/>
                <w:sz w:val="16"/>
              </w:rPr>
              <w:t xml:space="preserve">Unexercised </w:t>
            </w:r>
            <w:r>
              <w:rPr/>
              <w:br/>
            </w:r>
            <w:r>
              <w:rPr>
                <w:rFonts w:ascii="Arial;Helvetica;Sans-Serif" w:hAnsi="Arial;Helvetica;Sans-Serif"/>
                <w:b/>
                <w:color w:val="FFFFFF"/>
                <w:sz w:val="16"/>
              </w:rPr>
              <w:t xml:space="preserve">Unearned </w:t>
            </w:r>
            <w:r>
              <w:rPr/>
              <w:br/>
            </w:r>
            <w:r>
              <w:rPr>
                <w:rFonts w:ascii="Arial;Helvetica;Sans-Serif" w:hAnsi="Arial;Helvetica;Sans-Serif"/>
                <w:b/>
                <w:color w:val="FFFFFF"/>
                <w:sz w:val="16"/>
              </w:rPr>
              <w:t>Options (#)</w:t>
            </w:r>
            <w:r>
              <w:rPr>
                <w:rFonts w:ascii="Arial;Helvetica;Sans-Serif" w:hAnsi="Arial;Helvetica;Sans-Serif"/>
                <w:b/>
                <w:color w:val="FFFFFF"/>
              </w:rPr>
              <w:t>(2)</w:t>
            </w:r>
          </w:p>
        </w:tc>
        <w:tc>
          <w:tcPr>
            <w:tcW w:w="705" w:type="dxa"/>
            <w:tcBorders>
              <w:top w:val="single" w:sz="8" w:space="0" w:color="FFFFFF"/>
            </w:tcBorders>
            <w:shd w:fill="EE0027" w:val="clear"/>
            <w:tcMar>
              <w:top w:w="60" w:type="dxa"/>
            </w:tcM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Option </w:t>
              <w:br/>
              <w:t xml:space="preserve">Exercise </w:t>
              <w:br/>
              <w:t xml:space="preserve">Price </w:t>
              <w:br/>
              <w:t>($)</w:t>
            </w:r>
          </w:p>
        </w:tc>
        <w:tc>
          <w:tcPr>
            <w:tcW w:w="819" w:type="dxa"/>
            <w:tcBorders>
              <w:top w:val="single" w:sz="8" w:space="0" w:color="FFFFFF"/>
            </w:tcBorders>
            <w:shd w:fill="EE0027" w:val="clear"/>
            <w:tcMar>
              <w:top w:w="60" w:type="dxa"/>
            </w:tcMar>
            <w:vAlign w:val="center"/>
          </w:tcPr>
          <w:p>
            <w:pPr>
              <w:pStyle w:val="TableContents"/>
              <w:spacing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Option </w:t>
            </w:r>
            <w:r>
              <w:rPr>
                <w:rFonts w:ascii="Arial;Helvetica;Sans-Serif" w:hAnsi="Arial;Helvetica;Sans-Serif"/>
                <w:b w:val="false"/>
                <w:i w:val="false"/>
                <w:caps w:val="false"/>
                <w:smallCaps w:val="false"/>
                <w:color w:val="FFFFFF"/>
                <w:spacing w:val="-3"/>
                <w:sz w:val="16"/>
              </w:rPr>
              <w:br/>
            </w:r>
            <w:r>
              <w:rPr>
                <w:rFonts w:ascii="Arial;Helvetica;Sans-Serif" w:hAnsi="Arial;Helvetica;Sans-Serif"/>
                <w:b/>
                <w:i w:val="false"/>
                <w:caps w:val="false"/>
                <w:smallCaps w:val="false"/>
                <w:color w:val="FFFFFF"/>
                <w:spacing w:val="-4"/>
                <w:sz w:val="16"/>
              </w:rPr>
              <w:t xml:space="preserve">Expiration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3"/>
                <w:sz w:val="16"/>
              </w:rPr>
              <w:t>Date</w:t>
            </w:r>
          </w:p>
        </w:tc>
        <w:tc>
          <w:tcPr>
            <w:tcW w:w="60" w:type="dxa"/>
            <w:tcBorders/>
            <w:shd w:fill="EE0027" w:val="clear"/>
            <w:vAlign w:val="center"/>
          </w:tcPr>
          <w:p>
            <w:pPr>
              <w:pStyle w:val="TableContents"/>
              <w:spacing w:before="0" w:after="283"/>
              <w:jc w:val="left"/>
              <w:rPr/>
            </w:pPr>
            <w:r>
              <w:rPr/>
              <w:t> </w:t>
            </w:r>
          </w:p>
        </w:tc>
        <w:tc>
          <w:tcPr>
            <w:tcW w:w="715"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Number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of </w:t>
            </w:r>
            <w:r>
              <w:rPr>
                <w:rFonts w:ascii="Arial;Helvetica;Sans-Serif" w:hAnsi="Arial;Helvetica;Sans-Serif"/>
                <w:b/>
                <w:i w:val="false"/>
                <w:caps w:val="false"/>
                <w:smallCaps w:val="false"/>
                <w:color w:val="FFFFFF"/>
                <w:spacing w:val="-7"/>
                <w:sz w:val="16"/>
              </w:rPr>
              <w:t xml:space="preserve">Shares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or </w:t>
            </w:r>
            <w:r>
              <w:rPr>
                <w:rFonts w:ascii="Arial;Helvetica;Sans-Serif" w:hAnsi="Arial;Helvetica;Sans-Serif"/>
                <w:b/>
                <w:i w:val="false"/>
                <w:caps w:val="false"/>
                <w:smallCaps w:val="false"/>
                <w:color w:val="FFFFFF"/>
                <w:spacing w:val="-3"/>
                <w:sz w:val="16"/>
              </w:rPr>
              <w:t xml:space="preserve">Units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of </w:t>
            </w:r>
            <w:r>
              <w:rPr>
                <w:rFonts w:ascii="Arial;Helvetica;Sans-Serif" w:hAnsi="Arial;Helvetica;Sans-Serif"/>
                <w:b/>
                <w:i w:val="false"/>
                <w:caps w:val="false"/>
                <w:smallCaps w:val="false"/>
                <w:color w:val="FFFFFF"/>
                <w:spacing w:val="-3"/>
                <w:sz w:val="16"/>
              </w:rPr>
              <w:t xml:space="preserve">Stock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pacing w:val="-3"/>
                <w:sz w:val="16"/>
              </w:rPr>
              <w:t xml:space="preserve">that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pacing w:val="-3"/>
                <w:sz w:val="16"/>
              </w:rPr>
              <w:t xml:space="preserve">Have </w:t>
            </w:r>
            <w:r>
              <w:rPr>
                <w:rFonts w:ascii="Arial;Helvetica;Sans-Serif" w:hAnsi="Arial;Helvetica;Sans-Serif"/>
                <w:b/>
                <w:i w:val="false"/>
                <w:caps w:val="false"/>
                <w:smallCaps w:val="false"/>
                <w:color w:val="FFFFFF"/>
                <w:spacing w:val="-7"/>
                <w:sz w:val="16"/>
              </w:rPr>
              <w:t xml:space="preserve">Not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pacing w:val="-5"/>
                <w:sz w:val="16"/>
              </w:rPr>
              <w:t xml:space="preserve">Vested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 </w:t>
            </w:r>
            <w:r>
              <w:rPr>
                <w:rFonts w:ascii="Arial;Helvetica;Sans-Serif" w:hAnsi="Arial;Helvetica;Sans-Serif"/>
                <w:b/>
                <w:i w:val="false"/>
                <w:caps w:val="false"/>
                <w:smallCaps w:val="false"/>
                <w:color w:val="FFFFFF"/>
                <w:spacing w:val="-2"/>
                <w:sz w:val="20"/>
              </w:rPr>
              <w:t>(3)</w:t>
            </w:r>
          </w:p>
        </w:tc>
        <w:tc>
          <w:tcPr>
            <w:tcW w:w="795"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Market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Value of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Shares or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Units of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Stock that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Have Not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Vested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 </w:t>
            </w:r>
            <w:r>
              <w:rPr>
                <w:rFonts w:ascii="Arial;Helvetica;Sans-Serif" w:hAnsi="Arial;Helvetica;Sans-Serif"/>
                <w:b/>
                <w:i w:val="false"/>
                <w:caps w:val="false"/>
                <w:smallCaps w:val="false"/>
                <w:color w:val="FFFFFF"/>
                <w:sz w:val="20"/>
              </w:rPr>
              <w:t>(4)</w:t>
            </w:r>
          </w:p>
        </w:tc>
        <w:tc>
          <w:tcPr>
            <w:tcW w:w="969" w:type="dxa"/>
            <w:tcBorders>
              <w:top w:val="single" w:sz="8" w:space="0" w:color="FFFFFF"/>
            </w:tcBorders>
            <w:shd w:fill="EE0027" w:val="clear"/>
            <w:tcMar>
              <w:top w:w="60" w:type="dxa"/>
            </w:tcMar>
            <w:vAlign w:val="center"/>
          </w:tcPr>
          <w:p>
            <w:pPr>
              <w:pStyle w:val="TableContents"/>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Vested (#)</w:t>
            </w:r>
          </w:p>
        </w:tc>
        <w:tc>
          <w:tcPr>
            <w:tcW w:w="1076" w:type="dxa"/>
            <w:tcBorders>
              <w:top w:val="single" w:sz="8" w:space="0" w:color="FFFFFF"/>
            </w:tcBorders>
            <w:shd w:fill="EE0027" w:val="clear"/>
            <w:tcMar>
              <w:top w:w="60" w:type="dxa"/>
            </w:tcMar>
            <w:vAlign w:val="center"/>
          </w:tcPr>
          <w:p>
            <w:pPr>
              <w:pStyle w:val="TableContents"/>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Equity </w:t>
              <w:br/>
              <w:t xml:space="preserve">Incentive </w:t>
              <w:br/>
              <w:t xml:space="preserve">Plan </w:t>
            </w:r>
            <w:r>
              <w:rPr>
                <w:rFonts w:ascii="Arial;Helvetica;Sans-Serif" w:hAnsi="Arial;Helvetica;Sans-Serif"/>
                <w:b/>
                <w:i w:val="false"/>
                <w:caps w:val="false"/>
                <w:smallCaps w:val="false"/>
                <w:color w:val="FFFFFF"/>
                <w:spacing w:val="-5"/>
                <w:sz w:val="16"/>
              </w:rPr>
              <w:t xml:space="preserve">Awards: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4"/>
                <w:sz w:val="16"/>
              </w:rPr>
              <w:t xml:space="preserve">Market </w:t>
            </w:r>
            <w:r>
              <w:rPr>
                <w:rFonts w:ascii="Arial;Helvetica;Sans-Serif" w:hAnsi="Arial;Helvetica;Sans-Serif"/>
                <w:b/>
                <w:i w:val="false"/>
                <w:caps w:val="false"/>
                <w:smallCaps w:val="false"/>
                <w:color w:val="FFFFFF"/>
                <w:spacing w:val="-3"/>
                <w:sz w:val="16"/>
              </w:rPr>
              <w:t xml:space="preserve">or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4"/>
                <w:sz w:val="16"/>
              </w:rPr>
              <w:t xml:space="preserve">Payout </w:t>
            </w:r>
            <w:r>
              <w:rPr>
                <w:rFonts w:ascii="Arial;Helvetica;Sans-Serif" w:hAnsi="Arial;Helvetica;Sans-Serif"/>
                <w:b/>
                <w:i w:val="false"/>
                <w:caps w:val="false"/>
                <w:smallCaps w:val="false"/>
                <w:color w:val="FFFFFF"/>
                <w:spacing w:val="-9"/>
                <w:sz w:val="16"/>
              </w:rPr>
              <w:t xml:space="preserve">Value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z w:val="16"/>
              </w:rPr>
              <w:t xml:space="preserve">of </w:t>
            </w:r>
            <w:r>
              <w:rPr>
                <w:rFonts w:ascii="Arial;Helvetica;Sans-Serif" w:hAnsi="Arial;Helvetica;Sans-Serif"/>
                <w:b/>
                <w:i w:val="false"/>
                <w:caps w:val="false"/>
                <w:smallCaps w:val="false"/>
                <w:color w:val="FFFFFF"/>
                <w:spacing w:val="-4"/>
                <w:sz w:val="16"/>
              </w:rPr>
              <w:t xml:space="preserve">Unearned </w:t>
              <w:br/>
            </w:r>
            <w:r>
              <w:rPr>
                <w:rFonts w:ascii="Arial;Helvetica;Sans-Serif" w:hAnsi="Arial;Helvetica;Sans-Serif"/>
                <w:b/>
                <w:i w:val="false"/>
                <w:caps w:val="false"/>
                <w:smallCaps w:val="false"/>
                <w:color w:val="FFFFFF"/>
                <w:spacing w:val="-3"/>
                <w:sz w:val="16"/>
              </w:rPr>
              <w:t>Shares, Units</w:t>
            </w:r>
          </w:p>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or Other Rights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that Have Not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Vested ($) </w:t>
            </w:r>
            <w:r>
              <w:rPr>
                <w:rFonts w:ascii="Arial;Helvetica;Sans-Serif" w:hAnsi="Arial;Helvetica;Sans-Serif"/>
                <w:b/>
                <w:i w:val="false"/>
                <w:caps w:val="false"/>
                <w:smallCaps w:val="false"/>
                <w:color w:val="FFFFFF"/>
                <w:sz w:val="20"/>
              </w:rPr>
              <w:t>(4)</w:t>
            </w:r>
          </w:p>
        </w:tc>
      </w:tr>
      <w:tr>
        <w:trPr/>
        <w:tc>
          <w:tcPr>
            <w:tcW w:w="875" w:type="dxa"/>
            <w:vMerge w:val="restart"/>
            <w:tcBorders/>
            <w:shd w:fill="auto" w:val="clear"/>
            <w:vAlign w:val="center"/>
          </w:tcPr>
          <w:p>
            <w:pPr>
              <w:pStyle w:val="TableContents"/>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Armando</w:t>
            </w:r>
          </w:p>
          <w:p>
            <w:pPr>
              <w:pStyle w:val="TableContents"/>
              <w:spacing w:before="0" w:after="283"/>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L. Netto</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1/20/2016</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18,500</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$114.90</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1/20/2026</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vMerge w:val="continue"/>
            <w:tcBorders/>
            <w:shd w:fill="auto" w:val="clear"/>
            <w:vAlign w:val="center"/>
          </w:tcPr>
          <w:p>
            <w:pPr>
              <w:pStyle w:val="Normal"/>
              <w:rPr/>
            </w:pPr>
            <w:r>
              <w:rPr/>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5/5/2017</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30,000</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$133.40</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5/5/2027</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3/1/2018</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15,000</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$199.75</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3/1/2028</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2/27/2019</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15,000</w:t>
            </w:r>
          </w:p>
        </w:tc>
        <w:tc>
          <w:tcPr>
            <w:tcW w:w="1280"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5,000</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$231.70</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2/27/2029</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3/27/2020</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12,531</w:t>
            </w:r>
          </w:p>
        </w:tc>
        <w:tc>
          <w:tcPr>
            <w:tcW w:w="1280"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12,532</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$196.18</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3/27/2030</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10/21/2020</w:t>
            </w:r>
          </w:p>
        </w:tc>
        <w:tc>
          <w:tcPr>
            <w:tcW w:w="1103" w:type="dxa"/>
            <w:tcBorders/>
            <w:shd w:fill="auto" w:val="clear"/>
            <w:vAlign w:val="center"/>
          </w:tcPr>
          <w:p>
            <w:pPr>
              <w:pStyle w:val="TableContents"/>
              <w:spacing w:before="0" w:after="283"/>
              <w:jc w:val="left"/>
              <w:rPr>
                <w:color w:val="58595B"/>
              </w:rPr>
            </w:pPr>
            <w:r>
              <w:rPr>
                <w:color w:val="58595B"/>
              </w:rPr>
              <w:t>—</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color w:val="58595B"/>
              </w:rPr>
            </w:pPr>
            <w:r>
              <w:rPr>
                <w:color w:val="58595B"/>
              </w:rPr>
              <w:t>—</w:t>
            </w:r>
          </w:p>
        </w:tc>
        <w:tc>
          <w:tcPr>
            <w:tcW w:w="819" w:type="dxa"/>
            <w:tcBorders/>
            <w:shd w:fill="auto" w:val="clear"/>
            <w:vAlign w:val="center"/>
          </w:tcPr>
          <w:p>
            <w:pPr>
              <w:pStyle w:val="TableContents"/>
              <w:spacing w:before="0" w:after="283"/>
              <w:jc w:val="left"/>
              <w:rPr>
                <w:color w:val="58595B"/>
              </w:rPr>
            </w:pPr>
            <w:r>
              <w:rPr>
                <w:color w:val="58595B"/>
              </w:rPr>
              <w:t>—</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1,020</w:t>
            </w:r>
          </w:p>
        </w:tc>
        <w:tc>
          <w:tcPr>
            <w:tcW w:w="79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$187,354</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1/25/2021</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4,116</w:t>
            </w:r>
          </w:p>
        </w:tc>
        <w:tc>
          <w:tcPr>
            <w:tcW w:w="1280"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12,350</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$261.07</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1/25/2031</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1076" w:type="dxa"/>
            <w:tcBorders/>
            <w:shd w:fill="auto" w:val="clear"/>
            <w:vAlign w:val="center"/>
          </w:tcPr>
          <w:p>
            <w:pPr>
              <w:pStyle w:val="TableContents"/>
              <w:spacing w:before="0" w:after="283"/>
              <w:jc w:val="left"/>
              <w:rPr>
                <w:caps w:val="false"/>
                <w:smallCaps w:val="false"/>
                <w:color w:val="58595B"/>
              </w:rPr>
            </w:pPr>
            <w:r>
              <w:rPr>
                <w:caps w:val="false"/>
                <w:smallCaps w:val="false"/>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1/25/2021</w:t>
            </w:r>
          </w:p>
        </w:tc>
        <w:tc>
          <w:tcPr>
            <w:tcW w:w="1103" w:type="dxa"/>
            <w:tcBorders/>
            <w:shd w:fill="auto" w:val="clear"/>
            <w:vAlign w:val="center"/>
          </w:tcPr>
          <w:p>
            <w:pPr>
              <w:pStyle w:val="TableContents"/>
              <w:spacing w:before="0" w:after="283"/>
              <w:jc w:val="left"/>
              <w:rPr>
                <w:color w:val="58595B"/>
              </w:rPr>
            </w:pPr>
            <w:r>
              <w:rPr>
                <w:color w:val="58595B"/>
              </w:rPr>
              <w:t>—</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color w:val="58595B"/>
              </w:rPr>
            </w:pPr>
            <w:r>
              <w:rPr>
                <w:color w:val="58595B"/>
              </w:rPr>
              <w:t>—</w:t>
            </w:r>
          </w:p>
        </w:tc>
        <w:tc>
          <w:tcPr>
            <w:tcW w:w="819" w:type="dxa"/>
            <w:tcBorders/>
            <w:shd w:fill="auto" w:val="clear"/>
            <w:vAlign w:val="center"/>
          </w:tcPr>
          <w:p>
            <w:pPr>
              <w:pStyle w:val="TableContents"/>
              <w:spacing w:before="0" w:after="283"/>
              <w:jc w:val="left"/>
              <w:rPr>
                <w:color w:val="58595B"/>
              </w:rPr>
            </w:pPr>
            <w:r>
              <w:rPr>
                <w:color w:val="58595B"/>
              </w:rPr>
              <w:t>—</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3,526</w:t>
            </w:r>
          </w:p>
        </w:tc>
        <w:tc>
          <w:tcPr>
            <w:tcW w:w="79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$647,656</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4/21/2021</w:t>
            </w:r>
          </w:p>
        </w:tc>
        <w:tc>
          <w:tcPr>
            <w:tcW w:w="1103" w:type="dxa"/>
            <w:tcBorders/>
            <w:shd w:fill="auto" w:val="clear"/>
            <w:vAlign w:val="center"/>
          </w:tcPr>
          <w:p>
            <w:pPr>
              <w:pStyle w:val="TableContents"/>
              <w:spacing w:before="0" w:after="283"/>
              <w:jc w:val="left"/>
              <w:rPr>
                <w:color w:val="58595B"/>
              </w:rPr>
            </w:pPr>
            <w:r>
              <w:rPr>
                <w:color w:val="58595B"/>
              </w:rPr>
              <w:t>—</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35,000</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$196.18</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3/27/2030</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3" w:type="dxa"/>
            <w:tcBorders/>
            <w:shd w:fill="auto" w:val="clear"/>
            <w:vAlign w:val="center"/>
          </w:tcPr>
          <w:p>
            <w:pPr>
              <w:pStyle w:val="TableContents"/>
              <w:spacing w:before="0" w:after="283"/>
              <w:jc w:val="left"/>
              <w:rPr>
                <w:color w:val="58595B"/>
              </w:rPr>
            </w:pPr>
            <w:r>
              <w:rPr>
                <w:color w:val="58595B"/>
              </w:rPr>
              <w:t>—</w:t>
            </w:r>
          </w:p>
        </w:tc>
        <w:tc>
          <w:tcPr>
            <w:tcW w:w="1280"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18,352</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$225.45</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1/24/2032</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3" w:type="dxa"/>
            <w:tcBorders/>
            <w:shd w:fill="auto" w:val="clear"/>
            <w:vAlign w:val="center"/>
          </w:tcPr>
          <w:p>
            <w:pPr>
              <w:pStyle w:val="TableContents"/>
              <w:spacing w:before="0" w:after="283"/>
              <w:jc w:val="left"/>
              <w:rPr>
                <w:color w:val="58595B"/>
              </w:rPr>
            </w:pPr>
            <w:r>
              <w:rPr>
                <w:color w:val="58595B"/>
              </w:rPr>
              <w:t>—</w:t>
            </w:r>
          </w:p>
        </w:tc>
        <w:tc>
          <w:tcPr>
            <w:tcW w:w="1280"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18,352</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$225.45</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1/24/2032</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3" w:type="dxa"/>
            <w:tcBorders/>
            <w:shd w:fill="auto" w:val="clear"/>
            <w:vAlign w:val="center"/>
          </w:tcPr>
          <w:p>
            <w:pPr>
              <w:pStyle w:val="TableContents"/>
              <w:spacing w:before="0" w:after="283"/>
              <w:jc w:val="left"/>
              <w:rPr>
                <w:color w:val="58595B"/>
              </w:rPr>
            </w:pPr>
            <w:r>
              <w:rPr>
                <w:color w:val="58595B"/>
              </w:rPr>
              <w:t>—</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color w:val="58595B"/>
              </w:rPr>
            </w:pPr>
            <w:r>
              <w:rPr>
                <w:color w:val="58595B"/>
              </w:rPr>
              <w:t>—</w:t>
            </w:r>
          </w:p>
        </w:tc>
        <w:tc>
          <w:tcPr>
            <w:tcW w:w="819" w:type="dxa"/>
            <w:tcBorders/>
            <w:shd w:fill="auto" w:val="clear"/>
            <w:vAlign w:val="center"/>
          </w:tcPr>
          <w:p>
            <w:pPr>
              <w:pStyle w:val="TableContents"/>
              <w:spacing w:before="0" w:after="283"/>
              <w:jc w:val="left"/>
              <w:rPr>
                <w:color w:val="58595B"/>
              </w:rPr>
            </w:pPr>
            <w:r>
              <w:rPr>
                <w:color w:val="58595B"/>
              </w:rPr>
              <w:t>—</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lineRule="auto" w:line="240" w:before="0" w:after="283"/>
              <w:jc w:val="left"/>
              <w:rPr>
                <w:rFonts w:ascii="Arial;Helvetica;Sans-Serif" w:hAnsi="Arial;Helvetica;Sans-Serif"/>
                <w:color w:val="58595B"/>
                <w:sz w:val="16"/>
              </w:rPr>
            </w:pPr>
            <w:r>
              <w:rPr>
                <w:rFonts w:ascii="Arial;Helvetica;Sans-Serif" w:hAnsi="Arial;Helvetica;Sans-Serif"/>
                <w:color w:val="58595B"/>
                <w:sz w:val="16"/>
              </w:rPr>
              <w:t>1,486(5)</w:t>
            </w:r>
          </w:p>
        </w:tc>
        <w:tc>
          <w:tcPr>
            <w:tcW w:w="107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$272,948</w:t>
            </w:r>
          </w:p>
        </w:tc>
      </w:tr>
      <w:tr>
        <w:trPr/>
        <w:tc>
          <w:tcPr>
            <w:tcW w:w="875" w:type="dxa"/>
            <w:tcBorders/>
            <w:shd w:fill="auto" w:val="clear"/>
            <w:vAlign w:val="center"/>
          </w:tcPr>
          <w:p>
            <w:pPr>
              <w:pStyle w:val="TableContents"/>
              <w:spacing w:before="0" w:after="283"/>
              <w:jc w:val="left"/>
              <w:rPr/>
            </w:pPr>
            <w:r>
              <w:rPr/>
              <w:t> </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3" w:type="dxa"/>
            <w:tcBorders/>
            <w:shd w:fill="auto" w:val="clear"/>
            <w:vAlign w:val="center"/>
          </w:tcPr>
          <w:p>
            <w:pPr>
              <w:pStyle w:val="TableContents"/>
              <w:spacing w:before="0" w:after="283"/>
              <w:jc w:val="left"/>
              <w:rPr>
                <w:color w:val="58595B"/>
              </w:rPr>
            </w:pPr>
            <w:r>
              <w:rPr>
                <w:color w:val="58595B"/>
              </w:rPr>
              <w:t>—</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color w:val="58595B"/>
              </w:rPr>
            </w:pPr>
            <w:r>
              <w:rPr>
                <w:color w:val="58595B"/>
              </w:rPr>
              <w:t>—</w:t>
            </w:r>
          </w:p>
        </w:tc>
        <w:tc>
          <w:tcPr>
            <w:tcW w:w="819" w:type="dxa"/>
            <w:tcBorders/>
            <w:shd w:fill="auto" w:val="clear"/>
            <w:vAlign w:val="center"/>
          </w:tcPr>
          <w:p>
            <w:pPr>
              <w:pStyle w:val="TableContents"/>
              <w:spacing w:before="0" w:after="283"/>
              <w:jc w:val="left"/>
              <w:rPr>
                <w:color w:val="58595B"/>
              </w:rPr>
            </w:pPr>
            <w:r>
              <w:rPr>
                <w:color w:val="58595B"/>
              </w:rPr>
              <w:t>—</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lineRule="auto" w:line="240" w:before="0" w:after="283"/>
              <w:jc w:val="left"/>
              <w:rPr>
                <w:rFonts w:ascii="Arial;Helvetica;Sans-Serif" w:hAnsi="Arial;Helvetica;Sans-Serif"/>
                <w:color w:val="58595B"/>
                <w:sz w:val="16"/>
              </w:rPr>
            </w:pPr>
            <w:r>
              <w:rPr>
                <w:rFonts w:ascii="Arial;Helvetica;Sans-Serif" w:hAnsi="Arial;Helvetica;Sans-Serif"/>
                <w:color w:val="58595B"/>
                <w:sz w:val="16"/>
              </w:rPr>
              <w:t>5,323(6)</w:t>
            </w:r>
          </w:p>
        </w:tc>
        <w:tc>
          <w:tcPr>
            <w:tcW w:w="107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$977,729</w:t>
            </w:r>
          </w:p>
        </w:tc>
      </w:tr>
      <w:tr>
        <w:trPr/>
        <w:tc>
          <w:tcPr>
            <w:tcW w:w="875" w:type="dxa"/>
            <w:tcBorders/>
            <w:shd w:fill="DCDDDE"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Alan King</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8/1/2016</w:t>
            </w:r>
          </w:p>
        </w:tc>
        <w:tc>
          <w:tcPr>
            <w:tcW w:w="1103"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11,272</w:t>
            </w:r>
          </w:p>
        </w:tc>
        <w:tc>
          <w:tcPr>
            <w:tcW w:w="1280" w:type="dxa"/>
            <w:tcBorders/>
            <w:shd w:fill="DCDDDE" w:val="clear"/>
            <w:vAlign w:val="center"/>
          </w:tcPr>
          <w:p>
            <w:pPr>
              <w:pStyle w:val="TableContents"/>
              <w:spacing w:before="0" w:after="283"/>
              <w:jc w:val="left"/>
              <w:rPr>
                <w:color w:val="58595B"/>
              </w:rPr>
            </w:pPr>
            <w:r>
              <w:rPr>
                <w:color w:val="58595B"/>
              </w:rPr>
              <w:t>—</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$152.31</w:t>
            </w:r>
          </w:p>
        </w:tc>
        <w:tc>
          <w:tcPr>
            <w:tcW w:w="81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8/1/2026</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5/5/2017</w:t>
            </w:r>
          </w:p>
        </w:tc>
        <w:tc>
          <w:tcPr>
            <w:tcW w:w="1103"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15,000</w:t>
            </w:r>
          </w:p>
        </w:tc>
        <w:tc>
          <w:tcPr>
            <w:tcW w:w="1280" w:type="dxa"/>
            <w:tcBorders/>
            <w:shd w:fill="DCDDDE" w:val="clear"/>
            <w:vAlign w:val="center"/>
          </w:tcPr>
          <w:p>
            <w:pPr>
              <w:pStyle w:val="TableContents"/>
              <w:spacing w:before="0" w:after="283"/>
              <w:jc w:val="left"/>
              <w:rPr>
                <w:color w:val="58595B"/>
              </w:rPr>
            </w:pPr>
            <w:r>
              <w:rPr>
                <w:color w:val="58595B"/>
              </w:rPr>
              <w:t>—</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$133.40</w:t>
            </w:r>
          </w:p>
        </w:tc>
        <w:tc>
          <w:tcPr>
            <w:tcW w:w="81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5/5/2027</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2/27/2019</w:t>
            </w:r>
          </w:p>
        </w:tc>
        <w:tc>
          <w:tcPr>
            <w:tcW w:w="1103"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7,200</w:t>
            </w:r>
          </w:p>
        </w:tc>
        <w:tc>
          <w:tcPr>
            <w:tcW w:w="1280"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2,400</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$231.70</w:t>
            </w:r>
          </w:p>
        </w:tc>
        <w:tc>
          <w:tcPr>
            <w:tcW w:w="81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2/27/2029</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3/27/2020</w:t>
            </w:r>
          </w:p>
        </w:tc>
        <w:tc>
          <w:tcPr>
            <w:tcW w:w="1103"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10,443</w:t>
            </w:r>
          </w:p>
        </w:tc>
        <w:tc>
          <w:tcPr>
            <w:tcW w:w="1280"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10,443</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$196.18</w:t>
            </w:r>
          </w:p>
        </w:tc>
        <w:tc>
          <w:tcPr>
            <w:tcW w:w="81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3/27/2030</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10/21/2020</w:t>
            </w:r>
          </w:p>
        </w:tc>
        <w:tc>
          <w:tcPr>
            <w:tcW w:w="1103" w:type="dxa"/>
            <w:tcBorders/>
            <w:shd w:fill="DCDDDE" w:val="clear"/>
            <w:vAlign w:val="center"/>
          </w:tcPr>
          <w:p>
            <w:pPr>
              <w:pStyle w:val="TableContents"/>
              <w:spacing w:before="0" w:after="283"/>
              <w:jc w:val="left"/>
              <w:rPr>
                <w:color w:val="58595B"/>
              </w:rPr>
            </w:pPr>
            <w:r>
              <w:rPr>
                <w:color w:val="58595B"/>
              </w:rPr>
              <w:t>—</w:t>
            </w:r>
          </w:p>
        </w:tc>
        <w:tc>
          <w:tcPr>
            <w:tcW w:w="1280" w:type="dxa"/>
            <w:tcBorders/>
            <w:shd w:fill="DCDDDE" w:val="clear"/>
            <w:vAlign w:val="center"/>
          </w:tcPr>
          <w:p>
            <w:pPr>
              <w:pStyle w:val="TableContents"/>
              <w:spacing w:before="0" w:after="283"/>
              <w:jc w:val="left"/>
              <w:rPr>
                <w:color w:val="58595B"/>
              </w:rPr>
            </w:pPr>
            <w:r>
              <w:rPr>
                <w:color w:val="58595B"/>
              </w:rPr>
              <w:t>—</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color w:val="58595B"/>
              </w:rPr>
            </w:pPr>
            <w:r>
              <w:rPr>
                <w:color w:val="58595B"/>
              </w:rPr>
              <w:t>—</w:t>
            </w:r>
          </w:p>
        </w:tc>
        <w:tc>
          <w:tcPr>
            <w:tcW w:w="819"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917</w:t>
            </w:r>
          </w:p>
        </w:tc>
        <w:tc>
          <w:tcPr>
            <w:tcW w:w="79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$168,435</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1/25/2021</w:t>
            </w:r>
          </w:p>
        </w:tc>
        <w:tc>
          <w:tcPr>
            <w:tcW w:w="1103"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3,430</w:t>
            </w:r>
          </w:p>
        </w:tc>
        <w:tc>
          <w:tcPr>
            <w:tcW w:w="1280"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10,292</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$261.07</w:t>
            </w:r>
          </w:p>
        </w:tc>
        <w:tc>
          <w:tcPr>
            <w:tcW w:w="81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1/25/2031</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1/25/2021</w:t>
            </w:r>
          </w:p>
        </w:tc>
        <w:tc>
          <w:tcPr>
            <w:tcW w:w="1103" w:type="dxa"/>
            <w:tcBorders/>
            <w:shd w:fill="DCDDDE" w:val="clear"/>
            <w:vAlign w:val="center"/>
          </w:tcPr>
          <w:p>
            <w:pPr>
              <w:pStyle w:val="TableContents"/>
              <w:spacing w:before="0" w:after="283"/>
              <w:jc w:val="left"/>
              <w:rPr>
                <w:color w:val="58595B"/>
              </w:rPr>
            </w:pPr>
            <w:r>
              <w:rPr>
                <w:color w:val="58595B"/>
              </w:rPr>
              <w:t>—</w:t>
            </w:r>
          </w:p>
        </w:tc>
        <w:tc>
          <w:tcPr>
            <w:tcW w:w="1280" w:type="dxa"/>
            <w:tcBorders/>
            <w:shd w:fill="DCDDDE" w:val="clear"/>
            <w:vAlign w:val="center"/>
          </w:tcPr>
          <w:p>
            <w:pPr>
              <w:pStyle w:val="TableContents"/>
              <w:spacing w:before="0" w:after="283"/>
              <w:jc w:val="left"/>
              <w:rPr>
                <w:color w:val="58595B"/>
              </w:rPr>
            </w:pPr>
            <w:r>
              <w:rPr>
                <w:color w:val="58595B"/>
              </w:rPr>
              <w:t>—</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color w:val="58595B"/>
              </w:rPr>
            </w:pPr>
            <w:r>
              <w:rPr>
                <w:color w:val="58595B"/>
              </w:rPr>
              <w:t>—</w:t>
            </w:r>
          </w:p>
        </w:tc>
        <w:tc>
          <w:tcPr>
            <w:tcW w:w="819"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2,922</w:t>
            </w:r>
          </w:p>
        </w:tc>
        <w:tc>
          <w:tcPr>
            <w:tcW w:w="79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$536,713</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3" w:type="dxa"/>
            <w:tcBorders/>
            <w:shd w:fill="DCDDDE" w:val="clear"/>
            <w:vAlign w:val="center"/>
          </w:tcPr>
          <w:p>
            <w:pPr>
              <w:pStyle w:val="TableContents"/>
              <w:spacing w:before="0" w:after="283"/>
              <w:jc w:val="left"/>
              <w:rPr>
                <w:color w:val="58595B"/>
              </w:rPr>
            </w:pPr>
            <w:r>
              <w:rPr>
                <w:color w:val="58595B"/>
              </w:rPr>
              <w:t>—</w:t>
            </w:r>
          </w:p>
        </w:tc>
        <w:tc>
          <w:tcPr>
            <w:tcW w:w="1280"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18,352</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$225.45</w:t>
            </w:r>
          </w:p>
        </w:tc>
        <w:tc>
          <w:tcPr>
            <w:tcW w:w="81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1/24/2032</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3" w:type="dxa"/>
            <w:tcBorders/>
            <w:shd w:fill="DCDDDE" w:val="clear"/>
            <w:vAlign w:val="center"/>
          </w:tcPr>
          <w:p>
            <w:pPr>
              <w:pStyle w:val="TableContents"/>
              <w:spacing w:before="0" w:after="283"/>
              <w:jc w:val="left"/>
              <w:rPr>
                <w:color w:val="58595B"/>
              </w:rPr>
            </w:pPr>
            <w:r>
              <w:rPr>
                <w:color w:val="58595B"/>
              </w:rPr>
              <w:t>—</w:t>
            </w:r>
          </w:p>
        </w:tc>
        <w:tc>
          <w:tcPr>
            <w:tcW w:w="1280"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18,352</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$225.45</w:t>
            </w:r>
          </w:p>
        </w:tc>
        <w:tc>
          <w:tcPr>
            <w:tcW w:w="819"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1/24/2032</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before="0" w:after="283"/>
              <w:jc w:val="left"/>
              <w:rPr>
                <w:color w:val="58595B"/>
              </w:rPr>
            </w:pPr>
            <w:r>
              <w:rPr>
                <w:color w:val="58595B"/>
              </w:rPr>
              <w:t>—</w:t>
            </w:r>
          </w:p>
        </w:tc>
        <w:tc>
          <w:tcPr>
            <w:tcW w:w="1076" w:type="dxa"/>
            <w:tcBorders/>
            <w:shd w:fill="DCDDDE" w:val="clear"/>
            <w:vAlign w:val="center"/>
          </w:tcPr>
          <w:p>
            <w:pPr>
              <w:pStyle w:val="TableContents"/>
              <w:spacing w:before="0" w:after="283"/>
              <w:jc w:val="left"/>
              <w:rPr>
                <w:color w:val="58595B"/>
              </w:rPr>
            </w:pPr>
            <w:r>
              <w:rPr>
                <w:color w:val="58595B"/>
              </w:rPr>
              <w:t>—</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3" w:type="dxa"/>
            <w:tcBorders/>
            <w:shd w:fill="DCDDDE" w:val="clear"/>
            <w:vAlign w:val="center"/>
          </w:tcPr>
          <w:p>
            <w:pPr>
              <w:pStyle w:val="TableContents"/>
              <w:spacing w:before="0" w:after="283"/>
              <w:jc w:val="left"/>
              <w:rPr>
                <w:color w:val="58595B"/>
              </w:rPr>
            </w:pPr>
            <w:r>
              <w:rPr>
                <w:color w:val="58595B"/>
              </w:rPr>
              <w:t>—</w:t>
            </w:r>
          </w:p>
        </w:tc>
        <w:tc>
          <w:tcPr>
            <w:tcW w:w="1280" w:type="dxa"/>
            <w:tcBorders/>
            <w:shd w:fill="DCDDDE" w:val="clear"/>
            <w:vAlign w:val="center"/>
          </w:tcPr>
          <w:p>
            <w:pPr>
              <w:pStyle w:val="TableContents"/>
              <w:spacing w:before="0" w:after="283"/>
              <w:jc w:val="left"/>
              <w:rPr>
                <w:color w:val="58595B"/>
              </w:rPr>
            </w:pPr>
            <w:r>
              <w:rPr>
                <w:color w:val="58595B"/>
              </w:rPr>
              <w:t>—</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color w:val="58595B"/>
              </w:rPr>
            </w:pPr>
            <w:r>
              <w:rPr>
                <w:color w:val="58595B"/>
              </w:rPr>
              <w:t>—</w:t>
            </w:r>
          </w:p>
        </w:tc>
        <w:tc>
          <w:tcPr>
            <w:tcW w:w="819"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lineRule="auto" w:line="240" w:before="0" w:after="283"/>
              <w:jc w:val="left"/>
              <w:rPr>
                <w:rFonts w:ascii="Arial;Helvetica;Sans-Serif" w:hAnsi="Arial;Helvetica;Sans-Serif"/>
                <w:color w:val="58595B"/>
                <w:sz w:val="16"/>
              </w:rPr>
            </w:pPr>
            <w:r>
              <w:rPr>
                <w:rFonts w:ascii="Arial;Helvetica;Sans-Serif" w:hAnsi="Arial;Helvetica;Sans-Serif"/>
                <w:color w:val="58595B"/>
                <w:sz w:val="16"/>
              </w:rPr>
              <w:t>1,486(5)</w:t>
            </w:r>
          </w:p>
        </w:tc>
        <w:tc>
          <w:tcPr>
            <w:tcW w:w="107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$272,948</w:t>
            </w:r>
          </w:p>
        </w:tc>
      </w:tr>
      <w:tr>
        <w:trPr/>
        <w:tc>
          <w:tcPr>
            <w:tcW w:w="875" w:type="dxa"/>
            <w:tcBorders/>
            <w:shd w:fill="DCDDDE" w:val="clear"/>
            <w:vAlign w:val="center"/>
          </w:tcPr>
          <w:p>
            <w:pPr>
              <w:pStyle w:val="TableContents"/>
              <w:spacing w:before="0" w:after="283"/>
              <w:jc w:val="left"/>
              <w:rPr/>
            </w:pPr>
            <w:r>
              <w:rPr/>
              <w:t> </w:t>
            </w:r>
          </w:p>
        </w:tc>
        <w:tc>
          <w:tcPr>
            <w:tcW w:w="69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1/24/2022</w:t>
            </w:r>
          </w:p>
        </w:tc>
        <w:tc>
          <w:tcPr>
            <w:tcW w:w="1103" w:type="dxa"/>
            <w:tcBorders/>
            <w:shd w:fill="DCDDDE" w:val="clear"/>
            <w:vAlign w:val="center"/>
          </w:tcPr>
          <w:p>
            <w:pPr>
              <w:pStyle w:val="TableContents"/>
              <w:spacing w:before="0" w:after="283"/>
              <w:jc w:val="left"/>
              <w:rPr>
                <w:color w:val="58595B"/>
              </w:rPr>
            </w:pPr>
            <w:r>
              <w:rPr>
                <w:color w:val="58595B"/>
              </w:rPr>
              <w:t>—</w:t>
            </w:r>
          </w:p>
        </w:tc>
        <w:tc>
          <w:tcPr>
            <w:tcW w:w="1280" w:type="dxa"/>
            <w:tcBorders/>
            <w:shd w:fill="DCDDDE" w:val="clear"/>
            <w:vAlign w:val="center"/>
          </w:tcPr>
          <w:p>
            <w:pPr>
              <w:pStyle w:val="TableContents"/>
              <w:spacing w:before="0" w:after="283"/>
              <w:jc w:val="left"/>
              <w:rPr>
                <w:color w:val="58595B"/>
              </w:rPr>
            </w:pPr>
            <w:r>
              <w:rPr>
                <w:color w:val="58595B"/>
              </w:rPr>
              <w:t>—</w:t>
            </w:r>
          </w:p>
        </w:tc>
        <w:tc>
          <w:tcPr>
            <w:tcW w:w="1112" w:type="dxa"/>
            <w:tcBorders/>
            <w:shd w:fill="DCDDDE" w:val="clear"/>
            <w:vAlign w:val="center"/>
          </w:tcPr>
          <w:p>
            <w:pPr>
              <w:pStyle w:val="TableContents"/>
              <w:spacing w:before="0" w:after="283"/>
              <w:jc w:val="left"/>
              <w:rPr>
                <w:color w:val="58595B"/>
              </w:rPr>
            </w:pPr>
            <w:r>
              <w:rPr>
                <w:color w:val="58595B"/>
              </w:rPr>
              <w:t>—</w:t>
            </w:r>
          </w:p>
        </w:tc>
        <w:tc>
          <w:tcPr>
            <w:tcW w:w="705" w:type="dxa"/>
            <w:tcBorders/>
            <w:shd w:fill="DCDDDE" w:val="clear"/>
            <w:vAlign w:val="center"/>
          </w:tcPr>
          <w:p>
            <w:pPr>
              <w:pStyle w:val="TableContents"/>
              <w:spacing w:before="0" w:after="283"/>
              <w:jc w:val="left"/>
              <w:rPr>
                <w:color w:val="58595B"/>
              </w:rPr>
            </w:pPr>
            <w:r>
              <w:rPr>
                <w:color w:val="58595B"/>
              </w:rPr>
              <w:t>—</w:t>
            </w:r>
          </w:p>
        </w:tc>
        <w:tc>
          <w:tcPr>
            <w:tcW w:w="819"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715" w:type="dxa"/>
            <w:tcBorders/>
            <w:shd w:fill="DCDDDE" w:val="clear"/>
            <w:vAlign w:val="center"/>
          </w:tcPr>
          <w:p>
            <w:pPr>
              <w:pStyle w:val="TableContents"/>
              <w:spacing w:before="0" w:after="283"/>
              <w:jc w:val="left"/>
              <w:rPr>
                <w:color w:val="58595B"/>
              </w:rPr>
            </w:pPr>
            <w:r>
              <w:rPr>
                <w:color w:val="58595B"/>
              </w:rPr>
              <w:t>—</w:t>
            </w:r>
          </w:p>
        </w:tc>
        <w:tc>
          <w:tcPr>
            <w:tcW w:w="795" w:type="dxa"/>
            <w:tcBorders/>
            <w:shd w:fill="DCDDDE" w:val="clear"/>
            <w:vAlign w:val="center"/>
          </w:tcPr>
          <w:p>
            <w:pPr>
              <w:pStyle w:val="TableContents"/>
              <w:spacing w:before="0" w:after="283"/>
              <w:jc w:val="left"/>
              <w:rPr>
                <w:color w:val="58595B"/>
              </w:rPr>
            </w:pPr>
            <w:r>
              <w:rPr>
                <w:color w:val="58595B"/>
              </w:rPr>
              <w:t>—</w:t>
            </w:r>
          </w:p>
        </w:tc>
        <w:tc>
          <w:tcPr>
            <w:tcW w:w="969" w:type="dxa"/>
            <w:tcBorders/>
            <w:shd w:fill="DCDDDE" w:val="clear"/>
            <w:vAlign w:val="center"/>
          </w:tcPr>
          <w:p>
            <w:pPr>
              <w:pStyle w:val="TableContents"/>
              <w:spacing w:lineRule="auto" w:line="240" w:before="0" w:after="283"/>
              <w:jc w:val="left"/>
              <w:rPr>
                <w:rFonts w:ascii="Arial;Helvetica;Sans-Serif" w:hAnsi="Arial;Helvetica;Sans-Serif"/>
                <w:color w:val="58595B"/>
                <w:sz w:val="16"/>
              </w:rPr>
            </w:pPr>
            <w:r>
              <w:rPr>
                <w:rFonts w:ascii="Arial;Helvetica;Sans-Serif" w:hAnsi="Arial;Helvetica;Sans-Serif"/>
                <w:color w:val="58595B"/>
                <w:sz w:val="16"/>
              </w:rPr>
              <w:t>5,323(6)</w:t>
            </w:r>
          </w:p>
        </w:tc>
        <w:tc>
          <w:tcPr>
            <w:tcW w:w="107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$977,729</w:t>
            </w:r>
          </w:p>
        </w:tc>
      </w:tr>
      <w:tr>
        <w:trPr/>
        <w:tc>
          <w:tcPr>
            <w:tcW w:w="875" w:type="dxa"/>
            <w:vMerge w:val="restart"/>
            <w:tcBorders/>
            <w:shd w:fill="auto" w:val="clear"/>
            <w:vAlign w:val="center"/>
          </w:tcPr>
          <w:p>
            <w:pPr>
              <w:pStyle w:val="TableContents"/>
              <w:spacing w:before="0" w:after="283"/>
              <w:jc w:val="left"/>
              <w:rPr/>
            </w:pPr>
            <w:r>
              <w:rPr>
                <w:rFonts w:ascii="Arial;Helvetica;Sans-Serif" w:hAnsi="Arial;Helvetica;Sans-Serif"/>
                <w:b/>
                <w:color w:val="58595B"/>
                <w:sz w:val="16"/>
              </w:rPr>
              <w:t xml:space="preserve">Alexey </w:t>
            </w:r>
            <w:r>
              <w:rPr>
                <w:rFonts w:ascii="Arial;Helvetica;Sans-Serif" w:hAnsi="Arial;Helvetica;Sans-Serif"/>
                <w:sz w:val="16"/>
              </w:rPr>
              <w:br/>
            </w:r>
            <w:r>
              <w:rPr>
                <w:rFonts w:ascii="Arial;Helvetica;Sans-Serif" w:hAnsi="Arial;Helvetica;Sans-Serif"/>
                <w:b/>
                <w:color w:val="58595B"/>
                <w:sz w:val="16"/>
              </w:rPr>
              <w:t>Gavrilenya</w:t>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10/21/2015</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15,000</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$144.59</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3/31/2023</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vMerge w:val="continue"/>
            <w:tcBorders/>
            <w:shd w:fill="auto" w:val="clear"/>
            <w:vAlign w:val="center"/>
          </w:tcPr>
          <w:p>
            <w:pPr>
              <w:pStyle w:val="Normal"/>
              <w:rPr/>
            </w:pPr>
            <w:r>
              <w:rPr/>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1/25/2017</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88,000</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$150.74</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3/31/2023</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vMerge w:val="continue"/>
            <w:tcBorders/>
            <w:shd w:fill="auto" w:val="clear"/>
            <w:vAlign w:val="center"/>
          </w:tcPr>
          <w:p>
            <w:pPr>
              <w:pStyle w:val="Normal"/>
              <w:rPr/>
            </w:pPr>
            <w:r>
              <w:rPr/>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5/5/2017</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30,000</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$133.40</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3/31/2023</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vMerge w:val="continue"/>
            <w:tcBorders/>
            <w:shd w:fill="auto" w:val="clear"/>
            <w:vAlign w:val="center"/>
          </w:tcPr>
          <w:p>
            <w:pPr>
              <w:pStyle w:val="Normal"/>
              <w:rPr/>
            </w:pPr>
            <w:r>
              <w:rPr/>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2/27/2019</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12,000</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$231.70</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3/31/2023</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vMerge w:val="continue"/>
            <w:tcBorders/>
            <w:shd w:fill="auto" w:val="clear"/>
            <w:vAlign w:val="center"/>
          </w:tcPr>
          <w:p>
            <w:pPr>
              <w:pStyle w:val="Normal"/>
              <w:rPr/>
            </w:pPr>
            <w:r>
              <w:rPr/>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3/27/2020</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12,531</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$196.18</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3/31/2023</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r>
        <w:trPr/>
        <w:tc>
          <w:tcPr>
            <w:tcW w:w="875" w:type="dxa"/>
            <w:vMerge w:val="continue"/>
            <w:tcBorders/>
            <w:shd w:fill="auto" w:val="clear"/>
            <w:vAlign w:val="center"/>
          </w:tcPr>
          <w:p>
            <w:pPr>
              <w:pStyle w:val="Normal"/>
              <w:rPr/>
            </w:pPr>
            <w:r>
              <w:rPr/>
            </w:r>
          </w:p>
        </w:tc>
        <w:tc>
          <w:tcPr>
            <w:tcW w:w="69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1/25/2021</w:t>
            </w:r>
          </w:p>
        </w:tc>
        <w:tc>
          <w:tcPr>
            <w:tcW w:w="11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4,116</w:t>
            </w:r>
          </w:p>
        </w:tc>
        <w:tc>
          <w:tcPr>
            <w:tcW w:w="1280" w:type="dxa"/>
            <w:tcBorders/>
            <w:shd w:fill="auto" w:val="clear"/>
            <w:vAlign w:val="center"/>
          </w:tcPr>
          <w:p>
            <w:pPr>
              <w:pStyle w:val="TableContents"/>
              <w:spacing w:before="0" w:after="283"/>
              <w:jc w:val="left"/>
              <w:rPr>
                <w:color w:val="58595B"/>
              </w:rPr>
            </w:pPr>
            <w:r>
              <w:rPr>
                <w:color w:val="58595B"/>
              </w:rPr>
              <w:t>—</w:t>
            </w:r>
          </w:p>
        </w:tc>
        <w:tc>
          <w:tcPr>
            <w:tcW w:w="1112" w:type="dxa"/>
            <w:tcBorders/>
            <w:shd w:fill="auto" w:val="clear"/>
            <w:vAlign w:val="center"/>
          </w:tcPr>
          <w:p>
            <w:pPr>
              <w:pStyle w:val="TableContents"/>
              <w:spacing w:before="0" w:after="283"/>
              <w:jc w:val="left"/>
              <w:rPr>
                <w:color w:val="58595B"/>
              </w:rPr>
            </w:pPr>
            <w:r>
              <w:rPr>
                <w:color w:val="58595B"/>
              </w:rPr>
              <w:t>—</w:t>
            </w:r>
          </w:p>
        </w:tc>
        <w:tc>
          <w:tcPr>
            <w:tcW w:w="705"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$261.07</w:t>
            </w:r>
          </w:p>
        </w:tc>
        <w:tc>
          <w:tcPr>
            <w:tcW w:w="819"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3/31/2023</w:t>
            </w:r>
          </w:p>
        </w:tc>
        <w:tc>
          <w:tcPr>
            <w:tcW w:w="60" w:type="dxa"/>
            <w:tcBorders/>
            <w:shd w:fill="auto" w:val="clear"/>
            <w:vAlign w:val="center"/>
          </w:tcPr>
          <w:p>
            <w:pPr>
              <w:pStyle w:val="TableContents"/>
              <w:spacing w:before="0" w:after="283"/>
              <w:jc w:val="left"/>
              <w:rPr/>
            </w:pPr>
            <w:r>
              <w:rPr/>
              <w:t> </w:t>
            </w:r>
          </w:p>
        </w:tc>
        <w:tc>
          <w:tcPr>
            <w:tcW w:w="715" w:type="dxa"/>
            <w:tcBorders/>
            <w:shd w:fill="auto" w:val="clear"/>
            <w:vAlign w:val="center"/>
          </w:tcPr>
          <w:p>
            <w:pPr>
              <w:pStyle w:val="TableContents"/>
              <w:spacing w:before="0" w:after="283"/>
              <w:jc w:val="left"/>
              <w:rPr>
                <w:color w:val="58595B"/>
              </w:rPr>
            </w:pPr>
            <w:r>
              <w:rPr>
                <w:color w:val="58595B"/>
              </w:rPr>
              <w:t>—</w:t>
            </w:r>
          </w:p>
        </w:tc>
        <w:tc>
          <w:tcPr>
            <w:tcW w:w="795" w:type="dxa"/>
            <w:tcBorders/>
            <w:shd w:fill="auto" w:val="clear"/>
            <w:vAlign w:val="center"/>
          </w:tcPr>
          <w:p>
            <w:pPr>
              <w:pStyle w:val="TableContents"/>
              <w:spacing w:before="0" w:after="283"/>
              <w:jc w:val="left"/>
              <w:rPr>
                <w:color w:val="58595B"/>
              </w:rPr>
            </w:pPr>
            <w:r>
              <w:rPr>
                <w:color w:val="58595B"/>
              </w:rPr>
              <w:t>—</w:t>
            </w:r>
          </w:p>
        </w:tc>
        <w:tc>
          <w:tcPr>
            <w:tcW w:w="969" w:type="dxa"/>
            <w:tcBorders/>
            <w:shd w:fill="auto" w:val="clear"/>
            <w:vAlign w:val="center"/>
          </w:tcPr>
          <w:p>
            <w:pPr>
              <w:pStyle w:val="TableContents"/>
              <w:spacing w:before="0" w:after="283"/>
              <w:jc w:val="left"/>
              <w:rPr>
                <w:color w:val="58595B"/>
              </w:rPr>
            </w:pPr>
            <w:r>
              <w:rPr>
                <w:color w:val="58595B"/>
              </w:rPr>
              <w:t>—</w:t>
            </w:r>
          </w:p>
        </w:tc>
        <w:tc>
          <w:tcPr>
            <w:tcW w:w="1076" w:type="dxa"/>
            <w:tcBorders/>
            <w:shd w:fill="auto" w:val="clear"/>
            <w:vAlign w:val="center"/>
          </w:tcPr>
          <w:p>
            <w:pPr>
              <w:pStyle w:val="TableContents"/>
              <w:spacing w:before="0" w:after="283"/>
              <w:jc w:val="left"/>
              <w:rPr>
                <w:color w:val="58595B"/>
              </w:rPr>
            </w:pPr>
            <w:r>
              <w:rPr>
                <w:color w:val="58595B"/>
              </w:rPr>
              <w:t>—</w:t>
            </w:r>
          </w:p>
        </w:tc>
      </w:tr>
    </w:tbl>
    <w:p>
      <w:pPr>
        <w:pStyle w:val="TextBody"/>
        <w:rPr>
          <w:caps w:val="false"/>
          <w:smallCaps w:val="false"/>
          <w:color w:val="58595B"/>
        </w:rPr>
      </w:pPr>
      <w:r>
        <w:rPr>
          <w:caps w:val="false"/>
          <w:smallCaps w:val="false"/>
          <w:color w:val="58595B"/>
        </w:rPr>
        <w:t> </w:t>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48</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spacing w:before="0" w:after="0"/>
        <w:ind w:left="2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100"/>
        <w:gridCol w:w="677"/>
        <w:gridCol w:w="1087"/>
        <w:gridCol w:w="1260"/>
        <w:gridCol w:w="1064"/>
        <w:gridCol w:w="703"/>
        <w:gridCol w:w="817"/>
        <w:gridCol w:w="60"/>
        <w:gridCol w:w="709"/>
        <w:gridCol w:w="721"/>
        <w:gridCol w:w="954"/>
        <w:gridCol w:w="1053"/>
      </w:tblGrid>
      <w:tr>
        <w:trPr/>
        <w:tc>
          <w:tcPr>
            <w:tcW w:w="1100" w:type="dxa"/>
            <w:tcBorders/>
            <w:shd w:fill="EE0027" w:val="clear"/>
            <w:vAlign w:val="center"/>
          </w:tcPr>
          <w:p>
            <w:pPr>
              <w:pStyle w:val="TableContents"/>
              <w:spacing w:before="0" w:after="283"/>
              <w:jc w:val="left"/>
              <w:rPr/>
            </w:pPr>
            <w:r>
              <w:rPr/>
              <w:t> </w:t>
            </w:r>
          </w:p>
        </w:tc>
        <w:tc>
          <w:tcPr>
            <w:tcW w:w="677" w:type="dxa"/>
            <w:tcBorders/>
            <w:shd w:fill="EE0027" w:val="clear"/>
            <w:vAlign w:val="center"/>
          </w:tcPr>
          <w:p>
            <w:pPr>
              <w:pStyle w:val="TableContents"/>
              <w:spacing w:before="0" w:after="283"/>
              <w:jc w:val="left"/>
              <w:rPr/>
            </w:pPr>
            <w:r>
              <w:rPr/>
              <w:t> </w:t>
            </w:r>
          </w:p>
        </w:tc>
        <w:tc>
          <w:tcPr>
            <w:tcW w:w="4931" w:type="dxa"/>
            <w:gridSpan w:val="5"/>
            <w:tcBorders/>
            <w:shd w:fill="EE0027" w:val="clear"/>
            <w:vAlign w:val="center"/>
          </w:tcPr>
          <w:p>
            <w:pPr>
              <w:pStyle w:val="TableContents"/>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OPTION AWARDS</w:t>
            </w:r>
          </w:p>
        </w:tc>
        <w:tc>
          <w:tcPr>
            <w:tcW w:w="60" w:type="dxa"/>
            <w:tcBorders/>
            <w:shd w:fill="EE0027" w:val="clear"/>
            <w:vAlign w:val="center"/>
          </w:tcPr>
          <w:p>
            <w:pPr>
              <w:pStyle w:val="TableContents"/>
              <w:spacing w:before="0" w:after="283"/>
              <w:jc w:val="left"/>
              <w:rPr/>
            </w:pPr>
            <w:r>
              <w:rPr/>
              <w:t> </w:t>
            </w:r>
          </w:p>
        </w:tc>
        <w:tc>
          <w:tcPr>
            <w:tcW w:w="3437" w:type="dxa"/>
            <w:gridSpan w:val="4"/>
            <w:tcBorders/>
            <w:shd w:fill="EE0027" w:val="clear"/>
            <w:vAlign w:val="center"/>
          </w:tcPr>
          <w:p>
            <w:pPr>
              <w:pStyle w:val="TableContents"/>
              <w:spacing w:before="0" w:after="283"/>
              <w:jc w:val="center"/>
              <w:rPr>
                <w:rFonts w:ascii="Arial;Helvetica;Sans-Serif" w:hAnsi="Arial;Helvetica;Sans-Serif"/>
                <w:b/>
                <w:color w:val="FFFFFF"/>
                <w:sz w:val="16"/>
              </w:rPr>
            </w:pPr>
            <w:r>
              <w:rPr>
                <w:rFonts w:ascii="Arial;Helvetica;Sans-Serif" w:hAnsi="Arial;Helvetica;Sans-Serif"/>
                <w:b/>
                <w:color w:val="FFFFFF"/>
                <w:sz w:val="16"/>
              </w:rPr>
              <w:t>STOCK AWARDS</w:t>
            </w:r>
          </w:p>
        </w:tc>
      </w:tr>
      <w:tr>
        <w:trPr/>
        <w:tc>
          <w:tcPr>
            <w:tcW w:w="1100"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677"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Grant Date</w:t>
            </w:r>
          </w:p>
        </w:tc>
        <w:tc>
          <w:tcPr>
            <w:tcW w:w="1087"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Number of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Securities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Underlying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Unexercised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Options (#)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Exercisable (1)</w:t>
            </w:r>
          </w:p>
        </w:tc>
        <w:tc>
          <w:tcPr>
            <w:tcW w:w="1260"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Number of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Securities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Underlying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Unexercised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Options(#)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Unexercisable (1)</w:t>
            </w:r>
          </w:p>
        </w:tc>
        <w:tc>
          <w:tcPr>
            <w:tcW w:w="1064" w:type="dxa"/>
            <w:tcBorders>
              <w:top w:val="single" w:sz="8" w:space="0" w:color="FFFFFF"/>
            </w:tcBorders>
            <w:shd w:fill="EE0027" w:val="clear"/>
            <w:tcMar>
              <w:top w:w="60" w:type="dxa"/>
            </w:tcMar>
            <w:vAlign w:val="center"/>
          </w:tcPr>
          <w:p>
            <w:pPr>
              <w:pStyle w:val="TableContents"/>
              <w:spacing w:lineRule="auto" w:line="240" w:before="0" w:after="283"/>
              <w:jc w:val="left"/>
              <w:rPr/>
            </w:pPr>
            <w:r>
              <w:rPr>
                <w:rFonts w:ascii="Arial;Helvetica;Sans-Serif" w:hAnsi="Arial;Helvetica;Sans-Serif"/>
                <w:b/>
                <w:color w:val="FFFFFF"/>
                <w:sz w:val="16"/>
              </w:rPr>
              <w:t xml:space="preserve">Equity </w:t>
            </w:r>
            <w:r>
              <w:rPr/>
              <w:br/>
            </w:r>
            <w:r>
              <w:rPr>
                <w:rFonts w:ascii="Arial;Helvetica;Sans-Serif" w:hAnsi="Arial;Helvetica;Sans-Serif"/>
                <w:b/>
                <w:color w:val="FFFFFF"/>
                <w:sz w:val="16"/>
              </w:rPr>
              <w:t xml:space="preserve">Incentive </w:t>
            </w:r>
            <w:r>
              <w:rPr/>
              <w:br/>
            </w:r>
            <w:r>
              <w:rPr>
                <w:rFonts w:ascii="Arial;Helvetica;Sans-Serif" w:hAnsi="Arial;Helvetica;Sans-Serif"/>
                <w:b/>
                <w:color w:val="FFFFFF"/>
                <w:sz w:val="16"/>
              </w:rPr>
              <w:t xml:space="preserve">Plan Awards: </w:t>
            </w:r>
            <w:r>
              <w:rPr/>
              <w:br/>
            </w:r>
            <w:r>
              <w:rPr>
                <w:rFonts w:ascii="Arial;Helvetica;Sans-Serif" w:hAnsi="Arial;Helvetica;Sans-Serif"/>
                <w:b/>
                <w:color w:val="FFFFFF"/>
                <w:sz w:val="16"/>
              </w:rPr>
              <w:t xml:space="preserve">Number of </w:t>
            </w:r>
            <w:r>
              <w:rPr/>
              <w:br/>
            </w:r>
            <w:r>
              <w:rPr>
                <w:rFonts w:ascii="Arial;Helvetica;Sans-Serif" w:hAnsi="Arial;Helvetica;Sans-Serif"/>
                <w:b/>
                <w:color w:val="FFFFFF"/>
                <w:sz w:val="16"/>
              </w:rPr>
              <w:t xml:space="preserve">Securities </w:t>
            </w:r>
            <w:r>
              <w:rPr/>
              <w:br/>
            </w:r>
            <w:r>
              <w:rPr>
                <w:rFonts w:ascii="Arial;Helvetica;Sans-Serif" w:hAnsi="Arial;Helvetica;Sans-Serif"/>
                <w:b/>
                <w:color w:val="FFFFFF"/>
                <w:sz w:val="16"/>
              </w:rPr>
              <w:t xml:space="preserve">Underlying </w:t>
            </w:r>
            <w:r>
              <w:rPr/>
              <w:br/>
            </w:r>
            <w:r>
              <w:rPr>
                <w:rFonts w:ascii="Arial;Helvetica;Sans-Serif" w:hAnsi="Arial;Helvetica;Sans-Serif"/>
                <w:b/>
                <w:color w:val="FFFFFF"/>
                <w:sz w:val="16"/>
              </w:rPr>
              <w:t xml:space="preserve">Unexercised </w:t>
            </w:r>
            <w:r>
              <w:rPr/>
              <w:br/>
            </w:r>
            <w:r>
              <w:rPr>
                <w:rFonts w:ascii="Arial;Helvetica;Sans-Serif" w:hAnsi="Arial;Helvetica;Sans-Serif"/>
                <w:b/>
                <w:color w:val="FFFFFF"/>
                <w:sz w:val="16"/>
              </w:rPr>
              <w:t xml:space="preserve">Unearned </w:t>
            </w:r>
            <w:r>
              <w:rPr/>
              <w:br/>
            </w:r>
            <w:r>
              <w:rPr>
                <w:rFonts w:ascii="Arial;Helvetica;Sans-Serif" w:hAnsi="Arial;Helvetica;Sans-Serif"/>
                <w:b/>
                <w:color w:val="FFFFFF"/>
                <w:sz w:val="16"/>
              </w:rPr>
              <w:t>Options (#)(2)</w:t>
            </w:r>
          </w:p>
        </w:tc>
        <w:tc>
          <w:tcPr>
            <w:tcW w:w="703" w:type="dxa"/>
            <w:tcBorders>
              <w:top w:val="single" w:sz="8" w:space="0" w:color="FFFFFF"/>
            </w:tcBorders>
            <w:shd w:fill="EE0027" w:val="clear"/>
            <w:tcMar>
              <w:top w:w="60" w:type="dxa"/>
            </w:tcM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Option </w:t>
              <w:br/>
              <w:t xml:space="preserve">Exercise </w:t>
              <w:br/>
              <w:t xml:space="preserve">Price </w:t>
              <w:br/>
              <w:t>($)</w:t>
            </w:r>
          </w:p>
        </w:tc>
        <w:tc>
          <w:tcPr>
            <w:tcW w:w="817" w:type="dxa"/>
            <w:tcBorders>
              <w:top w:val="single" w:sz="8" w:space="0" w:color="FFFFFF"/>
            </w:tcBorders>
            <w:shd w:fill="EE0027" w:val="clear"/>
            <w:tcMar>
              <w:top w:w="60" w:type="dxa"/>
            </w:tcMar>
            <w:vAlign w:val="center"/>
          </w:tcPr>
          <w:p>
            <w:pPr>
              <w:pStyle w:val="TableContents"/>
              <w:spacing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Option </w:t>
            </w:r>
            <w:r>
              <w:rPr>
                <w:rFonts w:ascii="Arial;Helvetica;Sans-Serif" w:hAnsi="Arial;Helvetica;Sans-Serif"/>
                <w:b w:val="false"/>
                <w:i w:val="false"/>
                <w:caps w:val="false"/>
                <w:smallCaps w:val="false"/>
                <w:color w:val="FFFFFF"/>
                <w:spacing w:val="-3"/>
                <w:sz w:val="16"/>
              </w:rPr>
              <w:br/>
            </w:r>
            <w:r>
              <w:rPr>
                <w:rFonts w:ascii="Arial;Helvetica;Sans-Serif" w:hAnsi="Arial;Helvetica;Sans-Serif"/>
                <w:b/>
                <w:i w:val="false"/>
                <w:caps w:val="false"/>
                <w:smallCaps w:val="false"/>
                <w:color w:val="FFFFFF"/>
                <w:spacing w:val="-4"/>
                <w:sz w:val="16"/>
              </w:rPr>
              <w:t xml:space="preserve">Expiration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3"/>
                <w:sz w:val="16"/>
              </w:rPr>
              <w:t>Date</w:t>
            </w:r>
          </w:p>
        </w:tc>
        <w:tc>
          <w:tcPr>
            <w:tcW w:w="60" w:type="dxa"/>
            <w:tcBorders/>
            <w:shd w:fill="EE0027" w:val="clear"/>
            <w:vAlign w:val="center"/>
          </w:tcPr>
          <w:p>
            <w:pPr>
              <w:pStyle w:val="TableContents"/>
              <w:spacing w:before="0" w:after="283"/>
              <w:jc w:val="left"/>
              <w:rPr/>
            </w:pPr>
            <w:r>
              <w:rPr/>
              <w:t> </w:t>
            </w:r>
          </w:p>
        </w:tc>
        <w:tc>
          <w:tcPr>
            <w:tcW w:w="709"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Number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of </w:t>
            </w:r>
            <w:r>
              <w:rPr>
                <w:rFonts w:ascii="Arial;Helvetica;Sans-Serif" w:hAnsi="Arial;Helvetica;Sans-Serif"/>
                <w:b/>
                <w:i w:val="false"/>
                <w:caps w:val="false"/>
                <w:smallCaps w:val="false"/>
                <w:color w:val="FFFFFF"/>
                <w:spacing w:val="-7"/>
                <w:sz w:val="16"/>
              </w:rPr>
              <w:t xml:space="preserve">Shares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or </w:t>
            </w:r>
            <w:r>
              <w:rPr>
                <w:rFonts w:ascii="Arial;Helvetica;Sans-Serif" w:hAnsi="Arial;Helvetica;Sans-Serif"/>
                <w:b/>
                <w:i w:val="false"/>
                <w:caps w:val="false"/>
                <w:smallCaps w:val="false"/>
                <w:color w:val="FFFFFF"/>
                <w:spacing w:val="-3"/>
                <w:sz w:val="16"/>
              </w:rPr>
              <w:t xml:space="preserve">Units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of </w:t>
            </w:r>
            <w:r>
              <w:rPr>
                <w:rFonts w:ascii="Arial;Helvetica;Sans-Serif" w:hAnsi="Arial;Helvetica;Sans-Serif"/>
                <w:b/>
                <w:i w:val="false"/>
                <w:caps w:val="false"/>
                <w:smallCaps w:val="false"/>
                <w:color w:val="FFFFFF"/>
                <w:spacing w:val="-3"/>
                <w:sz w:val="16"/>
              </w:rPr>
              <w:t xml:space="preserve">Stock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pacing w:val="-3"/>
                <w:sz w:val="16"/>
              </w:rPr>
              <w:t xml:space="preserve">that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pacing w:val="-3"/>
                <w:sz w:val="16"/>
              </w:rPr>
              <w:t xml:space="preserve">Have </w:t>
            </w:r>
            <w:r>
              <w:rPr>
                <w:rFonts w:ascii="Arial;Helvetica;Sans-Serif" w:hAnsi="Arial;Helvetica;Sans-Serif"/>
                <w:b/>
                <w:i w:val="false"/>
                <w:caps w:val="false"/>
                <w:smallCaps w:val="false"/>
                <w:color w:val="FFFFFF"/>
                <w:spacing w:val="-7"/>
                <w:sz w:val="16"/>
              </w:rPr>
              <w:t xml:space="preserve">Not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pacing w:val="-5"/>
                <w:sz w:val="16"/>
              </w:rPr>
              <w:t xml:space="preserve">Vested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 </w:t>
            </w:r>
            <w:r>
              <w:rPr>
                <w:rFonts w:ascii="Arial;Helvetica;Sans-Serif" w:hAnsi="Arial;Helvetica;Sans-Serif"/>
                <w:b/>
                <w:i w:val="false"/>
                <w:caps w:val="false"/>
                <w:smallCaps w:val="false"/>
                <w:color w:val="FFFFFF"/>
                <w:spacing w:val="-2"/>
                <w:sz w:val="16"/>
              </w:rPr>
              <w:t>(3)</w:t>
            </w:r>
          </w:p>
        </w:tc>
        <w:tc>
          <w:tcPr>
            <w:tcW w:w="721" w:type="dxa"/>
            <w:tcBorders>
              <w:top w:val="single" w:sz="8" w:space="0" w:color="FFFFFF"/>
            </w:tcBorders>
            <w:shd w:fill="EE0027" w:val="clear"/>
            <w:tcMar>
              <w:top w:w="60" w:type="dxa"/>
            </w:tcM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Market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Value of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Shares or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Units of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Stock that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Have Not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Vested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(4)</w:t>
            </w:r>
          </w:p>
        </w:tc>
        <w:tc>
          <w:tcPr>
            <w:tcW w:w="954" w:type="dxa"/>
            <w:tcBorders>
              <w:top w:val="single" w:sz="8" w:space="0" w:color="FFFFFF"/>
            </w:tcBorders>
            <w:shd w:fill="EE0027" w:val="clear"/>
            <w:tcMar>
              <w:top w:w="60" w:type="dxa"/>
            </w:tcMar>
            <w:vAlign w:val="center"/>
          </w:tcPr>
          <w:p>
            <w:pPr>
              <w:pStyle w:val="TableContents"/>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Equity </w:t>
              <w:br/>
              <w:t xml:space="preserve">Incentive </w:t>
              <w:br/>
              <w:t xml:space="preserve">Plan Awards: </w:t>
              <w:br/>
              <w:t xml:space="preserve">Number of </w:t>
              <w:br/>
              <w:t xml:space="preserve">Unearned </w:t>
              <w:br/>
              <w:t xml:space="preserve">Shares, Units </w:t>
              <w:br/>
              <w:t xml:space="preserve">or Other </w:t>
              <w:br/>
              <w:t xml:space="preserve">Rights that </w:t>
              <w:br/>
              <w:t xml:space="preserve">Have Not </w:t>
              <w:br/>
              <w:t>Vested (#)</w:t>
            </w:r>
          </w:p>
        </w:tc>
        <w:tc>
          <w:tcPr>
            <w:tcW w:w="1053" w:type="dxa"/>
            <w:tcBorders>
              <w:top w:val="single" w:sz="8" w:space="0" w:color="FFFFFF"/>
            </w:tcBorders>
            <w:shd w:fill="EE0027" w:val="clear"/>
            <w:tcMar>
              <w:top w:w="60" w:type="dxa"/>
            </w:tcMar>
            <w:vAlign w:val="center"/>
          </w:tcPr>
          <w:p>
            <w:pPr>
              <w:pStyle w:val="TableContents"/>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pacing w:val="-3"/>
                <w:sz w:val="16"/>
              </w:rPr>
              <w:t xml:space="preserve">Equity </w:t>
              <w:br/>
              <w:t xml:space="preserve">Incentive </w:t>
              <w:br/>
              <w:t xml:space="preserve">Plan </w:t>
            </w:r>
            <w:r>
              <w:rPr>
                <w:rFonts w:ascii="Arial;Helvetica;Sans-Serif" w:hAnsi="Arial;Helvetica;Sans-Serif"/>
                <w:b/>
                <w:i w:val="false"/>
                <w:caps w:val="false"/>
                <w:smallCaps w:val="false"/>
                <w:color w:val="FFFFFF"/>
                <w:spacing w:val="-5"/>
                <w:sz w:val="16"/>
              </w:rPr>
              <w:t xml:space="preserve">Awards: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4"/>
                <w:sz w:val="16"/>
              </w:rPr>
              <w:t xml:space="preserve">Market </w:t>
            </w:r>
            <w:r>
              <w:rPr>
                <w:rFonts w:ascii="Arial;Helvetica;Sans-Serif" w:hAnsi="Arial;Helvetica;Sans-Serif"/>
                <w:b/>
                <w:i w:val="false"/>
                <w:caps w:val="false"/>
                <w:smallCaps w:val="false"/>
                <w:color w:val="FFFFFF"/>
                <w:spacing w:val="-3"/>
                <w:sz w:val="16"/>
              </w:rPr>
              <w:t xml:space="preserve">or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pacing w:val="-4"/>
                <w:sz w:val="16"/>
              </w:rPr>
              <w:t xml:space="preserve">Payout </w:t>
            </w:r>
            <w:r>
              <w:rPr>
                <w:rFonts w:ascii="Arial;Helvetica;Sans-Serif" w:hAnsi="Arial;Helvetica;Sans-Serif"/>
                <w:b/>
                <w:i w:val="false"/>
                <w:caps w:val="false"/>
                <w:smallCaps w:val="false"/>
                <w:color w:val="FFFFFF"/>
                <w:spacing w:val="-9"/>
                <w:sz w:val="16"/>
              </w:rPr>
              <w:t xml:space="preserve">Value </w:t>
            </w:r>
            <w:r>
              <w:rPr>
                <w:rFonts w:ascii="Times New Roman;Times;Serif" w:hAnsi="Times New Roman;Times;Serif"/>
                <w:b/>
                <w:i w:val="false"/>
                <w:caps w:val="false"/>
                <w:smallCaps w:val="false"/>
                <w:color w:val="FFFFFF"/>
                <w:sz w:val="20"/>
              </w:rPr>
              <w:br/>
            </w:r>
            <w:r>
              <w:rPr>
                <w:rFonts w:ascii="Arial;Helvetica;Sans-Serif" w:hAnsi="Arial;Helvetica;Sans-Serif"/>
                <w:b/>
                <w:i w:val="false"/>
                <w:caps w:val="false"/>
                <w:smallCaps w:val="false"/>
                <w:color w:val="FFFFFF"/>
                <w:sz w:val="16"/>
              </w:rPr>
              <w:t xml:space="preserve">of </w:t>
            </w:r>
            <w:r>
              <w:rPr>
                <w:rFonts w:ascii="Arial;Helvetica;Sans-Serif" w:hAnsi="Arial;Helvetica;Sans-Serif"/>
                <w:b/>
                <w:i w:val="false"/>
                <w:caps w:val="false"/>
                <w:smallCaps w:val="false"/>
                <w:color w:val="FFFFFF"/>
                <w:spacing w:val="-4"/>
                <w:sz w:val="16"/>
              </w:rPr>
              <w:t xml:space="preserve">Unearned </w:t>
              <w:br/>
            </w:r>
            <w:r>
              <w:rPr>
                <w:rFonts w:ascii="Arial;Helvetica;Sans-Serif" w:hAnsi="Arial;Helvetica;Sans-Serif"/>
                <w:b/>
                <w:i w:val="false"/>
                <w:caps w:val="false"/>
                <w:smallCaps w:val="false"/>
                <w:color w:val="FFFFFF"/>
                <w:spacing w:val="-3"/>
                <w:sz w:val="16"/>
              </w:rPr>
              <w:t>Shares, Units</w:t>
            </w:r>
          </w:p>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or Other Rights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 xml:space="preserve">that Have Not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Vested ($) (4)</w:t>
            </w:r>
          </w:p>
        </w:tc>
      </w:tr>
      <w:tr>
        <w:trPr/>
        <w:tc>
          <w:tcPr>
            <w:tcW w:w="1100" w:type="dxa"/>
            <w:vMerge w:val="restart"/>
            <w:tcBorders/>
            <w:shd w:fill="auto"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John S. Coughlin</w:t>
            </w:r>
          </w:p>
        </w:tc>
        <w:tc>
          <w:tcPr>
            <w:tcW w:w="67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7/15/2014</w:t>
            </w:r>
          </w:p>
        </w:tc>
        <w:tc>
          <w:tcPr>
            <w:tcW w:w="108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28,500</w:t>
            </w:r>
          </w:p>
        </w:tc>
        <w:tc>
          <w:tcPr>
            <w:tcW w:w="1260" w:type="dxa"/>
            <w:tcBorders/>
            <w:shd w:fill="auto" w:val="clear"/>
            <w:vAlign w:val="center"/>
          </w:tcPr>
          <w:p>
            <w:pPr>
              <w:pStyle w:val="TableContents"/>
              <w:spacing w:before="0" w:after="283"/>
              <w:jc w:val="left"/>
              <w:rPr>
                <w:color w:val="58595B"/>
              </w:rPr>
            </w:pPr>
            <w:r>
              <w:rPr>
                <w:color w:val="58595B"/>
              </w:rPr>
              <w:t>—</w:t>
            </w:r>
          </w:p>
        </w:tc>
        <w:tc>
          <w:tcPr>
            <w:tcW w:w="1064" w:type="dxa"/>
            <w:tcBorders/>
            <w:shd w:fill="auto" w:val="clear"/>
            <w:vAlign w:val="center"/>
          </w:tcPr>
          <w:p>
            <w:pPr>
              <w:pStyle w:val="TableContents"/>
              <w:spacing w:before="0" w:after="283"/>
              <w:jc w:val="left"/>
              <w:rPr>
                <w:color w:val="58595B"/>
              </w:rPr>
            </w:pPr>
            <w:r>
              <w:rPr>
                <w:color w:val="58595B"/>
              </w:rPr>
              <w:t>—</w:t>
            </w:r>
          </w:p>
        </w:tc>
        <w:tc>
          <w:tcPr>
            <w:tcW w:w="7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$132.24</w:t>
            </w:r>
          </w:p>
        </w:tc>
        <w:tc>
          <w:tcPr>
            <w:tcW w:w="81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7/15/2024</w:t>
            </w:r>
          </w:p>
        </w:tc>
        <w:tc>
          <w:tcPr>
            <w:tcW w:w="60" w:type="dxa"/>
            <w:tcBorders/>
            <w:shd w:fill="auto" w:val="clear"/>
            <w:vAlign w:val="center"/>
          </w:tcPr>
          <w:p>
            <w:pPr>
              <w:pStyle w:val="TableContents"/>
              <w:spacing w:before="0" w:after="283"/>
              <w:jc w:val="left"/>
              <w:rPr/>
            </w:pPr>
            <w:r>
              <w:rPr/>
              <w:t> </w:t>
            </w:r>
          </w:p>
        </w:tc>
        <w:tc>
          <w:tcPr>
            <w:tcW w:w="709" w:type="dxa"/>
            <w:tcBorders/>
            <w:shd w:fill="auto" w:val="clear"/>
            <w:vAlign w:val="center"/>
          </w:tcPr>
          <w:p>
            <w:pPr>
              <w:pStyle w:val="TableContents"/>
              <w:spacing w:before="0" w:after="283"/>
              <w:jc w:val="left"/>
              <w:rPr>
                <w:color w:val="58595B"/>
              </w:rPr>
            </w:pPr>
            <w:r>
              <w:rPr>
                <w:color w:val="58595B"/>
              </w:rPr>
              <w:t>—</w:t>
            </w:r>
          </w:p>
        </w:tc>
        <w:tc>
          <w:tcPr>
            <w:tcW w:w="721" w:type="dxa"/>
            <w:tcBorders/>
            <w:shd w:fill="auto" w:val="clear"/>
            <w:vAlign w:val="center"/>
          </w:tcPr>
          <w:p>
            <w:pPr>
              <w:pStyle w:val="TableContents"/>
              <w:spacing w:before="0" w:after="283"/>
              <w:jc w:val="left"/>
              <w:rPr>
                <w:color w:val="58595B"/>
              </w:rPr>
            </w:pPr>
            <w:r>
              <w:rPr>
                <w:color w:val="58595B"/>
              </w:rPr>
              <w:t>—</w:t>
            </w:r>
          </w:p>
        </w:tc>
        <w:tc>
          <w:tcPr>
            <w:tcW w:w="954" w:type="dxa"/>
            <w:tcBorders/>
            <w:shd w:fill="auto" w:val="clear"/>
            <w:vAlign w:val="center"/>
          </w:tcPr>
          <w:p>
            <w:pPr>
              <w:pStyle w:val="TableContents"/>
              <w:spacing w:before="0" w:after="283"/>
              <w:jc w:val="left"/>
              <w:rPr>
                <w:color w:val="58595B"/>
              </w:rPr>
            </w:pPr>
            <w:r>
              <w:rPr>
                <w:color w:val="58595B"/>
              </w:rPr>
              <w:t>—</w:t>
            </w:r>
          </w:p>
        </w:tc>
        <w:tc>
          <w:tcPr>
            <w:tcW w:w="1053" w:type="dxa"/>
            <w:tcBorders/>
            <w:shd w:fill="auto" w:val="clear"/>
            <w:vAlign w:val="center"/>
          </w:tcPr>
          <w:p>
            <w:pPr>
              <w:pStyle w:val="TableContents"/>
              <w:spacing w:before="0" w:after="283"/>
              <w:jc w:val="left"/>
              <w:rPr>
                <w:color w:val="58595B"/>
              </w:rPr>
            </w:pPr>
            <w:r>
              <w:rPr>
                <w:color w:val="58595B"/>
              </w:rPr>
              <w:t>—</w:t>
            </w:r>
          </w:p>
        </w:tc>
      </w:tr>
      <w:tr>
        <w:trPr/>
        <w:tc>
          <w:tcPr>
            <w:tcW w:w="1100" w:type="dxa"/>
            <w:vMerge w:val="continue"/>
            <w:tcBorders/>
            <w:shd w:fill="auto" w:val="clear"/>
            <w:vAlign w:val="center"/>
          </w:tcPr>
          <w:p>
            <w:pPr>
              <w:pStyle w:val="Normal"/>
              <w:rPr/>
            </w:pPr>
            <w:r>
              <w:rPr/>
            </w:r>
          </w:p>
        </w:tc>
        <w:tc>
          <w:tcPr>
            <w:tcW w:w="67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1/20/2016</w:t>
            </w:r>
          </w:p>
        </w:tc>
        <w:tc>
          <w:tcPr>
            <w:tcW w:w="108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17,150</w:t>
            </w:r>
          </w:p>
        </w:tc>
        <w:tc>
          <w:tcPr>
            <w:tcW w:w="1260" w:type="dxa"/>
            <w:tcBorders/>
            <w:shd w:fill="auto" w:val="clear"/>
            <w:vAlign w:val="center"/>
          </w:tcPr>
          <w:p>
            <w:pPr>
              <w:pStyle w:val="TableContents"/>
              <w:spacing w:before="0" w:after="283"/>
              <w:jc w:val="left"/>
              <w:rPr>
                <w:color w:val="58595B"/>
              </w:rPr>
            </w:pPr>
            <w:r>
              <w:rPr>
                <w:color w:val="58595B"/>
              </w:rPr>
              <w:t>—</w:t>
            </w:r>
          </w:p>
        </w:tc>
        <w:tc>
          <w:tcPr>
            <w:tcW w:w="1064" w:type="dxa"/>
            <w:tcBorders/>
            <w:shd w:fill="auto" w:val="clear"/>
            <w:vAlign w:val="center"/>
          </w:tcPr>
          <w:p>
            <w:pPr>
              <w:pStyle w:val="TableContents"/>
              <w:spacing w:before="0" w:after="283"/>
              <w:jc w:val="left"/>
              <w:rPr>
                <w:color w:val="58595B"/>
              </w:rPr>
            </w:pPr>
            <w:r>
              <w:rPr>
                <w:color w:val="58595B"/>
              </w:rPr>
              <w:t>—</w:t>
            </w:r>
          </w:p>
        </w:tc>
        <w:tc>
          <w:tcPr>
            <w:tcW w:w="7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$114.90</w:t>
            </w:r>
          </w:p>
        </w:tc>
        <w:tc>
          <w:tcPr>
            <w:tcW w:w="81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1/20/2026</w:t>
            </w:r>
          </w:p>
        </w:tc>
        <w:tc>
          <w:tcPr>
            <w:tcW w:w="60" w:type="dxa"/>
            <w:tcBorders/>
            <w:shd w:fill="auto" w:val="clear"/>
            <w:vAlign w:val="center"/>
          </w:tcPr>
          <w:p>
            <w:pPr>
              <w:pStyle w:val="TableContents"/>
              <w:spacing w:before="0" w:after="283"/>
              <w:jc w:val="left"/>
              <w:rPr/>
            </w:pPr>
            <w:r>
              <w:rPr/>
              <w:t> </w:t>
            </w:r>
          </w:p>
        </w:tc>
        <w:tc>
          <w:tcPr>
            <w:tcW w:w="709" w:type="dxa"/>
            <w:tcBorders/>
            <w:shd w:fill="auto" w:val="clear"/>
            <w:vAlign w:val="center"/>
          </w:tcPr>
          <w:p>
            <w:pPr>
              <w:pStyle w:val="TableContents"/>
              <w:spacing w:before="0" w:after="283"/>
              <w:jc w:val="left"/>
              <w:rPr>
                <w:color w:val="58595B"/>
              </w:rPr>
            </w:pPr>
            <w:r>
              <w:rPr>
                <w:color w:val="58595B"/>
              </w:rPr>
              <w:t>—</w:t>
            </w:r>
          </w:p>
        </w:tc>
        <w:tc>
          <w:tcPr>
            <w:tcW w:w="721" w:type="dxa"/>
            <w:tcBorders/>
            <w:shd w:fill="auto" w:val="clear"/>
            <w:vAlign w:val="center"/>
          </w:tcPr>
          <w:p>
            <w:pPr>
              <w:pStyle w:val="TableContents"/>
              <w:spacing w:before="0" w:after="283"/>
              <w:jc w:val="left"/>
              <w:rPr>
                <w:color w:val="58595B"/>
              </w:rPr>
            </w:pPr>
            <w:r>
              <w:rPr>
                <w:color w:val="58595B"/>
              </w:rPr>
              <w:t>—</w:t>
            </w:r>
          </w:p>
        </w:tc>
        <w:tc>
          <w:tcPr>
            <w:tcW w:w="954" w:type="dxa"/>
            <w:tcBorders/>
            <w:shd w:fill="auto" w:val="clear"/>
            <w:vAlign w:val="center"/>
          </w:tcPr>
          <w:p>
            <w:pPr>
              <w:pStyle w:val="TableContents"/>
              <w:spacing w:before="0" w:after="283"/>
              <w:jc w:val="left"/>
              <w:rPr>
                <w:color w:val="58595B"/>
              </w:rPr>
            </w:pPr>
            <w:r>
              <w:rPr>
                <w:color w:val="58595B"/>
              </w:rPr>
              <w:t>—</w:t>
            </w:r>
          </w:p>
        </w:tc>
        <w:tc>
          <w:tcPr>
            <w:tcW w:w="1053" w:type="dxa"/>
            <w:tcBorders/>
            <w:shd w:fill="auto" w:val="clear"/>
            <w:vAlign w:val="center"/>
          </w:tcPr>
          <w:p>
            <w:pPr>
              <w:pStyle w:val="TableContents"/>
              <w:spacing w:before="0" w:after="283"/>
              <w:jc w:val="left"/>
              <w:rPr>
                <w:color w:val="58595B"/>
              </w:rPr>
            </w:pPr>
            <w:r>
              <w:rPr>
                <w:color w:val="58595B"/>
              </w:rPr>
              <w:t>—</w:t>
            </w:r>
          </w:p>
        </w:tc>
      </w:tr>
      <w:tr>
        <w:trPr/>
        <w:tc>
          <w:tcPr>
            <w:tcW w:w="1100" w:type="dxa"/>
            <w:vMerge w:val="continue"/>
            <w:tcBorders/>
            <w:shd w:fill="auto" w:val="clear"/>
            <w:vAlign w:val="center"/>
          </w:tcPr>
          <w:p>
            <w:pPr>
              <w:pStyle w:val="Normal"/>
              <w:rPr/>
            </w:pPr>
            <w:r>
              <w:rPr/>
            </w:r>
          </w:p>
        </w:tc>
        <w:tc>
          <w:tcPr>
            <w:tcW w:w="67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1/25/2017</w:t>
            </w:r>
          </w:p>
        </w:tc>
        <w:tc>
          <w:tcPr>
            <w:tcW w:w="108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63,000</w:t>
            </w:r>
          </w:p>
        </w:tc>
        <w:tc>
          <w:tcPr>
            <w:tcW w:w="1260" w:type="dxa"/>
            <w:tcBorders/>
            <w:shd w:fill="auto" w:val="clear"/>
            <w:vAlign w:val="center"/>
          </w:tcPr>
          <w:p>
            <w:pPr>
              <w:pStyle w:val="TableContents"/>
              <w:spacing w:before="0" w:after="283"/>
              <w:jc w:val="left"/>
              <w:rPr>
                <w:color w:val="58595B"/>
              </w:rPr>
            </w:pPr>
            <w:r>
              <w:rPr>
                <w:color w:val="58595B"/>
              </w:rPr>
              <w:t>—</w:t>
            </w:r>
          </w:p>
        </w:tc>
        <w:tc>
          <w:tcPr>
            <w:tcW w:w="1064" w:type="dxa"/>
            <w:tcBorders/>
            <w:shd w:fill="auto" w:val="clear"/>
            <w:vAlign w:val="center"/>
          </w:tcPr>
          <w:p>
            <w:pPr>
              <w:pStyle w:val="TableContents"/>
              <w:spacing w:before="0" w:after="283"/>
              <w:jc w:val="left"/>
              <w:rPr>
                <w:color w:val="58595B"/>
              </w:rPr>
            </w:pPr>
            <w:r>
              <w:rPr>
                <w:color w:val="58595B"/>
              </w:rPr>
              <w:t>—</w:t>
            </w:r>
          </w:p>
        </w:tc>
        <w:tc>
          <w:tcPr>
            <w:tcW w:w="7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$150.74</w:t>
            </w:r>
          </w:p>
        </w:tc>
        <w:tc>
          <w:tcPr>
            <w:tcW w:w="81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1/25/2027</w:t>
            </w:r>
          </w:p>
        </w:tc>
        <w:tc>
          <w:tcPr>
            <w:tcW w:w="60" w:type="dxa"/>
            <w:tcBorders/>
            <w:shd w:fill="auto" w:val="clear"/>
            <w:vAlign w:val="center"/>
          </w:tcPr>
          <w:p>
            <w:pPr>
              <w:pStyle w:val="TableContents"/>
              <w:spacing w:before="0" w:after="283"/>
              <w:jc w:val="left"/>
              <w:rPr/>
            </w:pPr>
            <w:r>
              <w:rPr/>
              <w:t> </w:t>
            </w:r>
          </w:p>
        </w:tc>
        <w:tc>
          <w:tcPr>
            <w:tcW w:w="709" w:type="dxa"/>
            <w:tcBorders/>
            <w:shd w:fill="auto" w:val="clear"/>
            <w:vAlign w:val="center"/>
          </w:tcPr>
          <w:p>
            <w:pPr>
              <w:pStyle w:val="TableContents"/>
              <w:spacing w:before="0" w:after="283"/>
              <w:jc w:val="left"/>
              <w:rPr>
                <w:color w:val="58595B"/>
              </w:rPr>
            </w:pPr>
            <w:r>
              <w:rPr>
                <w:color w:val="58595B"/>
              </w:rPr>
              <w:t>—</w:t>
            </w:r>
          </w:p>
        </w:tc>
        <w:tc>
          <w:tcPr>
            <w:tcW w:w="721" w:type="dxa"/>
            <w:tcBorders/>
            <w:shd w:fill="auto" w:val="clear"/>
            <w:vAlign w:val="center"/>
          </w:tcPr>
          <w:p>
            <w:pPr>
              <w:pStyle w:val="TableContents"/>
              <w:spacing w:before="0" w:after="283"/>
              <w:jc w:val="left"/>
              <w:rPr>
                <w:color w:val="58595B"/>
              </w:rPr>
            </w:pPr>
            <w:r>
              <w:rPr>
                <w:color w:val="58595B"/>
              </w:rPr>
              <w:t>—</w:t>
            </w:r>
          </w:p>
        </w:tc>
        <w:tc>
          <w:tcPr>
            <w:tcW w:w="954" w:type="dxa"/>
            <w:tcBorders/>
            <w:shd w:fill="auto" w:val="clear"/>
            <w:vAlign w:val="center"/>
          </w:tcPr>
          <w:p>
            <w:pPr>
              <w:pStyle w:val="TableContents"/>
              <w:spacing w:before="0" w:after="283"/>
              <w:jc w:val="left"/>
              <w:rPr>
                <w:color w:val="58595B"/>
              </w:rPr>
            </w:pPr>
            <w:r>
              <w:rPr>
                <w:color w:val="58595B"/>
              </w:rPr>
              <w:t>—</w:t>
            </w:r>
          </w:p>
        </w:tc>
        <w:tc>
          <w:tcPr>
            <w:tcW w:w="1053" w:type="dxa"/>
            <w:tcBorders/>
            <w:shd w:fill="auto" w:val="clear"/>
            <w:vAlign w:val="center"/>
          </w:tcPr>
          <w:p>
            <w:pPr>
              <w:pStyle w:val="TableContents"/>
              <w:spacing w:before="0" w:after="283"/>
              <w:jc w:val="left"/>
              <w:rPr>
                <w:color w:val="58595B"/>
              </w:rPr>
            </w:pPr>
            <w:r>
              <w:rPr>
                <w:color w:val="58595B"/>
              </w:rPr>
              <w:t>—</w:t>
            </w:r>
          </w:p>
        </w:tc>
      </w:tr>
      <w:tr>
        <w:trPr/>
        <w:tc>
          <w:tcPr>
            <w:tcW w:w="1100" w:type="dxa"/>
            <w:vMerge w:val="continue"/>
            <w:tcBorders/>
            <w:shd w:fill="auto" w:val="clear"/>
            <w:vAlign w:val="center"/>
          </w:tcPr>
          <w:p>
            <w:pPr>
              <w:pStyle w:val="Normal"/>
              <w:rPr/>
            </w:pPr>
            <w:r>
              <w:rPr/>
            </w:r>
          </w:p>
        </w:tc>
        <w:tc>
          <w:tcPr>
            <w:tcW w:w="67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5/5/2017</w:t>
            </w:r>
          </w:p>
        </w:tc>
        <w:tc>
          <w:tcPr>
            <w:tcW w:w="108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30,000</w:t>
            </w:r>
          </w:p>
        </w:tc>
        <w:tc>
          <w:tcPr>
            <w:tcW w:w="1260" w:type="dxa"/>
            <w:tcBorders/>
            <w:shd w:fill="auto" w:val="clear"/>
            <w:vAlign w:val="center"/>
          </w:tcPr>
          <w:p>
            <w:pPr>
              <w:pStyle w:val="TableContents"/>
              <w:spacing w:before="0" w:after="283"/>
              <w:jc w:val="left"/>
              <w:rPr>
                <w:color w:val="58595B"/>
              </w:rPr>
            </w:pPr>
            <w:r>
              <w:rPr>
                <w:color w:val="58595B"/>
              </w:rPr>
              <w:t>—</w:t>
            </w:r>
          </w:p>
        </w:tc>
        <w:tc>
          <w:tcPr>
            <w:tcW w:w="1064" w:type="dxa"/>
            <w:tcBorders/>
            <w:shd w:fill="auto" w:val="clear"/>
            <w:vAlign w:val="center"/>
          </w:tcPr>
          <w:p>
            <w:pPr>
              <w:pStyle w:val="TableContents"/>
              <w:spacing w:before="0" w:after="283"/>
              <w:jc w:val="left"/>
              <w:rPr>
                <w:color w:val="58595B"/>
              </w:rPr>
            </w:pPr>
            <w:r>
              <w:rPr>
                <w:color w:val="58595B"/>
              </w:rPr>
              <w:t>—</w:t>
            </w:r>
          </w:p>
        </w:tc>
        <w:tc>
          <w:tcPr>
            <w:tcW w:w="7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$133.40</w:t>
            </w:r>
          </w:p>
        </w:tc>
        <w:tc>
          <w:tcPr>
            <w:tcW w:w="81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5/5/2027</w:t>
            </w:r>
          </w:p>
        </w:tc>
        <w:tc>
          <w:tcPr>
            <w:tcW w:w="60" w:type="dxa"/>
            <w:tcBorders/>
            <w:shd w:fill="auto" w:val="clear"/>
            <w:vAlign w:val="center"/>
          </w:tcPr>
          <w:p>
            <w:pPr>
              <w:pStyle w:val="TableContents"/>
              <w:spacing w:before="0" w:after="283"/>
              <w:jc w:val="left"/>
              <w:rPr/>
            </w:pPr>
            <w:r>
              <w:rPr/>
              <w:t> </w:t>
            </w:r>
          </w:p>
        </w:tc>
        <w:tc>
          <w:tcPr>
            <w:tcW w:w="709" w:type="dxa"/>
            <w:tcBorders/>
            <w:shd w:fill="auto" w:val="clear"/>
            <w:vAlign w:val="center"/>
          </w:tcPr>
          <w:p>
            <w:pPr>
              <w:pStyle w:val="TableContents"/>
              <w:spacing w:before="0" w:after="283"/>
              <w:jc w:val="left"/>
              <w:rPr>
                <w:color w:val="58595B"/>
              </w:rPr>
            </w:pPr>
            <w:r>
              <w:rPr>
                <w:color w:val="58595B"/>
              </w:rPr>
              <w:t>—</w:t>
            </w:r>
          </w:p>
        </w:tc>
        <w:tc>
          <w:tcPr>
            <w:tcW w:w="721" w:type="dxa"/>
            <w:tcBorders/>
            <w:shd w:fill="auto" w:val="clear"/>
            <w:vAlign w:val="center"/>
          </w:tcPr>
          <w:p>
            <w:pPr>
              <w:pStyle w:val="TableContents"/>
              <w:spacing w:before="0" w:after="283"/>
              <w:jc w:val="left"/>
              <w:rPr>
                <w:color w:val="58595B"/>
              </w:rPr>
            </w:pPr>
            <w:r>
              <w:rPr>
                <w:color w:val="58595B"/>
              </w:rPr>
              <w:t>—</w:t>
            </w:r>
          </w:p>
        </w:tc>
        <w:tc>
          <w:tcPr>
            <w:tcW w:w="954" w:type="dxa"/>
            <w:tcBorders/>
            <w:shd w:fill="auto" w:val="clear"/>
            <w:vAlign w:val="center"/>
          </w:tcPr>
          <w:p>
            <w:pPr>
              <w:pStyle w:val="TableContents"/>
              <w:spacing w:before="0" w:after="283"/>
              <w:jc w:val="left"/>
              <w:rPr>
                <w:color w:val="58595B"/>
              </w:rPr>
            </w:pPr>
            <w:r>
              <w:rPr>
                <w:color w:val="58595B"/>
              </w:rPr>
              <w:t>—</w:t>
            </w:r>
          </w:p>
        </w:tc>
        <w:tc>
          <w:tcPr>
            <w:tcW w:w="1053" w:type="dxa"/>
            <w:tcBorders/>
            <w:shd w:fill="auto" w:val="clear"/>
            <w:vAlign w:val="center"/>
          </w:tcPr>
          <w:p>
            <w:pPr>
              <w:pStyle w:val="TableContents"/>
              <w:spacing w:before="0" w:after="283"/>
              <w:jc w:val="left"/>
              <w:rPr>
                <w:color w:val="58595B"/>
              </w:rPr>
            </w:pPr>
            <w:r>
              <w:rPr>
                <w:color w:val="58595B"/>
              </w:rPr>
              <w:t>—</w:t>
            </w:r>
          </w:p>
        </w:tc>
      </w:tr>
      <w:tr>
        <w:trPr/>
        <w:tc>
          <w:tcPr>
            <w:tcW w:w="1100" w:type="dxa"/>
            <w:vMerge w:val="continue"/>
            <w:tcBorders/>
            <w:shd w:fill="auto" w:val="clear"/>
            <w:vAlign w:val="center"/>
          </w:tcPr>
          <w:p>
            <w:pPr>
              <w:pStyle w:val="Normal"/>
              <w:rPr/>
            </w:pPr>
            <w:r>
              <w:rPr/>
            </w:r>
          </w:p>
        </w:tc>
        <w:tc>
          <w:tcPr>
            <w:tcW w:w="67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2/27/2019</w:t>
            </w:r>
          </w:p>
        </w:tc>
        <w:tc>
          <w:tcPr>
            <w:tcW w:w="108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11,250</w:t>
            </w:r>
          </w:p>
        </w:tc>
        <w:tc>
          <w:tcPr>
            <w:tcW w:w="1260" w:type="dxa"/>
            <w:tcBorders/>
            <w:shd w:fill="auto" w:val="clear"/>
            <w:vAlign w:val="center"/>
          </w:tcPr>
          <w:p>
            <w:pPr>
              <w:pStyle w:val="TableContents"/>
              <w:spacing w:before="0" w:after="283"/>
              <w:jc w:val="left"/>
              <w:rPr>
                <w:color w:val="58595B"/>
              </w:rPr>
            </w:pPr>
            <w:r>
              <w:rPr>
                <w:color w:val="58595B"/>
              </w:rPr>
              <w:t>—</w:t>
            </w:r>
          </w:p>
        </w:tc>
        <w:tc>
          <w:tcPr>
            <w:tcW w:w="1064" w:type="dxa"/>
            <w:tcBorders/>
            <w:shd w:fill="auto" w:val="clear"/>
            <w:vAlign w:val="center"/>
          </w:tcPr>
          <w:p>
            <w:pPr>
              <w:pStyle w:val="TableContents"/>
              <w:spacing w:before="0" w:after="283"/>
              <w:jc w:val="left"/>
              <w:rPr>
                <w:color w:val="58595B"/>
              </w:rPr>
            </w:pPr>
            <w:r>
              <w:rPr>
                <w:color w:val="58595B"/>
              </w:rPr>
              <w:t>—</w:t>
            </w:r>
          </w:p>
        </w:tc>
        <w:tc>
          <w:tcPr>
            <w:tcW w:w="7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$231.70</w:t>
            </w:r>
          </w:p>
        </w:tc>
        <w:tc>
          <w:tcPr>
            <w:tcW w:w="81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2/27/2029</w:t>
            </w:r>
          </w:p>
        </w:tc>
        <w:tc>
          <w:tcPr>
            <w:tcW w:w="60" w:type="dxa"/>
            <w:tcBorders/>
            <w:shd w:fill="auto" w:val="clear"/>
            <w:vAlign w:val="center"/>
          </w:tcPr>
          <w:p>
            <w:pPr>
              <w:pStyle w:val="TableContents"/>
              <w:spacing w:before="0" w:after="283"/>
              <w:jc w:val="left"/>
              <w:rPr/>
            </w:pPr>
            <w:r>
              <w:rPr/>
              <w:t> </w:t>
            </w:r>
          </w:p>
        </w:tc>
        <w:tc>
          <w:tcPr>
            <w:tcW w:w="709" w:type="dxa"/>
            <w:tcBorders/>
            <w:shd w:fill="auto" w:val="clear"/>
            <w:vAlign w:val="center"/>
          </w:tcPr>
          <w:p>
            <w:pPr>
              <w:pStyle w:val="TableContents"/>
              <w:spacing w:before="0" w:after="283"/>
              <w:jc w:val="left"/>
              <w:rPr>
                <w:color w:val="58595B"/>
              </w:rPr>
            </w:pPr>
            <w:r>
              <w:rPr>
                <w:color w:val="58595B"/>
              </w:rPr>
              <w:t>—</w:t>
            </w:r>
          </w:p>
        </w:tc>
        <w:tc>
          <w:tcPr>
            <w:tcW w:w="721" w:type="dxa"/>
            <w:tcBorders/>
            <w:shd w:fill="auto" w:val="clear"/>
            <w:vAlign w:val="center"/>
          </w:tcPr>
          <w:p>
            <w:pPr>
              <w:pStyle w:val="TableContents"/>
              <w:spacing w:before="0" w:after="283"/>
              <w:jc w:val="left"/>
              <w:rPr>
                <w:color w:val="58595B"/>
              </w:rPr>
            </w:pPr>
            <w:r>
              <w:rPr>
                <w:color w:val="58595B"/>
              </w:rPr>
              <w:t>—</w:t>
            </w:r>
          </w:p>
        </w:tc>
        <w:tc>
          <w:tcPr>
            <w:tcW w:w="954" w:type="dxa"/>
            <w:tcBorders/>
            <w:shd w:fill="auto" w:val="clear"/>
            <w:vAlign w:val="center"/>
          </w:tcPr>
          <w:p>
            <w:pPr>
              <w:pStyle w:val="TableContents"/>
              <w:spacing w:before="0" w:after="283"/>
              <w:jc w:val="left"/>
              <w:rPr>
                <w:color w:val="58595B"/>
              </w:rPr>
            </w:pPr>
            <w:r>
              <w:rPr>
                <w:color w:val="58595B"/>
              </w:rPr>
              <w:t>—</w:t>
            </w:r>
          </w:p>
        </w:tc>
        <w:tc>
          <w:tcPr>
            <w:tcW w:w="1053" w:type="dxa"/>
            <w:tcBorders/>
            <w:shd w:fill="auto" w:val="clear"/>
            <w:vAlign w:val="center"/>
          </w:tcPr>
          <w:p>
            <w:pPr>
              <w:pStyle w:val="TableContents"/>
              <w:spacing w:before="0" w:after="283"/>
              <w:jc w:val="left"/>
              <w:rPr>
                <w:color w:val="58595B"/>
              </w:rPr>
            </w:pPr>
            <w:r>
              <w:rPr>
                <w:color w:val="58595B"/>
              </w:rPr>
              <w:t>—</w:t>
            </w:r>
          </w:p>
        </w:tc>
      </w:tr>
      <w:tr>
        <w:trPr/>
        <w:tc>
          <w:tcPr>
            <w:tcW w:w="1100" w:type="dxa"/>
            <w:vMerge w:val="continue"/>
            <w:tcBorders/>
            <w:shd w:fill="auto" w:val="clear"/>
            <w:vAlign w:val="center"/>
          </w:tcPr>
          <w:p>
            <w:pPr>
              <w:pStyle w:val="Normal"/>
              <w:rPr/>
            </w:pPr>
            <w:r>
              <w:rPr/>
            </w:r>
          </w:p>
        </w:tc>
        <w:tc>
          <w:tcPr>
            <w:tcW w:w="67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3/27/2020</w:t>
            </w:r>
          </w:p>
        </w:tc>
        <w:tc>
          <w:tcPr>
            <w:tcW w:w="108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12,531</w:t>
            </w:r>
          </w:p>
        </w:tc>
        <w:tc>
          <w:tcPr>
            <w:tcW w:w="1260" w:type="dxa"/>
            <w:tcBorders/>
            <w:shd w:fill="auto" w:val="clear"/>
            <w:vAlign w:val="center"/>
          </w:tcPr>
          <w:p>
            <w:pPr>
              <w:pStyle w:val="TableContents"/>
              <w:spacing w:before="0" w:after="283"/>
              <w:jc w:val="left"/>
              <w:rPr>
                <w:color w:val="58595B"/>
              </w:rPr>
            </w:pPr>
            <w:r>
              <w:rPr>
                <w:color w:val="58595B"/>
              </w:rPr>
              <w:t>—</w:t>
            </w:r>
          </w:p>
        </w:tc>
        <w:tc>
          <w:tcPr>
            <w:tcW w:w="1064" w:type="dxa"/>
            <w:tcBorders/>
            <w:shd w:fill="auto" w:val="clear"/>
            <w:vAlign w:val="center"/>
          </w:tcPr>
          <w:p>
            <w:pPr>
              <w:pStyle w:val="TableContents"/>
              <w:spacing w:before="0" w:after="283"/>
              <w:jc w:val="left"/>
              <w:rPr>
                <w:color w:val="58595B"/>
              </w:rPr>
            </w:pPr>
            <w:r>
              <w:rPr>
                <w:color w:val="58595B"/>
              </w:rPr>
              <w:t>—</w:t>
            </w:r>
          </w:p>
        </w:tc>
        <w:tc>
          <w:tcPr>
            <w:tcW w:w="7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$196.18</w:t>
            </w:r>
          </w:p>
        </w:tc>
        <w:tc>
          <w:tcPr>
            <w:tcW w:w="81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3/27/2030</w:t>
            </w:r>
          </w:p>
        </w:tc>
        <w:tc>
          <w:tcPr>
            <w:tcW w:w="60" w:type="dxa"/>
            <w:tcBorders/>
            <w:shd w:fill="auto" w:val="clear"/>
            <w:vAlign w:val="center"/>
          </w:tcPr>
          <w:p>
            <w:pPr>
              <w:pStyle w:val="TableContents"/>
              <w:spacing w:before="0" w:after="283"/>
              <w:jc w:val="left"/>
              <w:rPr/>
            </w:pPr>
            <w:r>
              <w:rPr/>
              <w:t> </w:t>
            </w:r>
          </w:p>
        </w:tc>
        <w:tc>
          <w:tcPr>
            <w:tcW w:w="709" w:type="dxa"/>
            <w:tcBorders/>
            <w:shd w:fill="auto" w:val="clear"/>
            <w:vAlign w:val="center"/>
          </w:tcPr>
          <w:p>
            <w:pPr>
              <w:pStyle w:val="TableContents"/>
              <w:spacing w:before="0" w:after="283"/>
              <w:jc w:val="left"/>
              <w:rPr>
                <w:color w:val="58595B"/>
              </w:rPr>
            </w:pPr>
            <w:r>
              <w:rPr>
                <w:color w:val="58595B"/>
              </w:rPr>
              <w:t>—</w:t>
            </w:r>
          </w:p>
        </w:tc>
        <w:tc>
          <w:tcPr>
            <w:tcW w:w="721" w:type="dxa"/>
            <w:tcBorders/>
            <w:shd w:fill="auto" w:val="clear"/>
            <w:vAlign w:val="center"/>
          </w:tcPr>
          <w:p>
            <w:pPr>
              <w:pStyle w:val="TableContents"/>
              <w:spacing w:before="0" w:after="283"/>
              <w:jc w:val="left"/>
              <w:rPr>
                <w:color w:val="58595B"/>
              </w:rPr>
            </w:pPr>
            <w:r>
              <w:rPr>
                <w:color w:val="58595B"/>
              </w:rPr>
              <w:t>—</w:t>
            </w:r>
          </w:p>
        </w:tc>
        <w:tc>
          <w:tcPr>
            <w:tcW w:w="954" w:type="dxa"/>
            <w:tcBorders/>
            <w:shd w:fill="auto" w:val="clear"/>
            <w:vAlign w:val="center"/>
          </w:tcPr>
          <w:p>
            <w:pPr>
              <w:pStyle w:val="TableContents"/>
              <w:spacing w:before="0" w:after="283"/>
              <w:jc w:val="left"/>
              <w:rPr>
                <w:color w:val="58595B"/>
              </w:rPr>
            </w:pPr>
            <w:r>
              <w:rPr>
                <w:color w:val="58595B"/>
              </w:rPr>
              <w:t>—</w:t>
            </w:r>
          </w:p>
        </w:tc>
        <w:tc>
          <w:tcPr>
            <w:tcW w:w="1053" w:type="dxa"/>
            <w:tcBorders/>
            <w:shd w:fill="auto" w:val="clear"/>
            <w:vAlign w:val="center"/>
          </w:tcPr>
          <w:p>
            <w:pPr>
              <w:pStyle w:val="TableContents"/>
              <w:spacing w:before="0" w:after="283"/>
              <w:jc w:val="left"/>
              <w:rPr>
                <w:color w:val="58595B"/>
              </w:rPr>
            </w:pPr>
            <w:r>
              <w:rPr>
                <w:color w:val="58595B"/>
              </w:rPr>
              <w:t>—</w:t>
            </w:r>
          </w:p>
        </w:tc>
      </w:tr>
      <w:tr>
        <w:trPr/>
        <w:tc>
          <w:tcPr>
            <w:tcW w:w="1100" w:type="dxa"/>
            <w:vMerge w:val="continue"/>
            <w:tcBorders/>
            <w:shd w:fill="auto" w:val="clear"/>
            <w:vAlign w:val="center"/>
          </w:tcPr>
          <w:p>
            <w:pPr>
              <w:pStyle w:val="Normal"/>
              <w:rPr/>
            </w:pPr>
            <w:r>
              <w:rPr/>
            </w:r>
          </w:p>
        </w:tc>
        <w:tc>
          <w:tcPr>
            <w:tcW w:w="67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1/25/2021</w:t>
            </w:r>
          </w:p>
        </w:tc>
        <w:tc>
          <w:tcPr>
            <w:tcW w:w="108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4,116</w:t>
            </w:r>
          </w:p>
        </w:tc>
        <w:tc>
          <w:tcPr>
            <w:tcW w:w="1260" w:type="dxa"/>
            <w:tcBorders/>
            <w:shd w:fill="auto" w:val="clear"/>
            <w:vAlign w:val="center"/>
          </w:tcPr>
          <w:p>
            <w:pPr>
              <w:pStyle w:val="TableContents"/>
              <w:spacing w:before="0" w:after="283"/>
              <w:jc w:val="left"/>
              <w:rPr>
                <w:color w:val="58595B"/>
              </w:rPr>
            </w:pPr>
            <w:r>
              <w:rPr>
                <w:color w:val="58595B"/>
              </w:rPr>
              <w:t>—</w:t>
            </w:r>
          </w:p>
        </w:tc>
        <w:tc>
          <w:tcPr>
            <w:tcW w:w="1064" w:type="dxa"/>
            <w:tcBorders/>
            <w:shd w:fill="auto" w:val="clear"/>
            <w:vAlign w:val="center"/>
          </w:tcPr>
          <w:p>
            <w:pPr>
              <w:pStyle w:val="TableContents"/>
              <w:spacing w:before="0" w:after="283"/>
              <w:jc w:val="left"/>
              <w:rPr>
                <w:color w:val="58595B"/>
              </w:rPr>
            </w:pPr>
            <w:r>
              <w:rPr>
                <w:color w:val="58595B"/>
              </w:rPr>
              <w:t>—</w:t>
            </w:r>
          </w:p>
        </w:tc>
        <w:tc>
          <w:tcPr>
            <w:tcW w:w="703"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$261.07</w:t>
            </w:r>
          </w:p>
        </w:tc>
        <w:tc>
          <w:tcPr>
            <w:tcW w:w="81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1/25/2031</w:t>
            </w:r>
          </w:p>
        </w:tc>
        <w:tc>
          <w:tcPr>
            <w:tcW w:w="60" w:type="dxa"/>
            <w:tcBorders/>
            <w:shd w:fill="auto" w:val="clear"/>
            <w:vAlign w:val="center"/>
          </w:tcPr>
          <w:p>
            <w:pPr>
              <w:pStyle w:val="TableContents"/>
              <w:spacing w:before="0" w:after="283"/>
              <w:jc w:val="left"/>
              <w:rPr/>
            </w:pPr>
            <w:r>
              <w:rPr/>
              <w:t> </w:t>
            </w:r>
          </w:p>
        </w:tc>
        <w:tc>
          <w:tcPr>
            <w:tcW w:w="709" w:type="dxa"/>
            <w:tcBorders/>
            <w:shd w:fill="auto" w:val="clear"/>
            <w:vAlign w:val="center"/>
          </w:tcPr>
          <w:p>
            <w:pPr>
              <w:pStyle w:val="TableContents"/>
              <w:spacing w:before="0" w:after="283"/>
              <w:jc w:val="left"/>
              <w:rPr>
                <w:color w:val="58595B"/>
              </w:rPr>
            </w:pPr>
            <w:r>
              <w:rPr>
                <w:color w:val="58595B"/>
              </w:rPr>
              <w:t>—</w:t>
            </w:r>
          </w:p>
        </w:tc>
        <w:tc>
          <w:tcPr>
            <w:tcW w:w="721" w:type="dxa"/>
            <w:tcBorders/>
            <w:shd w:fill="auto" w:val="clear"/>
            <w:vAlign w:val="center"/>
          </w:tcPr>
          <w:p>
            <w:pPr>
              <w:pStyle w:val="TableContents"/>
              <w:spacing w:before="0" w:after="283"/>
              <w:jc w:val="left"/>
              <w:rPr>
                <w:color w:val="58595B"/>
              </w:rPr>
            </w:pPr>
            <w:r>
              <w:rPr>
                <w:color w:val="58595B"/>
              </w:rPr>
              <w:t>—</w:t>
            </w:r>
          </w:p>
        </w:tc>
        <w:tc>
          <w:tcPr>
            <w:tcW w:w="954" w:type="dxa"/>
            <w:tcBorders/>
            <w:shd w:fill="auto" w:val="clear"/>
            <w:vAlign w:val="center"/>
          </w:tcPr>
          <w:p>
            <w:pPr>
              <w:pStyle w:val="TableContents"/>
              <w:spacing w:before="0" w:after="283"/>
              <w:jc w:val="left"/>
              <w:rPr>
                <w:color w:val="58595B"/>
              </w:rPr>
            </w:pPr>
            <w:r>
              <w:rPr>
                <w:color w:val="58595B"/>
              </w:rPr>
              <w:t>—</w:t>
            </w:r>
          </w:p>
        </w:tc>
        <w:tc>
          <w:tcPr>
            <w:tcW w:w="1053" w:type="dxa"/>
            <w:tcBorders/>
            <w:shd w:fill="auto" w:val="clear"/>
            <w:vAlign w:val="center"/>
          </w:tcPr>
          <w:p>
            <w:pPr>
              <w:pStyle w:val="TableContents"/>
              <w:spacing w:before="0" w:after="283"/>
              <w:jc w:val="left"/>
              <w:rPr>
                <w:color w:val="58595B"/>
              </w:rPr>
            </w:pPr>
            <w:r>
              <w:rPr>
                <w:color w:val="58595B"/>
              </w:rPr>
              <w:t>—</w:t>
            </w:r>
          </w:p>
        </w:tc>
      </w:tr>
    </w:tbl>
    <w:p>
      <w:pPr>
        <w:pStyle w:val="TextBody"/>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2"/>
          <w:sz w:val="16"/>
        </w:rPr>
        <w:t xml:space="preserve">(1) </w:t>
      </w:r>
      <w:r>
        <w:rPr>
          <w:rFonts w:ascii="Arial;Helvetica;Sans-Serif" w:hAnsi="Arial;Helvetica;Sans-Serif"/>
          <w:b w:val="false"/>
          <w:i/>
          <w:caps w:val="false"/>
          <w:smallCaps w:val="false"/>
          <w:color w:val="58595B"/>
          <w:spacing w:val="-3"/>
          <w:sz w:val="16"/>
        </w:rPr>
        <w:t>Stock options in these columns generally vest in substantially equal installments on each of the first four anniversaries of the grant date.</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2"/>
          <w:sz w:val="16"/>
        </w:rPr>
        <w:t xml:space="preserve">(2) </w:t>
      </w:r>
      <w:r>
        <w:rPr>
          <w:rFonts w:ascii="Arial;Helvetica;Sans-Serif" w:hAnsi="Arial;Helvetica;Sans-Serif"/>
          <w:b w:val="false"/>
          <w:i/>
          <w:caps w:val="false"/>
          <w:smallCaps w:val="false"/>
          <w:color w:val="58595B"/>
          <w:spacing w:val="-3"/>
          <w:sz w:val="16"/>
        </w:rPr>
        <w:t>For Mr. Clarke, reflects a performance-based stock option award granted to Mr. Clarke in 2021, reported at the target performance level, which is the portion of the award that would be eligible to vest after achievement of both of the stock price hurdles applicable to the award. For Mr. Clarke to earn the full award, our stock price must achieve two stock price hurdles by December 31, 2024, and any portion of the award earned based on stock price performance will generally vest in substantially equal increments on each of March 31, 2022, September 30, 2022 and March 31, 2023. Neither stock price hurdle applicable to this award had been achieved as of December 31, 2022. For Mr. Netto, reflects a performance-based stock option originally granted to Mr. Netto in 2020, for which the performance goals were established in April 2021. A portion of Mr. Netto’s award vested based on the achievement of the applicable performance goals as of the first quarter of 2023. For more information regarding these awards, see “Compensation Discussion and Analysis — Key Elements of 2022 Named Executive Officer Compensation — Equity Awards.”</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2"/>
          <w:sz w:val="16"/>
        </w:rPr>
        <w:t xml:space="preserve">(3) </w:t>
      </w:r>
      <w:r>
        <w:rPr>
          <w:rFonts w:ascii="Arial;Helvetica;Sans-Serif" w:hAnsi="Arial;Helvetica;Sans-Serif"/>
          <w:b w:val="false"/>
          <w:i/>
          <w:caps w:val="false"/>
          <w:smallCaps w:val="false"/>
          <w:color w:val="58595B"/>
          <w:spacing w:val="-3"/>
          <w:sz w:val="16"/>
        </w:rPr>
        <w:t>For Mr. King and Mr. Netto, amounts in this column reflect the unvested portion of Performance-Based RSU awards granted in 2020 and 2021 that were earned based on 2020 performance and 2021 performance, respectively, and which vest in substantially equal installments on the first three anniversaries of the grant date. For Ms. Vickery, amounts in this column reflect the unvested portion of Performance Share awards granted in 2019, 2020 and 2021 that were earned based on 2019, 2020 and 2021 performance, respectively. Ms. Vickery’s earned 2019, 2020, and 2021 Performance Shares are 5/8 vested on the first anniversary of the grant date, and 1/8 vested on each of the second, third and fourth anniversaries of the grant date.</w:t>
      </w:r>
    </w:p>
    <w:p>
      <w:pPr>
        <w:pStyle w:val="TextBody"/>
        <w:spacing w:before="0" w:after="0"/>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2"/>
          <w:sz w:val="16"/>
        </w:rPr>
        <w:t xml:space="preserve">(4) </w:t>
      </w:r>
      <w:r>
        <w:rPr>
          <w:rFonts w:ascii="Arial;Helvetica;Sans-Serif" w:hAnsi="Arial;Helvetica;Sans-Serif"/>
          <w:b w:val="false"/>
          <w:i/>
          <w:caps w:val="false"/>
          <w:smallCaps w:val="false"/>
          <w:color w:val="58595B"/>
          <w:spacing w:val="-3"/>
          <w:sz w:val="16"/>
        </w:rPr>
        <w:t>Market value of Performance Shares and Performance-Based RSUs that have not vested is calculated using $183.68, the Company’s closing stock price on December 30, 2022 (the last trading day of 2022).</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2"/>
          <w:sz w:val="16"/>
        </w:rPr>
        <w:t xml:space="preserve">(5) </w:t>
      </w:r>
      <w:r>
        <w:rPr>
          <w:rFonts w:ascii="Arial;Helvetica;Sans-Serif" w:hAnsi="Arial;Helvetica;Sans-Serif"/>
          <w:b w:val="false"/>
          <w:i/>
          <w:caps w:val="false"/>
          <w:smallCaps w:val="false"/>
          <w:color w:val="58595B"/>
          <w:spacing w:val="-3"/>
          <w:sz w:val="16"/>
        </w:rPr>
        <w:t>Represents Performance Shares unvested and unearned at December 31, 2022, where performance targets are based on achieving financial or other performance goals for the period ending December 31, 2022. The earned portion of the award generally pays out after certification of the performance goals, except that the earned portion of Ms. Vickery’s 2022 Performance Share award vests as to 5/8 of the award on the first anniversary of the grant date, and as to 3/8 of the award on the second anniversary of the grant date. For information regarding the portion of the awards actually earned after the compensation committee’s certification of the performance goals, see “Compensation Discussion and Analysis — Key Elements of 2022 Named Executive Officer Compensation — Equity Awards.”</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2"/>
          <w:sz w:val="16"/>
        </w:rPr>
        <w:t xml:space="preserve">(6) </w:t>
      </w:r>
      <w:r>
        <w:rPr>
          <w:rFonts w:ascii="Arial;Helvetica;Sans-Serif" w:hAnsi="Arial;Helvetica;Sans-Serif"/>
          <w:b w:val="false"/>
          <w:i/>
          <w:caps w:val="false"/>
          <w:smallCaps w:val="false"/>
          <w:color w:val="58595B"/>
          <w:spacing w:val="-3"/>
          <w:sz w:val="16"/>
        </w:rPr>
        <w:t>Represents Performance-Based RSUs unvested and unearned at December 31, 2022, where performance targets are based on achieving Company-wide or business unit performance goals. These awards were generally subject to a performance period ending on December 31, 2022, and the earned portions of the awards generally vest in substantially equal installments on each of the first three anniversaries of the grant date. The awards are reported based on the target performance level. For information regarding the portion of the awards actually earned after the compensation committee’s certification of the performance goals, see “Compensation Discussion and Analysis — Key Elements of 2022 Named Executive Officer Compensation — Equity Awards.”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EE0027"/>
          <w:sz w:val="20"/>
        </w:rPr>
      </w:pPr>
      <w:bookmarkStart w:id="120" w:name="a070"/>
      <w:bookmarkEnd w:id="120"/>
      <w:r>
        <w:rPr>
          <w:rFonts w:ascii="Arial;Helvetica;Sans-Serif" w:hAnsi="Arial;Helvetica;Sans-Serif"/>
          <w:b/>
          <w:i w:val="false"/>
          <w:caps w:val="false"/>
          <w:smallCaps w:val="false"/>
          <w:color w:val="EE0027"/>
          <w:sz w:val="20"/>
        </w:rPr>
        <w:t>2022 Option Exercises and Stock Vested</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shows the number of stock options exercised and stock vested in 2022 by each of the NEOs:</w:t>
      </w:r>
    </w:p>
    <w:p>
      <w:pPr>
        <w:pStyle w:val="TextBody"/>
        <w:rPr>
          <w:caps w:val="false"/>
          <w:smallCaps w:val="false"/>
          <w:color w:val="58595B"/>
        </w:rPr>
      </w:pPr>
      <w:r>
        <w:rPr>
          <w:caps w:val="false"/>
          <w:smallCaps w:val="false"/>
          <w:color w:val="58595B"/>
        </w:rPr>
        <w:t> </w:t>
      </w:r>
    </w:p>
    <w:tbl>
      <w:tblPr>
        <w:tblW w:w="8485" w:type="dxa"/>
        <w:jc w:val="left"/>
        <w:tblInd w:w="0" w:type="dxa"/>
        <w:tblCellMar>
          <w:top w:w="0" w:type="dxa"/>
          <w:left w:w="0" w:type="dxa"/>
          <w:bottom w:w="0" w:type="dxa"/>
          <w:right w:w="0" w:type="dxa"/>
        </w:tblCellMar>
      </w:tblPr>
      <w:tblGrid>
        <w:gridCol w:w="1610"/>
        <w:gridCol w:w="1955"/>
        <w:gridCol w:w="1475"/>
        <w:gridCol w:w="60"/>
        <w:gridCol w:w="1895"/>
        <w:gridCol w:w="1490"/>
      </w:tblGrid>
      <w:tr>
        <w:trPr/>
        <w:tc>
          <w:tcPr>
            <w:tcW w:w="1610" w:type="dxa"/>
            <w:tcBorders/>
            <w:shd w:fill="EE0027" w:val="clear"/>
            <w:vAlign w:val="center"/>
          </w:tcPr>
          <w:p>
            <w:pPr>
              <w:pStyle w:val="TableContents"/>
              <w:spacing w:before="0" w:after="283"/>
              <w:jc w:val="left"/>
              <w:rPr>
                <w:caps w:val="false"/>
                <w:smallCaps w:val="false"/>
                <w:color w:val="FFFFFF"/>
              </w:rPr>
            </w:pPr>
            <w:r>
              <w:rPr>
                <w:caps w:val="false"/>
                <w:smallCaps w:val="false"/>
                <w:color w:val="FFFFFF"/>
              </w:rPr>
              <w:t> </w:t>
            </w:r>
          </w:p>
        </w:tc>
        <w:tc>
          <w:tcPr>
            <w:tcW w:w="3430" w:type="dxa"/>
            <w:gridSpan w:val="2"/>
            <w:tcBorders/>
            <w:shd w:fill="EE0027" w:val="clear"/>
            <w:vAlign w:val="center"/>
          </w:tcPr>
          <w:p>
            <w:pPr>
              <w:pStyle w:val="TableContents"/>
              <w:spacing w:before="0" w:after="283"/>
              <w:jc w:val="center"/>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OPTION AWARDS</w:t>
            </w:r>
          </w:p>
        </w:tc>
        <w:tc>
          <w:tcPr>
            <w:tcW w:w="60" w:type="dxa"/>
            <w:tcBorders/>
            <w:shd w:fill="EE0027" w:val="clear"/>
            <w:vAlign w:val="center"/>
          </w:tcPr>
          <w:p>
            <w:pPr>
              <w:pStyle w:val="TableContents"/>
              <w:spacing w:before="0" w:after="283"/>
              <w:jc w:val="left"/>
              <w:rPr/>
            </w:pPr>
            <w:r>
              <w:rPr/>
              <w:t> </w:t>
            </w:r>
          </w:p>
        </w:tc>
        <w:tc>
          <w:tcPr>
            <w:tcW w:w="3385" w:type="dxa"/>
            <w:gridSpan w:val="2"/>
            <w:tcBorders/>
            <w:shd w:fill="EE0027" w:val="clear"/>
            <w:vAlign w:val="center"/>
          </w:tcPr>
          <w:p>
            <w:pPr>
              <w:pStyle w:val="TableContents"/>
              <w:spacing w:before="0" w:after="283"/>
              <w:jc w:val="center"/>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STOCK AWARDS</w:t>
            </w:r>
            <w:r>
              <w:rPr>
                <w:rFonts w:ascii="Arial;Helvetica;Sans-Serif" w:hAnsi="Arial;Helvetica;Sans-Serif"/>
                <w:b w:val="false"/>
                <w:i w:val="false"/>
                <w:caps w:val="false"/>
                <w:smallCaps w:val="false"/>
                <w:color w:val="FFFFFF"/>
                <w:sz w:val="16"/>
              </w:rPr>
              <w:t> </w:t>
            </w:r>
          </w:p>
        </w:tc>
      </w:tr>
      <w:tr>
        <w:trPr/>
        <w:tc>
          <w:tcPr>
            <w:tcW w:w="1610"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1955" w:type="dxa"/>
            <w:tcBorders>
              <w:top w:val="single" w:sz="8" w:space="0" w:color="FFFFFF"/>
            </w:tcBorders>
            <w:shd w:fill="EE0027" w:val="clear"/>
            <w:tcMar>
              <w:top w:w="60" w:type="dxa"/>
            </w:tcMar>
            <w:vAlign w:val="center"/>
          </w:tcPr>
          <w:p>
            <w:pPr>
              <w:pStyle w:val="TableContents"/>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Number of Shares </w:t>
              <w:br/>
              <w:t>Acquired on Exercise (#)</w:t>
            </w:r>
          </w:p>
        </w:tc>
        <w:tc>
          <w:tcPr>
            <w:tcW w:w="1475" w:type="dxa"/>
            <w:tcBorders>
              <w:top w:val="single" w:sz="8" w:space="0" w:color="FFFFFF"/>
            </w:tcBorders>
            <w:shd w:fill="EE0027" w:val="clear"/>
            <w:tcMar>
              <w:top w:w="60" w:type="dxa"/>
            </w:tcMar>
            <w:vAlign w:val="center"/>
          </w:tcPr>
          <w:p>
            <w:pPr>
              <w:pStyle w:val="TableContents"/>
              <w:spacing w:lineRule="auto" w:line="240" w:before="0" w:after="283"/>
              <w:jc w:val="left"/>
              <w:rPr/>
            </w:pPr>
            <w:r>
              <w:rPr>
                <w:rFonts w:ascii="Arial;Helvetica;Sans-Serif" w:hAnsi="Arial;Helvetica;Sans-Serif"/>
                <w:b/>
                <w:color w:val="FFFFFF"/>
                <w:sz w:val="16"/>
              </w:rPr>
              <w:t xml:space="preserve">Value Realized on </w:t>
            </w:r>
            <w:r>
              <w:rPr/>
              <w:br/>
            </w:r>
            <w:r>
              <w:rPr>
                <w:rFonts w:ascii="Arial;Helvetica;Sans-Serif" w:hAnsi="Arial;Helvetica;Sans-Serif"/>
                <w:b/>
                <w:color w:val="FFFFFF"/>
                <w:sz w:val="16"/>
              </w:rPr>
              <w:t>Exercise ($)(1)</w:t>
            </w:r>
          </w:p>
        </w:tc>
        <w:tc>
          <w:tcPr>
            <w:tcW w:w="60" w:type="dxa"/>
            <w:tcBorders/>
            <w:shd w:fill="EE0027" w:val="clear"/>
            <w:vAlign w:val="center"/>
          </w:tcPr>
          <w:p>
            <w:pPr>
              <w:pStyle w:val="TableContents"/>
              <w:spacing w:before="0" w:after="283"/>
              <w:jc w:val="left"/>
              <w:rPr/>
            </w:pPr>
            <w:r>
              <w:rPr/>
              <w:t> </w:t>
            </w:r>
          </w:p>
        </w:tc>
        <w:tc>
          <w:tcPr>
            <w:tcW w:w="1895" w:type="dxa"/>
            <w:tcBorders>
              <w:top w:val="single" w:sz="8" w:space="0" w:color="FFFFFF"/>
            </w:tcBorders>
            <w:shd w:fill="EE0027" w:val="clear"/>
            <w:tcMar>
              <w:top w:w="60" w:type="dxa"/>
            </w:tcMar>
            <w:vAlign w:val="center"/>
          </w:tcPr>
          <w:p>
            <w:pPr>
              <w:pStyle w:val="TableContents"/>
              <w:spacing w:before="0" w:after="283"/>
              <w:jc w:val="left"/>
              <w:rPr>
                <w:rFonts w:ascii="Arial;Helvetica;Sans-Serif" w:hAnsi="Arial;Helvetica;Sans-Serif"/>
                <w:b/>
                <w:color w:val="FFFFFF"/>
                <w:sz w:val="16"/>
              </w:rPr>
            </w:pPr>
            <w:r>
              <w:rPr>
                <w:rFonts w:ascii="Arial;Helvetica;Sans-Serif" w:hAnsi="Arial;Helvetica;Sans-Serif"/>
                <w:b/>
                <w:color w:val="FFFFFF"/>
                <w:sz w:val="16"/>
              </w:rPr>
              <w:t xml:space="preserve">Number of Shares </w:t>
              <w:br/>
              <w:t>Acquired on Vesting (#)</w:t>
            </w:r>
          </w:p>
        </w:tc>
        <w:tc>
          <w:tcPr>
            <w:tcW w:w="1490" w:type="dxa"/>
            <w:tcBorders>
              <w:top w:val="single" w:sz="8" w:space="0" w:color="FFFFFF"/>
            </w:tcBorders>
            <w:shd w:fill="EE0027" w:val="clear"/>
            <w:tcMar>
              <w:top w:w="60" w:type="dxa"/>
            </w:tcMar>
            <w:vAlign w:val="center"/>
          </w:tcPr>
          <w:p>
            <w:pPr>
              <w:pStyle w:val="TableContents"/>
              <w:spacing w:lineRule="auto" w:line="240" w:before="0" w:after="283"/>
              <w:jc w:val="left"/>
              <w:rPr/>
            </w:pPr>
            <w:r>
              <w:rPr>
                <w:rFonts w:ascii="Arial;Helvetica;Sans-Serif" w:hAnsi="Arial;Helvetica;Sans-Serif"/>
                <w:b/>
                <w:color w:val="FFFFFF"/>
                <w:sz w:val="16"/>
              </w:rPr>
              <w:t xml:space="preserve">Value Realized on </w:t>
            </w:r>
            <w:r>
              <w:rPr/>
              <w:br/>
            </w:r>
            <w:r>
              <w:rPr>
                <w:rFonts w:ascii="Arial;Helvetica;Sans-Serif" w:hAnsi="Arial;Helvetica;Sans-Serif"/>
                <w:b/>
                <w:color w:val="FFFFFF"/>
                <w:sz w:val="16"/>
              </w:rPr>
              <w:t>Vesting ($)(1)</w:t>
            </w:r>
          </w:p>
        </w:tc>
      </w:tr>
      <w:tr>
        <w:trPr/>
        <w:tc>
          <w:tcPr>
            <w:tcW w:w="1610"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Ronald F. Clarke</w:t>
            </w:r>
          </w:p>
        </w:tc>
        <w:tc>
          <w:tcPr>
            <w:tcW w:w="19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258,333</w:t>
            </w:r>
          </w:p>
        </w:tc>
        <w:tc>
          <w:tcPr>
            <w:tcW w:w="14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$49,521,306</w:t>
            </w:r>
          </w:p>
        </w:tc>
        <w:tc>
          <w:tcPr>
            <w:tcW w:w="60" w:type="dxa"/>
            <w:tcBorders/>
            <w:shd w:fill="auto" w:val="clear"/>
            <w:vAlign w:val="center"/>
          </w:tcPr>
          <w:p>
            <w:pPr>
              <w:pStyle w:val="TableContents"/>
              <w:spacing w:before="0" w:after="283"/>
              <w:jc w:val="left"/>
              <w:rPr/>
            </w:pPr>
            <w:r>
              <w:rPr/>
              <w:t> </w:t>
            </w:r>
          </w:p>
        </w:tc>
        <w:tc>
          <w:tcPr>
            <w:tcW w:w="1895" w:type="dxa"/>
            <w:tcBorders/>
            <w:shd w:fill="auto" w:val="clear"/>
            <w:vAlign w:val="center"/>
          </w:tcPr>
          <w:p>
            <w:pPr>
              <w:pStyle w:val="TableContents"/>
              <w:spacing w:before="0" w:after="283"/>
              <w:jc w:val="left"/>
              <w:rPr>
                <w:color w:val="58595B"/>
              </w:rPr>
            </w:pPr>
            <w:r>
              <w:rPr>
                <w:color w:val="58595B"/>
              </w:rPr>
              <w:t>—</w:t>
            </w:r>
          </w:p>
        </w:tc>
        <w:tc>
          <w:tcPr>
            <w:tcW w:w="1490" w:type="dxa"/>
            <w:tcBorders/>
            <w:shd w:fill="auto" w:val="clear"/>
            <w:vAlign w:val="center"/>
          </w:tcPr>
          <w:p>
            <w:pPr>
              <w:pStyle w:val="TableContents"/>
              <w:spacing w:before="0" w:after="283"/>
              <w:jc w:val="left"/>
              <w:rPr>
                <w:color w:val="58595B"/>
              </w:rPr>
            </w:pPr>
            <w:r>
              <w:rPr>
                <w:color w:val="58595B"/>
              </w:rPr>
              <w:t>—</w:t>
            </w:r>
          </w:p>
        </w:tc>
      </w:tr>
      <w:tr>
        <w:trPr/>
        <w:tc>
          <w:tcPr>
            <w:tcW w:w="1610" w:type="dxa"/>
            <w:tcBorders/>
            <w:shd w:fill="DCDDDE"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Alissa B. Vickery</w:t>
            </w:r>
          </w:p>
        </w:tc>
        <w:tc>
          <w:tcPr>
            <w:tcW w:w="1955" w:type="dxa"/>
            <w:tcBorders/>
            <w:shd w:fill="DCDDDE" w:val="clear"/>
            <w:vAlign w:val="center"/>
          </w:tcPr>
          <w:p>
            <w:pPr>
              <w:pStyle w:val="TableContents"/>
              <w:spacing w:before="0" w:after="283"/>
              <w:jc w:val="left"/>
              <w:rPr>
                <w:color w:val="58595B"/>
              </w:rPr>
            </w:pPr>
            <w:r>
              <w:rPr>
                <w:color w:val="58595B"/>
              </w:rPr>
              <w:t>—</w:t>
            </w:r>
          </w:p>
        </w:tc>
        <w:tc>
          <w:tcPr>
            <w:tcW w:w="1475"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189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594</w:t>
            </w:r>
          </w:p>
        </w:tc>
        <w:tc>
          <w:tcPr>
            <w:tcW w:w="14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$139,747</w:t>
            </w:r>
          </w:p>
        </w:tc>
      </w:tr>
      <w:tr>
        <w:trPr/>
        <w:tc>
          <w:tcPr>
            <w:tcW w:w="1610"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Charles R. Freund</w:t>
            </w:r>
          </w:p>
        </w:tc>
        <w:tc>
          <w:tcPr>
            <w:tcW w:w="19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132,000</w:t>
            </w:r>
          </w:p>
        </w:tc>
        <w:tc>
          <w:tcPr>
            <w:tcW w:w="14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$5,044,365</w:t>
            </w:r>
          </w:p>
        </w:tc>
        <w:tc>
          <w:tcPr>
            <w:tcW w:w="60" w:type="dxa"/>
            <w:tcBorders/>
            <w:shd w:fill="auto" w:val="clear"/>
            <w:vAlign w:val="center"/>
          </w:tcPr>
          <w:p>
            <w:pPr>
              <w:pStyle w:val="TableContents"/>
              <w:spacing w:before="0" w:after="283"/>
              <w:jc w:val="left"/>
              <w:rPr/>
            </w:pPr>
            <w:r>
              <w:rPr/>
              <w:t> </w:t>
            </w:r>
          </w:p>
        </w:tc>
        <w:tc>
          <w:tcPr>
            <w:tcW w:w="189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4,107</w:t>
            </w:r>
          </w:p>
        </w:tc>
        <w:tc>
          <w:tcPr>
            <w:tcW w:w="14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$948,754</w:t>
            </w:r>
          </w:p>
        </w:tc>
      </w:tr>
      <w:tr>
        <w:trPr/>
        <w:tc>
          <w:tcPr>
            <w:tcW w:w="1610" w:type="dxa"/>
            <w:tcBorders/>
            <w:shd w:fill="DDDCDC"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Armando L. Netto</w:t>
            </w:r>
          </w:p>
        </w:tc>
        <w:tc>
          <w:tcPr>
            <w:tcW w:w="1955" w:type="dxa"/>
            <w:tcBorders/>
            <w:shd w:fill="DDDCDC" w:val="clear"/>
            <w:vAlign w:val="center"/>
          </w:tcPr>
          <w:p>
            <w:pPr>
              <w:pStyle w:val="TableContents"/>
              <w:spacing w:before="0" w:after="283"/>
              <w:jc w:val="left"/>
              <w:rPr>
                <w:color w:val="58595B"/>
              </w:rPr>
            </w:pPr>
            <w:r>
              <w:rPr>
                <w:color w:val="58595B"/>
              </w:rPr>
              <w:t>—</w:t>
            </w:r>
          </w:p>
        </w:tc>
        <w:tc>
          <w:tcPr>
            <w:tcW w:w="1475" w:type="dxa"/>
            <w:tcBorders/>
            <w:shd w:fill="DDDCDC" w:val="clear"/>
            <w:vAlign w:val="center"/>
          </w:tcPr>
          <w:p>
            <w:pPr>
              <w:pStyle w:val="TableContents"/>
              <w:spacing w:before="0" w:after="283"/>
              <w:jc w:val="left"/>
              <w:rPr>
                <w:color w:val="58595B"/>
              </w:rPr>
            </w:pPr>
            <w:r>
              <w:rPr>
                <w:color w:val="58595B"/>
              </w:rPr>
              <w:t>—</w:t>
            </w:r>
          </w:p>
        </w:tc>
        <w:tc>
          <w:tcPr>
            <w:tcW w:w="60" w:type="dxa"/>
            <w:tcBorders/>
            <w:shd w:fill="DDDCDC" w:val="clear"/>
            <w:vAlign w:val="center"/>
          </w:tcPr>
          <w:p>
            <w:pPr>
              <w:pStyle w:val="TableContents"/>
              <w:spacing w:before="0" w:after="283"/>
              <w:jc w:val="left"/>
              <w:rPr/>
            </w:pPr>
            <w:r>
              <w:rPr/>
              <w:t> </w:t>
            </w:r>
          </w:p>
        </w:tc>
        <w:tc>
          <w:tcPr>
            <w:tcW w:w="1895" w:type="dxa"/>
            <w:tcBorders/>
            <w:shd w:fill="DDDCDC"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4,065</w:t>
            </w:r>
          </w:p>
        </w:tc>
        <w:tc>
          <w:tcPr>
            <w:tcW w:w="1490" w:type="dxa"/>
            <w:tcBorders/>
            <w:shd w:fill="DDDCDC"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$938,420</w:t>
            </w:r>
          </w:p>
        </w:tc>
      </w:tr>
      <w:tr>
        <w:trPr/>
        <w:tc>
          <w:tcPr>
            <w:tcW w:w="1610"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Alan King</w:t>
            </w:r>
          </w:p>
        </w:tc>
        <w:tc>
          <w:tcPr>
            <w:tcW w:w="1955" w:type="dxa"/>
            <w:tcBorders/>
            <w:shd w:fill="auto" w:val="clear"/>
            <w:vAlign w:val="center"/>
          </w:tcPr>
          <w:p>
            <w:pPr>
              <w:pStyle w:val="TableContents"/>
              <w:spacing w:before="0" w:after="283"/>
              <w:jc w:val="left"/>
              <w:rPr>
                <w:color w:val="58595B"/>
              </w:rPr>
            </w:pPr>
            <w:r>
              <w:rPr>
                <w:color w:val="58595B"/>
              </w:rPr>
              <w:t>—</w:t>
            </w:r>
          </w:p>
        </w:tc>
        <w:tc>
          <w:tcPr>
            <w:tcW w:w="1475" w:type="dxa"/>
            <w:tcBorders/>
            <w:shd w:fill="auto" w:val="clear"/>
            <w:vAlign w:val="center"/>
          </w:tcPr>
          <w:p>
            <w:pPr>
              <w:pStyle w:val="TableContents"/>
              <w:spacing w:before="0" w:after="283"/>
              <w:jc w:val="left"/>
              <w:rPr>
                <w:color w:val="58595B"/>
              </w:rPr>
            </w:pPr>
            <w:r>
              <w:rPr>
                <w:color w:val="58595B"/>
              </w:rPr>
              <w:t>—</w:t>
            </w:r>
          </w:p>
        </w:tc>
        <w:tc>
          <w:tcPr>
            <w:tcW w:w="60" w:type="dxa"/>
            <w:tcBorders/>
            <w:shd w:fill="auto" w:val="clear"/>
            <w:vAlign w:val="center"/>
          </w:tcPr>
          <w:p>
            <w:pPr>
              <w:pStyle w:val="TableContents"/>
              <w:spacing w:before="0" w:after="283"/>
              <w:jc w:val="left"/>
              <w:rPr/>
            </w:pPr>
            <w:r>
              <w:rPr/>
              <w:t> </w:t>
            </w:r>
          </w:p>
        </w:tc>
        <w:tc>
          <w:tcPr>
            <w:tcW w:w="189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3,662</w:t>
            </w:r>
          </w:p>
        </w:tc>
        <w:tc>
          <w:tcPr>
            <w:tcW w:w="14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$845,368</w:t>
            </w:r>
          </w:p>
        </w:tc>
      </w:tr>
      <w:tr>
        <w:trPr/>
        <w:tc>
          <w:tcPr>
            <w:tcW w:w="1610" w:type="dxa"/>
            <w:tcBorders/>
            <w:shd w:fill="DCDDDE"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Alexey Gavrilenya</w:t>
            </w:r>
          </w:p>
        </w:tc>
        <w:tc>
          <w:tcPr>
            <w:tcW w:w="1955" w:type="dxa"/>
            <w:tcBorders/>
            <w:shd w:fill="DCDDDE" w:val="clear"/>
            <w:vAlign w:val="center"/>
          </w:tcPr>
          <w:p>
            <w:pPr>
              <w:pStyle w:val="TableContents"/>
              <w:spacing w:before="0" w:after="283"/>
              <w:jc w:val="left"/>
              <w:rPr>
                <w:color w:val="58595B"/>
              </w:rPr>
            </w:pPr>
            <w:r>
              <w:rPr>
                <w:color w:val="58595B"/>
              </w:rPr>
              <w:t>—</w:t>
            </w:r>
          </w:p>
        </w:tc>
        <w:tc>
          <w:tcPr>
            <w:tcW w:w="1475" w:type="dxa"/>
            <w:tcBorders/>
            <w:shd w:fill="DCDDDE" w:val="clear"/>
            <w:vAlign w:val="center"/>
          </w:tcPr>
          <w:p>
            <w:pPr>
              <w:pStyle w:val="TableContents"/>
              <w:spacing w:before="0" w:after="283"/>
              <w:jc w:val="left"/>
              <w:rPr>
                <w:color w:val="58595B"/>
              </w:rPr>
            </w:pPr>
            <w:r>
              <w:rPr>
                <w:color w:val="58595B"/>
              </w:rPr>
              <w:t>—</w:t>
            </w:r>
          </w:p>
        </w:tc>
        <w:tc>
          <w:tcPr>
            <w:tcW w:w="60" w:type="dxa"/>
            <w:tcBorders/>
            <w:shd w:fill="DCDDDE" w:val="clear"/>
            <w:vAlign w:val="center"/>
          </w:tcPr>
          <w:p>
            <w:pPr>
              <w:pStyle w:val="TableContents"/>
              <w:spacing w:before="0" w:after="283"/>
              <w:jc w:val="left"/>
              <w:rPr/>
            </w:pPr>
            <w:r>
              <w:rPr/>
              <w:t> </w:t>
            </w:r>
          </w:p>
        </w:tc>
        <w:tc>
          <w:tcPr>
            <w:tcW w:w="1895"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3,352</w:t>
            </w:r>
          </w:p>
        </w:tc>
        <w:tc>
          <w:tcPr>
            <w:tcW w:w="1490" w:type="dxa"/>
            <w:tcBorders/>
            <w:shd w:fill="DCDDDE"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$772,280</w:t>
            </w:r>
          </w:p>
        </w:tc>
      </w:tr>
      <w:tr>
        <w:trPr/>
        <w:tc>
          <w:tcPr>
            <w:tcW w:w="1610" w:type="dxa"/>
            <w:tcBorders/>
            <w:shd w:fill="auto" w:val="clear"/>
            <w:vAlign w:val="center"/>
          </w:tcPr>
          <w:p>
            <w:pPr>
              <w:pStyle w:val="TableContents"/>
              <w:spacing w:before="0" w:after="283"/>
              <w:jc w:val="left"/>
              <w:rPr>
                <w:rFonts w:ascii="Arial;Helvetica;Sans-Serif" w:hAnsi="Arial;Helvetica;Sans-Serif"/>
                <w:b/>
                <w:color w:val="58595B"/>
                <w:sz w:val="18"/>
              </w:rPr>
            </w:pPr>
            <w:r>
              <w:rPr>
                <w:rFonts w:ascii="Arial;Helvetica;Sans-Serif" w:hAnsi="Arial;Helvetica;Sans-Serif"/>
                <w:b/>
                <w:color w:val="58595B"/>
                <w:sz w:val="18"/>
              </w:rPr>
              <w:t>John S. Coughlin</w:t>
            </w:r>
          </w:p>
        </w:tc>
        <w:tc>
          <w:tcPr>
            <w:tcW w:w="195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72,100</w:t>
            </w:r>
          </w:p>
        </w:tc>
        <w:tc>
          <w:tcPr>
            <w:tcW w:w="14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$4,644,047</w:t>
            </w:r>
          </w:p>
        </w:tc>
        <w:tc>
          <w:tcPr>
            <w:tcW w:w="60" w:type="dxa"/>
            <w:tcBorders/>
            <w:shd w:fill="auto" w:val="clear"/>
            <w:vAlign w:val="center"/>
          </w:tcPr>
          <w:p>
            <w:pPr>
              <w:pStyle w:val="TableContents"/>
              <w:spacing w:before="0" w:after="283"/>
              <w:jc w:val="left"/>
              <w:rPr/>
            </w:pPr>
            <w:r>
              <w:rPr/>
              <w:t> </w:t>
            </w:r>
          </w:p>
        </w:tc>
        <w:tc>
          <w:tcPr>
            <w:tcW w:w="189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3,708</w:t>
            </w:r>
          </w:p>
        </w:tc>
        <w:tc>
          <w:tcPr>
            <w:tcW w:w="14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$862,987</w:t>
            </w:r>
          </w:p>
        </w:tc>
      </w:tr>
    </w:tbl>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(1) </w:t>
      </w:r>
      <w:r>
        <w:rPr>
          <w:rFonts w:ascii="Arial;Helvetica;Sans-Serif" w:hAnsi="Arial;Helvetica;Sans-Serif"/>
          <w:b w:val="false"/>
          <w:i/>
          <w:caps w:val="false"/>
          <w:smallCaps w:val="false"/>
          <w:color w:val="58595B"/>
          <w:spacing w:val="-3"/>
          <w:sz w:val="16"/>
        </w:rPr>
        <w:t>Value realized on exercise with respect to option awards is calculated based on the difference between the market price of the common stock at exercise and the exercise price of the stock options. Value realized with respect to stock awards is calculated based on the closing price of our common stock on the New York Stock Exchange on the date of vesting. There is no guarantee the NEOs actually received or will receive the value indicated upon the ultimate disposition of the underlying shares of common stock.</w:t>
      </w:r>
    </w:p>
    <w:p>
      <w:pPr>
        <w:pStyle w:val="TextBody"/>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49</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rPr>
          <w:caps w:val="false"/>
          <w:smallCaps w:val="false"/>
          <w:color w:val="EE0027"/>
        </w:rPr>
      </w:pPr>
      <w:r>
        <w:rPr>
          <w:caps w:val="false"/>
          <w:smallCaps w:val="false"/>
          <w:color w:val="EE0027"/>
        </w:rPr>
        <w:t> </w:t>
      </w:r>
    </w:p>
    <w:p>
      <w:pPr>
        <w:pStyle w:val="TextBody"/>
        <w:spacing w:before="0" w:after="0"/>
        <w:rPr/>
      </w:pPr>
      <w:r>
        <w:rPr/>
      </w:r>
      <w:r>
        <mc:AlternateContent>
          <mc:Choice Requires="wps">
            <w:drawing>
              <wp:anchor behindDoc="0" distT="0" distB="0" distL="0" distR="0" simplePos="0" locked="0" layoutInCell="1" allowOverlap="1" relativeHeight="71">
                <wp:simplePos x="0" y="0"/>
                <wp:positionH relativeFrom="column">
                  <wp:align>left</wp:align>
                </wp:positionH>
                <wp:positionV relativeFrom="line">
                  <wp:posOffset>635</wp:posOffset>
                </wp:positionV>
                <wp:extent cx="3110230" cy="7150100"/>
                <wp:effectExtent l="0" t="0" r="0" b="0"/>
                <wp:wrapSquare wrapText="largest"/>
                <wp:docPr id="413" name="Frame66"/>
                <a:graphic xmlns:a="http://schemas.openxmlformats.org/drawingml/2006/main">
                  <a:graphicData uri="http://schemas.microsoft.com/office/word/2010/wordprocessingShape">
                    <wps:wsp>
                      <wps:cNvSpPr txBox="1"/>
                      <wps:spPr>
                        <a:xfrm>
                          <a:off x="0" y="0"/>
                          <a:ext cx="3110230" cy="7150100"/>
                        </a:xfrm>
                        <a:prstGeom prst="rect"/>
                      </wps:spPr>
                      <wps:txbx>
                        <w:txbxContent>
                          <w:p>
                            <w:pPr>
                              <w:pStyle w:val="TextBody"/>
                              <w:rPr>
                                <w:rFonts w:ascii="Arial;Helvetica;Sans-Serif" w:hAnsi="Arial;Helvetica;Sans-Serif"/>
                                <w:b/>
                                <w:i w:val="false"/>
                                <w:caps w:val="false"/>
                                <w:smallCaps w:val="false"/>
                                <w:color w:val="EE0027"/>
                                <w:sz w:val="20"/>
                              </w:rPr>
                            </w:pPr>
                            <w:bookmarkStart w:id="121" w:name="a071"/>
                            <w:bookmarkEnd w:id="121"/>
                            <w:r>
                              <w:rPr>
                                <w:rFonts w:ascii="Arial;Helvetica;Sans-Serif" w:hAnsi="Arial;Helvetica;Sans-Serif"/>
                                <w:b/>
                                <w:i w:val="false"/>
                                <w:caps w:val="false"/>
                                <w:smallCaps w:val="false"/>
                                <w:color w:val="EE0027"/>
                                <w:sz w:val="20"/>
                              </w:rPr>
                              <w:t>Potential Payments Upon Termination or Change in Control</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i w:val="false"/>
                                <w:caps w:val="false"/>
                                <w:smallCaps w:val="false"/>
                                <w:color w:val="231F20"/>
                                <w:sz w:val="18"/>
                              </w:rPr>
                            </w:pPr>
                            <w:bookmarkStart w:id="122" w:name="a072"/>
                            <w:bookmarkEnd w:id="122"/>
                            <w:r>
                              <w:rPr>
                                <w:rFonts w:ascii="Arial;Helvetica;Sans-Serif" w:hAnsi="Arial;Helvetica;Sans-Serif"/>
                                <w:b/>
                                <w:i w:val="false"/>
                                <w:caps w:val="false"/>
                                <w:smallCaps w:val="false"/>
                                <w:color w:val="231F20"/>
                                <w:sz w:val="18"/>
                              </w:rPr>
                              <w:t>Employment Agreements, Severance and Change of Control Benefits</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caps w:val="false"/>
                                <w:smallCaps w:val="false"/>
                                <w:color w:val="231F20"/>
                                <w:sz w:val="18"/>
                              </w:rPr>
                            </w:pPr>
                            <w:r>
                              <w:rPr>
                                <w:rFonts w:ascii="Arial;Helvetica;Sans-Serif" w:hAnsi="Arial;Helvetica;Sans-Serif"/>
                                <w:b w:val="false"/>
                                <w:i/>
                                <w:caps w:val="false"/>
                                <w:smallCaps w:val="false"/>
                                <w:color w:val="231F20"/>
                                <w:sz w:val="18"/>
                              </w:rPr>
                              <w:t>Ronald F. Clarke</w:t>
                            </w:r>
                          </w:p>
                          <w:p>
                            <w:pPr>
                              <w:pStyle w:val="TextBody"/>
                              <w:rPr>
                                <w:caps w:val="false"/>
                                <w:smallCaps w:val="false"/>
                                <w:color w:val="231F20"/>
                              </w:rPr>
                            </w:pPr>
                            <w:r>
                              <w:rPr>
                                <w:caps w:val="false"/>
                                <w:smallCaps w:val="false"/>
                                <w:color w:val="231F20"/>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entered into an employment agreement with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Clarke in 2010, the </w:t>
                            </w:r>
                            <w:r>
                              <w:rPr>
                                <w:rFonts w:ascii="Arial;Helvetica;Sans-Serif" w:hAnsi="Arial;Helvetica;Sans-Serif"/>
                                <w:b w:val="false"/>
                                <w:i w:val="false"/>
                                <w:caps w:val="false"/>
                                <w:smallCaps w:val="false"/>
                                <w:color w:val="58595B"/>
                                <w:spacing w:val="-4"/>
                                <w:sz w:val="18"/>
                              </w:rPr>
                              <w:t xml:space="preserve">key </w:t>
                            </w:r>
                            <w:r>
                              <w:rPr>
                                <w:rFonts w:ascii="Arial;Helvetica;Sans-Serif" w:hAnsi="Arial;Helvetica;Sans-Serif"/>
                                <w:b w:val="false"/>
                                <w:i w:val="false"/>
                                <w:caps w:val="false"/>
                                <w:smallCaps w:val="false"/>
                                <w:color w:val="58595B"/>
                                <w:sz w:val="18"/>
                              </w:rPr>
                              <w:t>terms of which are: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14"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 name="Image206" descr=""/>
                                                <pic:cNvPicPr>
                                                  <a:picLocks noChangeAspect="1" noChangeArrowheads="1"/>
                                                </pic:cNvPicPr>
                                              </pic:nvPicPr>
                                              <pic:blipFill>
                                                <a:blip r:embed="rId207"/>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agreement term automatically renews for successive one-year periods unless we provide notice at least 30 days prior to the expiration date.</w:t>
                                  </w:r>
                                </w:p>
                              </w:tc>
                            </w:tr>
                          </w:tbl>
                          <w:p>
                            <w:pPr>
                              <w:pStyle w:val="TextBody"/>
                              <w:jc w:val="left"/>
                              <w:rPr>
                                <w:caps w:val="false"/>
                                <w:smallCaps w:val="false"/>
                              </w:rPr>
                            </w:pPr>
                            <w:r>
                              <w:rPr>
                                <w:caps w:val="false"/>
                                <w:smallCaps w:val="false"/>
                              </w:rPr>
                              <w:t> </w:t>
                            </w:r>
                          </w:p>
                          <w:tbl>
                            <w:tblPr>
                              <w:tblW w:w="5653" w:type="dxa"/>
                              <w:jc w:val="left"/>
                              <w:tblInd w:w="0" w:type="dxa"/>
                              <w:tblCellMar>
                                <w:top w:w="0" w:type="dxa"/>
                                <w:left w:w="0" w:type="dxa"/>
                                <w:bottom w:w="0" w:type="dxa"/>
                                <w:right w:w="0" w:type="dxa"/>
                              </w:tblCellMar>
                            </w:tblPr>
                            <w:tblGrid>
                              <w:gridCol w:w="38"/>
                              <w:gridCol w:w="165"/>
                              <w:gridCol w:w="54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15"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 name="Image207" descr=""/>
                                                <pic:cNvPicPr>
                                                  <a:picLocks noChangeAspect="1" noChangeArrowheads="1"/>
                                                </pic:cNvPicPr>
                                              </pic:nvPicPr>
                                              <pic:blipFill>
                                                <a:blip r:embed="rId208"/>
                                                <a:stretch>
                                                  <a:fillRect/>
                                                </a:stretch>
                                              </pic:blipFill>
                                              <pic:spPr bwMode="auto">
                                                <a:xfrm>
                                                  <a:off x="0" y="0"/>
                                                  <a:ext cx="104775" cy="85725"/>
                                                </a:xfrm>
                                                <a:prstGeom prst="rect">
                                                  <a:avLst/>
                                                </a:prstGeom>
                                              </pic:spPr>
                                            </pic:pic>
                                          </a:graphicData>
                                        </a:graphic>
                                      </wp:inline>
                                    </w:drawing>
                                  </w:r>
                                </w:p>
                              </w:tc>
                              <w:tc>
                                <w:tcPr>
                                  <w:tcW w:w="54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Mr. Clarke is entitled to an annual base salary of at least $687,500.</w:t>
                                  </w:r>
                                </w:p>
                              </w:tc>
                            </w:tr>
                          </w:tbl>
                          <w:p>
                            <w:pPr>
                              <w:pStyle w:val="TextBody"/>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16"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 name="Image208" descr=""/>
                                                <pic:cNvPicPr>
                                                  <a:picLocks noChangeAspect="1" noChangeArrowheads="1"/>
                                                </pic:cNvPicPr>
                                              </pic:nvPicPr>
                                              <pic:blipFill>
                                                <a:blip r:embed="rId209"/>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If we terminate </w:t>
                                  </w:r>
                                  <w:r>
                                    <w:rPr>
                                      <w:rFonts w:ascii="Arial;Helvetica;Sans-Serif" w:hAnsi="Arial;Helvetica;Sans-Serif"/>
                                      <w:color w:val="58595B"/>
                                      <w:spacing w:val="-4"/>
                                      <w:sz w:val="18"/>
                                    </w:rPr>
                                    <w:t xml:space="preserve">Mr. </w:t>
                                  </w:r>
                                  <w:r>
                                    <w:rPr>
                                      <w:rFonts w:ascii="Arial;Helvetica;Sans-Serif" w:hAnsi="Arial;Helvetica;Sans-Serif"/>
                                      <w:color w:val="58595B"/>
                                      <w:spacing w:val="-3"/>
                                      <w:sz w:val="18"/>
                                    </w:rPr>
                                    <w:t xml:space="preserve">Clarke’s </w:t>
                                  </w:r>
                                  <w:r>
                                    <w:rPr>
                                      <w:rFonts w:ascii="Arial;Helvetica;Sans-Serif" w:hAnsi="Arial;Helvetica;Sans-Serif"/>
                                      <w:color w:val="58595B"/>
                                      <w:sz w:val="18"/>
                                    </w:rPr>
                                    <w:t xml:space="preserve">employment other than </w:t>
                                  </w:r>
                                  <w:r>
                                    <w:rPr>
                                      <w:rFonts w:ascii="Arial;Helvetica;Sans-Serif" w:hAnsi="Arial;Helvetica;Sans-Serif"/>
                                      <w:color w:val="58595B"/>
                                      <w:spacing w:val="-2"/>
                                      <w:sz w:val="18"/>
                                    </w:rPr>
                                    <w:t xml:space="preserve">for </w:t>
                                  </w:r>
                                  <w:r>
                                    <w:rPr>
                                      <w:rFonts w:ascii="Arial;Helvetica;Sans-Serif" w:hAnsi="Arial;Helvetica;Sans-Serif"/>
                                      <w:color w:val="58595B"/>
                                      <w:spacing w:val="-3"/>
                                      <w:sz w:val="18"/>
                                    </w:rPr>
                                    <w:t>“cause”</w:t>
                                  </w:r>
                                  <w:r>
                                    <w:rPr>
                                      <w:rFonts w:ascii="Arial;Helvetica;Sans-Serif" w:hAnsi="Arial;Helvetica;Sans-Serif"/>
                                      <w:color w:val="58595B"/>
                                      <w:sz w:val="18"/>
                                    </w:rPr>
                                    <w:t xml:space="preserve"> (as defined below), including through non-renewal of the agreement, </w:t>
                                  </w:r>
                                  <w:r>
                                    <w:rPr>
                                      <w:rFonts w:ascii="Arial;Helvetica;Sans-Serif" w:hAnsi="Arial;Helvetica;Sans-Serif"/>
                                      <w:color w:val="58595B"/>
                                      <w:spacing w:val="-4"/>
                                      <w:sz w:val="18"/>
                                    </w:rPr>
                                    <w:t xml:space="preserve">Mr. </w:t>
                                  </w:r>
                                  <w:r>
                                    <w:rPr>
                                      <w:rFonts w:ascii="Arial;Helvetica;Sans-Serif" w:hAnsi="Arial;Helvetica;Sans-Serif"/>
                                      <w:color w:val="58595B"/>
                                      <w:sz w:val="18"/>
                                    </w:rPr>
                                    <w:t xml:space="preserve">Clarke will </w:t>
                                  </w:r>
                                  <w:r>
                                    <w:rPr>
                                      <w:rFonts w:ascii="Arial;Helvetica;Sans-Serif" w:hAnsi="Arial;Helvetica;Sans-Serif"/>
                                      <w:color w:val="58595B"/>
                                      <w:spacing w:val="-3"/>
                                      <w:sz w:val="18"/>
                                    </w:rPr>
                                    <w:t xml:space="preserve">receive </w:t>
                                  </w:r>
                                  <w:r>
                                    <w:rPr>
                                      <w:rFonts w:ascii="Arial;Helvetica;Sans-Serif" w:hAnsi="Arial;Helvetica;Sans-Serif"/>
                                      <w:color w:val="58595B"/>
                                      <w:sz w:val="18"/>
                                    </w:rPr>
                                    <w:t xml:space="preserve">(1) cash </w:t>
                                  </w:r>
                                  <w:r>
                                    <w:rPr>
                                      <w:rFonts w:ascii="Arial;Helvetica;Sans-Serif" w:hAnsi="Arial;Helvetica;Sans-Serif"/>
                                      <w:color w:val="58595B"/>
                                      <w:spacing w:val="-3"/>
                                      <w:sz w:val="18"/>
                                    </w:rPr>
                                    <w:t>sever</w:t>
                                  </w:r>
                                  <w:r>
                                    <w:rPr>
                                      <w:rFonts w:ascii="Arial;Helvetica;Sans-Serif" w:hAnsi="Arial;Helvetica;Sans-Serif"/>
                                      <w:color w:val="58595B"/>
                                      <w:sz w:val="18"/>
                                    </w:rPr>
                                    <w:t xml:space="preserve">ance payments, in equal monthly installments </w:t>
                                  </w:r>
                                  <w:r>
                                    <w:rPr>
                                      <w:rFonts w:ascii="Arial;Helvetica;Sans-Serif" w:hAnsi="Arial;Helvetica;Sans-Serif"/>
                                      <w:color w:val="58595B"/>
                                      <w:spacing w:val="-3"/>
                                      <w:sz w:val="18"/>
                                    </w:rPr>
                                    <w:t xml:space="preserve">over </w:t>
                                  </w:r>
                                  <w:r>
                                    <w:rPr>
                                      <w:rFonts w:ascii="Arial;Helvetica;Sans-Serif" w:hAnsi="Arial;Helvetica;Sans-Serif"/>
                                      <w:color w:val="58595B"/>
                                      <w:sz w:val="18"/>
                                    </w:rPr>
                                    <w:t xml:space="preserve">12 months, in an amount equal to 150% of his then-current annual base salary plus any accrued and unpaid vacation, </w:t>
                                  </w:r>
                                  <w:r>
                                    <w:rPr>
                                      <w:rFonts w:ascii="Arial;Helvetica;Sans-Serif" w:hAnsi="Arial;Helvetica;Sans-Serif"/>
                                      <w:i/>
                                      <w:color w:val="58595B"/>
                                      <w:spacing w:val="-1"/>
                                      <w:sz w:val="18"/>
                                    </w:rPr>
                                    <w:t xml:space="preserve">(2) </w:t>
                                  </w:r>
                                  <w:r>
                                    <w:rPr>
                                      <w:rFonts w:ascii="Arial;Helvetica;Sans-Serif" w:hAnsi="Arial;Helvetica;Sans-Serif"/>
                                      <w:color w:val="58595B"/>
                                      <w:sz w:val="18"/>
                                    </w:rPr>
                                    <w:t xml:space="preserve">payment of his health insurance premiums for </w:t>
                                  </w:r>
                                  <w:r>
                                    <w:rPr>
                                      <w:rFonts w:ascii="Arial;Helvetica;Sans-Serif" w:hAnsi="Arial;Helvetica;Sans-Serif"/>
                                      <w:color w:val="58595B"/>
                                      <w:spacing w:val="-3"/>
                                      <w:sz w:val="18"/>
                                    </w:rPr>
                                    <w:t xml:space="preserve">coverage </w:t>
                                  </w:r>
                                  <w:r>
                                    <w:rPr>
                                      <w:rFonts w:ascii="Arial;Helvetica;Sans-Serif" w:hAnsi="Arial;Helvetica;Sans-Serif"/>
                                      <w:color w:val="58595B"/>
                                      <w:sz w:val="18"/>
                                    </w:rPr>
                                    <w:t xml:space="preserve">under COBRA in amounts equal to those made immediately prior to his termination until, at his election, the earlier of the expiration of the severance period or his commencement of employment with another employer and (3) continuation of </w:t>
                                  </w:r>
                                  <w:r>
                                    <w:rPr>
                                      <w:rFonts w:ascii="Arial;Helvetica;Sans-Serif" w:hAnsi="Arial;Helvetica;Sans-Serif"/>
                                      <w:color w:val="58595B"/>
                                      <w:spacing w:val="-3"/>
                                      <w:sz w:val="18"/>
                                    </w:rPr>
                                    <w:t xml:space="preserve">coverage </w:t>
                                  </w:r>
                                  <w:r>
                                    <w:rPr>
                                      <w:rFonts w:ascii="Arial;Helvetica;Sans-Serif" w:hAnsi="Arial;Helvetica;Sans-Serif"/>
                                      <w:color w:val="58595B"/>
                                      <w:sz w:val="18"/>
                                    </w:rPr>
                                    <w:t>during the severance period under our life and disability insurance plans, if permitted by the terms of the plans.</w:t>
                                  </w:r>
                                </w:p>
                              </w:tc>
                            </w:tr>
                          </w:tbl>
                          <w:p>
                            <w:pPr>
                              <w:pStyle w:val="TextBody"/>
                              <w:jc w:val="left"/>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17"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 name="Image209" descr=""/>
                                                <pic:cNvPicPr>
                                                  <a:picLocks noChangeAspect="1" noChangeArrowheads="1"/>
                                                </pic:cNvPicPr>
                                              </pic:nvPicPr>
                                              <pic:blipFill>
                                                <a:blip r:embed="rId210"/>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If within 12 months following a change in control Mr. Clarke’s employment is terminated by him for “good reason” (as defined below) or by the Company other than for cause, in addition to receiving the severance benefits described above, Mr. Clarke can elect to have us purchase from him any remaining Company common stock and stock options in the Company that he held at January 1, 2010 and still holds. The purchase price would be at the fair market value determined in accordance with the employment agreement. Mr. Clarke no longer holds any Company common stock or stock options that he held at January 1, 2010.</w:t>
                                  </w:r>
                                </w:p>
                              </w:tc>
                            </w:tr>
                          </w:tbl>
                          <w:p>
                            <w:pPr>
                              <w:pStyle w:val="TextBody"/>
                              <w:spacing w:before="0" w:after="283"/>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i w:val="false"/>
                          <w:caps w:val="false"/>
                          <w:smallCaps w:val="false"/>
                          <w:color w:val="EE0027"/>
                          <w:sz w:val="20"/>
                        </w:rPr>
                      </w:pPr>
                      <w:bookmarkStart w:id="123" w:name="a071"/>
                      <w:bookmarkEnd w:id="123"/>
                      <w:r>
                        <w:rPr>
                          <w:rFonts w:ascii="Arial;Helvetica;Sans-Serif" w:hAnsi="Arial;Helvetica;Sans-Serif"/>
                          <w:b/>
                          <w:i w:val="false"/>
                          <w:caps w:val="false"/>
                          <w:smallCaps w:val="false"/>
                          <w:color w:val="EE0027"/>
                          <w:sz w:val="20"/>
                        </w:rPr>
                        <w:t>Potential Payments Upon Termination or Change in Control</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i w:val="false"/>
                          <w:caps w:val="false"/>
                          <w:smallCaps w:val="false"/>
                          <w:color w:val="231F20"/>
                          <w:sz w:val="18"/>
                        </w:rPr>
                      </w:pPr>
                      <w:bookmarkStart w:id="124" w:name="a072"/>
                      <w:bookmarkEnd w:id="124"/>
                      <w:r>
                        <w:rPr>
                          <w:rFonts w:ascii="Arial;Helvetica;Sans-Serif" w:hAnsi="Arial;Helvetica;Sans-Serif"/>
                          <w:b/>
                          <w:i w:val="false"/>
                          <w:caps w:val="false"/>
                          <w:smallCaps w:val="false"/>
                          <w:color w:val="231F20"/>
                          <w:sz w:val="18"/>
                        </w:rPr>
                        <w:t>Employment Agreements, Severance and Change of Control Benefits</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caps w:val="false"/>
                          <w:smallCaps w:val="false"/>
                          <w:color w:val="231F20"/>
                          <w:sz w:val="18"/>
                        </w:rPr>
                      </w:pPr>
                      <w:r>
                        <w:rPr>
                          <w:rFonts w:ascii="Arial;Helvetica;Sans-Serif" w:hAnsi="Arial;Helvetica;Sans-Serif"/>
                          <w:b w:val="false"/>
                          <w:i/>
                          <w:caps w:val="false"/>
                          <w:smallCaps w:val="false"/>
                          <w:color w:val="231F20"/>
                          <w:sz w:val="18"/>
                        </w:rPr>
                        <w:t>Ronald F. Clarke</w:t>
                      </w:r>
                    </w:p>
                    <w:p>
                      <w:pPr>
                        <w:pStyle w:val="TextBody"/>
                        <w:rPr>
                          <w:caps w:val="false"/>
                          <w:smallCaps w:val="false"/>
                          <w:color w:val="231F20"/>
                        </w:rPr>
                      </w:pPr>
                      <w:r>
                        <w:rPr>
                          <w:caps w:val="false"/>
                          <w:smallCaps w:val="false"/>
                          <w:color w:val="231F20"/>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entered into an employment agreement with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 xml:space="preserve">Clarke in 2010, the </w:t>
                      </w:r>
                      <w:r>
                        <w:rPr>
                          <w:rFonts w:ascii="Arial;Helvetica;Sans-Serif" w:hAnsi="Arial;Helvetica;Sans-Serif"/>
                          <w:b w:val="false"/>
                          <w:i w:val="false"/>
                          <w:caps w:val="false"/>
                          <w:smallCaps w:val="false"/>
                          <w:color w:val="58595B"/>
                          <w:spacing w:val="-4"/>
                          <w:sz w:val="18"/>
                        </w:rPr>
                        <w:t xml:space="preserve">key </w:t>
                      </w:r>
                      <w:r>
                        <w:rPr>
                          <w:rFonts w:ascii="Arial;Helvetica;Sans-Serif" w:hAnsi="Arial;Helvetica;Sans-Serif"/>
                          <w:b w:val="false"/>
                          <w:i w:val="false"/>
                          <w:caps w:val="false"/>
                          <w:smallCaps w:val="false"/>
                          <w:color w:val="58595B"/>
                          <w:sz w:val="18"/>
                        </w:rPr>
                        <w:t>terms of which are: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18" name="Image2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 name="Image206" descr=""/>
                                          <pic:cNvPicPr>
                                            <a:picLocks noChangeAspect="1" noChangeArrowheads="1"/>
                                          </pic:cNvPicPr>
                                        </pic:nvPicPr>
                                        <pic:blipFill>
                                          <a:blip r:embed="rId207"/>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The agreement term automatically renews for successive one-year periods unless we provide notice at least 30 days prior to the expiration date.</w:t>
                            </w:r>
                          </w:p>
                        </w:tc>
                      </w:tr>
                    </w:tbl>
                    <w:p>
                      <w:pPr>
                        <w:pStyle w:val="TextBody"/>
                        <w:jc w:val="left"/>
                        <w:rPr>
                          <w:caps w:val="false"/>
                          <w:smallCaps w:val="false"/>
                        </w:rPr>
                      </w:pPr>
                      <w:r>
                        <w:rPr>
                          <w:caps w:val="false"/>
                          <w:smallCaps w:val="false"/>
                        </w:rPr>
                        <w:t> </w:t>
                      </w:r>
                    </w:p>
                    <w:tbl>
                      <w:tblPr>
                        <w:tblW w:w="5653" w:type="dxa"/>
                        <w:jc w:val="left"/>
                        <w:tblInd w:w="0" w:type="dxa"/>
                        <w:tblCellMar>
                          <w:top w:w="0" w:type="dxa"/>
                          <w:left w:w="0" w:type="dxa"/>
                          <w:bottom w:w="0" w:type="dxa"/>
                          <w:right w:w="0" w:type="dxa"/>
                        </w:tblCellMar>
                      </w:tblPr>
                      <w:tblGrid>
                        <w:gridCol w:w="38"/>
                        <w:gridCol w:w="165"/>
                        <w:gridCol w:w="545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19" name="Image2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9" name="Image207" descr=""/>
                                          <pic:cNvPicPr>
                                            <a:picLocks noChangeAspect="1" noChangeArrowheads="1"/>
                                          </pic:cNvPicPr>
                                        </pic:nvPicPr>
                                        <pic:blipFill>
                                          <a:blip r:embed="rId208"/>
                                          <a:stretch>
                                            <a:fillRect/>
                                          </a:stretch>
                                        </pic:blipFill>
                                        <pic:spPr bwMode="auto">
                                          <a:xfrm>
                                            <a:off x="0" y="0"/>
                                            <a:ext cx="104775" cy="85725"/>
                                          </a:xfrm>
                                          <a:prstGeom prst="rect">
                                            <a:avLst/>
                                          </a:prstGeom>
                                        </pic:spPr>
                                      </pic:pic>
                                    </a:graphicData>
                                  </a:graphic>
                                </wp:inline>
                              </w:drawing>
                            </w:r>
                          </w:p>
                        </w:tc>
                        <w:tc>
                          <w:tcPr>
                            <w:tcW w:w="545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Mr. Clarke is entitled to an annual base salary of at least $687,500.</w:t>
                            </w:r>
                          </w:p>
                        </w:tc>
                      </w:tr>
                    </w:tbl>
                    <w:p>
                      <w:pPr>
                        <w:pStyle w:val="TextBody"/>
                        <w:jc w:val="left"/>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20" name="Image2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 name="Image208" descr=""/>
                                          <pic:cNvPicPr>
                                            <a:picLocks noChangeAspect="1" noChangeArrowheads="1"/>
                                          </pic:cNvPicPr>
                                        </pic:nvPicPr>
                                        <pic:blipFill>
                                          <a:blip r:embed="rId209"/>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If we terminate </w:t>
                            </w:r>
                            <w:r>
                              <w:rPr>
                                <w:rFonts w:ascii="Arial;Helvetica;Sans-Serif" w:hAnsi="Arial;Helvetica;Sans-Serif"/>
                                <w:color w:val="58595B"/>
                                <w:spacing w:val="-4"/>
                                <w:sz w:val="18"/>
                              </w:rPr>
                              <w:t xml:space="preserve">Mr. </w:t>
                            </w:r>
                            <w:r>
                              <w:rPr>
                                <w:rFonts w:ascii="Arial;Helvetica;Sans-Serif" w:hAnsi="Arial;Helvetica;Sans-Serif"/>
                                <w:color w:val="58595B"/>
                                <w:spacing w:val="-3"/>
                                <w:sz w:val="18"/>
                              </w:rPr>
                              <w:t xml:space="preserve">Clarke’s </w:t>
                            </w:r>
                            <w:r>
                              <w:rPr>
                                <w:rFonts w:ascii="Arial;Helvetica;Sans-Serif" w:hAnsi="Arial;Helvetica;Sans-Serif"/>
                                <w:color w:val="58595B"/>
                                <w:sz w:val="18"/>
                              </w:rPr>
                              <w:t xml:space="preserve">employment other than </w:t>
                            </w:r>
                            <w:r>
                              <w:rPr>
                                <w:rFonts w:ascii="Arial;Helvetica;Sans-Serif" w:hAnsi="Arial;Helvetica;Sans-Serif"/>
                                <w:color w:val="58595B"/>
                                <w:spacing w:val="-2"/>
                                <w:sz w:val="18"/>
                              </w:rPr>
                              <w:t xml:space="preserve">for </w:t>
                            </w:r>
                            <w:r>
                              <w:rPr>
                                <w:rFonts w:ascii="Arial;Helvetica;Sans-Serif" w:hAnsi="Arial;Helvetica;Sans-Serif"/>
                                <w:color w:val="58595B"/>
                                <w:spacing w:val="-3"/>
                                <w:sz w:val="18"/>
                              </w:rPr>
                              <w:t>“cause”</w:t>
                            </w:r>
                            <w:r>
                              <w:rPr>
                                <w:rFonts w:ascii="Arial;Helvetica;Sans-Serif" w:hAnsi="Arial;Helvetica;Sans-Serif"/>
                                <w:color w:val="58595B"/>
                                <w:sz w:val="18"/>
                              </w:rPr>
                              <w:t xml:space="preserve"> (as defined below), including through non-renewal of the agreement, </w:t>
                            </w:r>
                            <w:r>
                              <w:rPr>
                                <w:rFonts w:ascii="Arial;Helvetica;Sans-Serif" w:hAnsi="Arial;Helvetica;Sans-Serif"/>
                                <w:color w:val="58595B"/>
                                <w:spacing w:val="-4"/>
                                <w:sz w:val="18"/>
                              </w:rPr>
                              <w:t xml:space="preserve">Mr. </w:t>
                            </w:r>
                            <w:r>
                              <w:rPr>
                                <w:rFonts w:ascii="Arial;Helvetica;Sans-Serif" w:hAnsi="Arial;Helvetica;Sans-Serif"/>
                                <w:color w:val="58595B"/>
                                <w:sz w:val="18"/>
                              </w:rPr>
                              <w:t xml:space="preserve">Clarke will </w:t>
                            </w:r>
                            <w:r>
                              <w:rPr>
                                <w:rFonts w:ascii="Arial;Helvetica;Sans-Serif" w:hAnsi="Arial;Helvetica;Sans-Serif"/>
                                <w:color w:val="58595B"/>
                                <w:spacing w:val="-3"/>
                                <w:sz w:val="18"/>
                              </w:rPr>
                              <w:t xml:space="preserve">receive </w:t>
                            </w:r>
                            <w:r>
                              <w:rPr>
                                <w:rFonts w:ascii="Arial;Helvetica;Sans-Serif" w:hAnsi="Arial;Helvetica;Sans-Serif"/>
                                <w:color w:val="58595B"/>
                                <w:sz w:val="18"/>
                              </w:rPr>
                              <w:t xml:space="preserve">(1) cash </w:t>
                            </w:r>
                            <w:r>
                              <w:rPr>
                                <w:rFonts w:ascii="Arial;Helvetica;Sans-Serif" w:hAnsi="Arial;Helvetica;Sans-Serif"/>
                                <w:color w:val="58595B"/>
                                <w:spacing w:val="-3"/>
                                <w:sz w:val="18"/>
                              </w:rPr>
                              <w:t>sever</w:t>
                            </w:r>
                            <w:r>
                              <w:rPr>
                                <w:rFonts w:ascii="Arial;Helvetica;Sans-Serif" w:hAnsi="Arial;Helvetica;Sans-Serif"/>
                                <w:color w:val="58595B"/>
                                <w:sz w:val="18"/>
                              </w:rPr>
                              <w:t xml:space="preserve">ance payments, in equal monthly installments </w:t>
                            </w:r>
                            <w:r>
                              <w:rPr>
                                <w:rFonts w:ascii="Arial;Helvetica;Sans-Serif" w:hAnsi="Arial;Helvetica;Sans-Serif"/>
                                <w:color w:val="58595B"/>
                                <w:spacing w:val="-3"/>
                                <w:sz w:val="18"/>
                              </w:rPr>
                              <w:t xml:space="preserve">over </w:t>
                            </w:r>
                            <w:r>
                              <w:rPr>
                                <w:rFonts w:ascii="Arial;Helvetica;Sans-Serif" w:hAnsi="Arial;Helvetica;Sans-Serif"/>
                                <w:color w:val="58595B"/>
                                <w:sz w:val="18"/>
                              </w:rPr>
                              <w:t xml:space="preserve">12 months, in an amount equal to 150% of his then-current annual base salary plus any accrued and unpaid vacation, </w:t>
                            </w:r>
                            <w:r>
                              <w:rPr>
                                <w:rFonts w:ascii="Arial;Helvetica;Sans-Serif" w:hAnsi="Arial;Helvetica;Sans-Serif"/>
                                <w:i/>
                                <w:color w:val="58595B"/>
                                <w:spacing w:val="-1"/>
                                <w:sz w:val="18"/>
                              </w:rPr>
                              <w:t xml:space="preserve">(2) </w:t>
                            </w:r>
                            <w:r>
                              <w:rPr>
                                <w:rFonts w:ascii="Arial;Helvetica;Sans-Serif" w:hAnsi="Arial;Helvetica;Sans-Serif"/>
                                <w:color w:val="58595B"/>
                                <w:sz w:val="18"/>
                              </w:rPr>
                              <w:t xml:space="preserve">payment of his health insurance premiums for </w:t>
                            </w:r>
                            <w:r>
                              <w:rPr>
                                <w:rFonts w:ascii="Arial;Helvetica;Sans-Serif" w:hAnsi="Arial;Helvetica;Sans-Serif"/>
                                <w:color w:val="58595B"/>
                                <w:spacing w:val="-3"/>
                                <w:sz w:val="18"/>
                              </w:rPr>
                              <w:t xml:space="preserve">coverage </w:t>
                            </w:r>
                            <w:r>
                              <w:rPr>
                                <w:rFonts w:ascii="Arial;Helvetica;Sans-Serif" w:hAnsi="Arial;Helvetica;Sans-Serif"/>
                                <w:color w:val="58595B"/>
                                <w:sz w:val="18"/>
                              </w:rPr>
                              <w:t xml:space="preserve">under COBRA in amounts equal to those made immediately prior to his termination until, at his election, the earlier of the expiration of the severance period or his commencement of employment with another employer and (3) continuation of </w:t>
                            </w:r>
                            <w:r>
                              <w:rPr>
                                <w:rFonts w:ascii="Arial;Helvetica;Sans-Serif" w:hAnsi="Arial;Helvetica;Sans-Serif"/>
                                <w:color w:val="58595B"/>
                                <w:spacing w:val="-3"/>
                                <w:sz w:val="18"/>
                              </w:rPr>
                              <w:t xml:space="preserve">coverage </w:t>
                            </w:r>
                            <w:r>
                              <w:rPr>
                                <w:rFonts w:ascii="Arial;Helvetica;Sans-Serif" w:hAnsi="Arial;Helvetica;Sans-Serif"/>
                                <w:color w:val="58595B"/>
                                <w:sz w:val="18"/>
                              </w:rPr>
                              <w:t>during the severance period under our life and disability insurance plans, if permitted by the terms of the plans.</w:t>
                            </w:r>
                          </w:p>
                        </w:tc>
                      </w:tr>
                    </w:tbl>
                    <w:p>
                      <w:pPr>
                        <w:pStyle w:val="TextBody"/>
                        <w:jc w:val="left"/>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21" name="Image2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 name="Image209" descr=""/>
                                          <pic:cNvPicPr>
                                            <a:picLocks noChangeAspect="1" noChangeArrowheads="1"/>
                                          </pic:cNvPicPr>
                                        </pic:nvPicPr>
                                        <pic:blipFill>
                                          <a:blip r:embed="rId210"/>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If within 12 months following a change in control Mr. Clarke’s employment is terminated by him for “good reason” (as defined below) or by the Company other than for cause, in addition to receiving the severance benefits described above, Mr. Clarke can elect to have us purchase from him any remaining Company common stock and stock options in the Company that he held at January 1, 2010 and still holds. The purchase price would be at the fair market value determined in accordance with the employment agreement. Mr. Clarke no longer holds any Company common stock or stock options that he held at January 1, 2010.</w:t>
                            </w:r>
                          </w:p>
                        </w:tc>
                      </w:tr>
                    </w:tbl>
                    <w:p>
                      <w:pPr>
                        <w:pStyle w:val="TextBody"/>
                        <w:spacing w:before="0" w:after="283"/>
                        <w:jc w:val="left"/>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75">
                <wp:simplePos x="0" y="0"/>
                <wp:positionH relativeFrom="column">
                  <wp:align>right</wp:align>
                </wp:positionH>
                <wp:positionV relativeFrom="line">
                  <wp:posOffset>635</wp:posOffset>
                </wp:positionV>
                <wp:extent cx="3110230" cy="7256145"/>
                <wp:effectExtent l="0" t="0" r="0" b="0"/>
                <wp:wrapSquare wrapText="largest"/>
                <wp:docPr id="422" name="Frame67"/>
                <a:graphic xmlns:a="http://schemas.openxmlformats.org/drawingml/2006/main">
                  <a:graphicData uri="http://schemas.microsoft.com/office/word/2010/wordprocessingShape">
                    <wps:wsp>
                      <wps:cNvSpPr txBox="1"/>
                      <wps:spPr>
                        <a:xfrm>
                          <a:off x="0" y="0"/>
                          <a:ext cx="3110230" cy="7256145"/>
                        </a:xfrm>
                        <a:prstGeom prst="rect"/>
                      </wps:spPr>
                      <wps:txbx>
                        <w:txbxContent>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23"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 name="Image210" descr=""/>
                                                <pic:cNvPicPr>
                                                  <a:picLocks noChangeAspect="1" noChangeArrowheads="1"/>
                                                </pic:cNvPicPr>
                                              </pic:nvPicPr>
                                              <pic:blipFill>
                                                <a:blip r:embed="rId211"/>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The employment agreement includes customary non-competition and non-solicitation provisions that apply during his employment with the Company and for one year </w:t>
                                  </w:r>
                                  <w:r>
                                    <w:rPr>
                                      <w:rFonts w:ascii="Arial;Helvetica;Sans-Serif" w:hAnsi="Arial;Helvetica;Sans-Serif"/>
                                      <w:color w:val="58595B"/>
                                      <w:spacing w:val="-3"/>
                                      <w:sz w:val="18"/>
                                    </w:rPr>
                                    <w:t xml:space="preserve">thereafter, </w:t>
                                  </w:r>
                                  <w:r>
                                    <w:rPr>
                                      <w:rFonts w:ascii="Arial;Helvetica;Sans-Serif" w:hAnsi="Arial;Helvetica;Sans-Serif"/>
                                      <w:color w:val="58595B"/>
                                      <w:sz w:val="18"/>
                                    </w:rPr>
                                    <w:t>as well as customary confidentiality and intellectual property provisions and a mutual non-disparagement provision.</w:t>
                                  </w:r>
                                </w:p>
                              </w:tc>
                            </w:tr>
                          </w:tbl>
                          <w:p>
                            <w:pPr>
                              <w:pStyle w:val="TextBody"/>
                              <w:jc w:val="left"/>
                              <w:rPr>
                                <w:caps w:val="false"/>
                                <w:smallCaps w:val="false"/>
                              </w:rPr>
                            </w:pPr>
                            <w:r>
                              <w:rPr>
                                <w:caps w:val="false"/>
                                <w:smallCaps w:val="false"/>
                              </w:rPr>
                              <w:t> </w:t>
                            </w:r>
                          </w:p>
                          <w:p>
                            <w:pPr>
                              <w:pStyle w:val="TextBody"/>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8"/>
                              </w:rPr>
                              <w:t xml:space="preserve">Cause” is defined, in general, to mean: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Clarke’s </w:t>
                            </w:r>
                            <w:r>
                              <w:rPr>
                                <w:rFonts w:ascii="Arial;Helvetica;Sans-Serif" w:hAnsi="Arial;Helvetica;Sans-Serif"/>
                                <w:b w:val="false"/>
                                <w:i w:val="false"/>
                                <w:caps w:val="false"/>
                                <w:smallCaps w:val="false"/>
                                <w:color w:val="58595B"/>
                                <w:sz w:val="18"/>
                              </w:rPr>
                              <w:t xml:space="preserve">(1) failure to render services to us, (2) commission of an act of disloyalty, gross negligence, dishonesty or breach of fiduciary </w:t>
                            </w:r>
                            <w:r>
                              <w:rPr>
                                <w:rFonts w:ascii="Arial;Helvetica;Sans-Serif" w:hAnsi="Arial;Helvetica;Sans-Serif"/>
                                <w:b w:val="false"/>
                                <w:i w:val="false"/>
                                <w:caps w:val="false"/>
                                <w:smallCaps w:val="false"/>
                                <w:color w:val="58595B"/>
                                <w:spacing w:val="-3"/>
                                <w:sz w:val="18"/>
                              </w:rPr>
                              <w:t xml:space="preserve">duty, </w:t>
                            </w:r>
                            <w:r>
                              <w:rPr>
                                <w:rFonts w:ascii="Arial;Helvetica;Sans-Serif" w:hAnsi="Arial;Helvetica;Sans-Serif"/>
                                <w:b w:val="false"/>
                                <w:i w:val="false"/>
                                <w:caps w:val="false"/>
                                <w:smallCaps w:val="false"/>
                                <w:color w:val="58595B"/>
                                <w:sz w:val="18"/>
                              </w:rPr>
                              <w:t xml:space="preserve">(3) material breach of the agreement, (4) commission of any crime or act of fraud or embezzlement, (5) misappropriation of our assets, (6) violation of material policies, (7) commission of acts generating material adverse publicity </w:t>
                            </w:r>
                            <w:r>
                              <w:rPr>
                                <w:rFonts w:ascii="Arial;Helvetica;Sans-Serif" w:hAnsi="Arial;Helvetica;Sans-Serif"/>
                                <w:b w:val="false"/>
                                <w:i w:val="false"/>
                                <w:caps w:val="false"/>
                                <w:smallCaps w:val="false"/>
                                <w:color w:val="58595B"/>
                                <w:spacing w:val="-3"/>
                                <w:sz w:val="18"/>
                              </w:rPr>
                              <w:t xml:space="preserve">toward </w:t>
                            </w:r>
                            <w:r>
                              <w:rPr>
                                <w:rFonts w:ascii="Arial;Helvetica;Sans-Serif" w:hAnsi="Arial;Helvetica;Sans-Serif"/>
                                <w:b w:val="false"/>
                                <w:i w:val="false"/>
                                <w:caps w:val="false"/>
                                <w:smallCaps w:val="false"/>
                                <w:color w:val="58595B"/>
                                <w:sz w:val="18"/>
                              </w:rPr>
                              <w:t xml:space="preserve">us, (8) commission or conviction of a </w:t>
                            </w:r>
                            <w:r>
                              <w:rPr>
                                <w:rFonts w:ascii="Arial;Helvetica;Sans-Serif" w:hAnsi="Arial;Helvetica;Sans-Serif"/>
                                <w:b w:val="false"/>
                                <w:i w:val="false"/>
                                <w:caps w:val="false"/>
                                <w:smallCaps w:val="false"/>
                                <w:color w:val="58595B"/>
                                <w:spacing w:val="-3"/>
                                <w:sz w:val="18"/>
                              </w:rPr>
                              <w:t xml:space="preserve">felony, </w:t>
                            </w:r>
                            <w:r>
                              <w:rPr>
                                <w:rFonts w:ascii="Arial;Helvetica;Sans-Serif" w:hAnsi="Arial;Helvetica;Sans-Serif"/>
                                <w:b w:val="false"/>
                                <w:i w:val="false"/>
                                <w:caps w:val="false"/>
                                <w:smallCaps w:val="false"/>
                                <w:color w:val="58595B"/>
                                <w:sz w:val="18"/>
                              </w:rPr>
                              <w:t>or (9) death or inability due to disability to perform his essential job functions for a period of three consecutive months.</w:t>
                            </w:r>
                          </w:p>
                          <w:p>
                            <w:pPr>
                              <w:pStyle w:val="TextBody"/>
                              <w:jc w:val="left"/>
                              <w:rPr>
                                <w:caps w:val="false"/>
                                <w:smallCaps w:val="false"/>
                                <w:color w:val="58595B"/>
                              </w:rPr>
                            </w:pPr>
                            <w:r>
                              <w:rPr>
                                <w:caps w:val="false"/>
                                <w:smallCaps w:val="false"/>
                                <w:color w:val="58595B"/>
                              </w:rPr>
                              <w:t> </w:t>
                            </w:r>
                          </w:p>
                          <w:p>
                            <w:pPr>
                              <w:pStyle w:val="TextBody"/>
                              <w:jc w:val="left"/>
                              <w:rPr>
                                <w:caps w:val="false"/>
                                <w:smallCaps w:val="false"/>
                                <w:color w:val="58595B"/>
                              </w:rPr>
                            </w:pPr>
                            <w:r>
                              <w:rPr>
                                <w:caps w:val="false"/>
                                <w:smallCaps w:val="false"/>
                                <w:color w:val="58595B"/>
                                <w:spacing w:val="-5"/>
                              </w:rPr>
                              <w:t>“</w:t>
                            </w:r>
                            <w:r>
                              <w:rPr>
                                <w:rFonts w:ascii="Arial;Helvetica;Sans-Serif" w:hAnsi="Arial;Helvetica;Sans-Serif"/>
                                <w:b w:val="false"/>
                                <w:i w:val="false"/>
                                <w:caps w:val="false"/>
                                <w:smallCaps w:val="false"/>
                                <w:color w:val="58595B"/>
                                <w:spacing w:val="-5"/>
                                <w:sz w:val="18"/>
                              </w:rPr>
                              <w:t xml:space="preserve">Good </w:t>
                            </w:r>
                            <w:r>
                              <w:rPr>
                                <w:rFonts w:ascii="Arial;Helvetica;Sans-Serif" w:hAnsi="Arial;Helvetica;Sans-Serif"/>
                                <w:b w:val="false"/>
                                <w:i w:val="false"/>
                                <w:caps w:val="false"/>
                                <w:smallCaps w:val="false"/>
                                <w:color w:val="58595B"/>
                                <w:spacing w:val="-6"/>
                                <w:sz w:val="18"/>
                              </w:rPr>
                              <w:t xml:space="preserve">reason” </w:t>
                            </w:r>
                            <w:r>
                              <w:rPr>
                                <w:rFonts w:ascii="Arial;Helvetica;Sans-Serif" w:hAnsi="Arial;Helvetica;Sans-Serif"/>
                                <w:b w:val="false"/>
                                <w:i w:val="false"/>
                                <w:caps w:val="false"/>
                                <w:smallCaps w:val="false"/>
                                <w:color w:val="58595B"/>
                                <w:spacing w:val="-3"/>
                                <w:sz w:val="18"/>
                              </w:rPr>
                              <w:t xml:space="preserve">is </w:t>
                            </w:r>
                            <w:r>
                              <w:rPr>
                                <w:rFonts w:ascii="Arial;Helvetica;Sans-Serif" w:hAnsi="Arial;Helvetica;Sans-Serif"/>
                                <w:b w:val="false"/>
                                <w:i w:val="false"/>
                                <w:caps w:val="false"/>
                                <w:smallCaps w:val="false"/>
                                <w:color w:val="58595B"/>
                                <w:spacing w:val="-4"/>
                                <w:sz w:val="18"/>
                              </w:rPr>
                              <w:t xml:space="preserve">defined </w:t>
                            </w:r>
                            <w:r>
                              <w:rPr>
                                <w:rFonts w:ascii="Arial;Helvetica;Sans-Serif" w:hAnsi="Arial;Helvetica;Sans-Serif"/>
                                <w:b w:val="false"/>
                                <w:i w:val="false"/>
                                <w:caps w:val="false"/>
                                <w:smallCaps w:val="false"/>
                                <w:color w:val="58595B"/>
                                <w:spacing w:val="-3"/>
                                <w:sz w:val="18"/>
                              </w:rPr>
                              <w:t xml:space="preserve">to </w:t>
                            </w:r>
                            <w:r>
                              <w:rPr>
                                <w:rFonts w:ascii="Arial;Helvetica;Sans-Serif" w:hAnsi="Arial;Helvetica;Sans-Serif"/>
                                <w:b w:val="false"/>
                                <w:i w:val="false"/>
                                <w:caps w:val="false"/>
                                <w:smallCaps w:val="false"/>
                                <w:color w:val="58595B"/>
                                <w:spacing w:val="-4"/>
                                <w:sz w:val="18"/>
                              </w:rPr>
                              <w:t xml:space="preserve">mean, </w:t>
                            </w:r>
                            <w:r>
                              <w:rPr>
                                <w:rFonts w:ascii="Arial;Helvetica;Sans-Serif" w:hAnsi="Arial;Helvetica;Sans-Serif"/>
                                <w:b w:val="false"/>
                                <w:i w:val="false"/>
                                <w:caps w:val="false"/>
                                <w:smallCaps w:val="false"/>
                                <w:color w:val="58595B"/>
                                <w:spacing w:val="-5"/>
                                <w:sz w:val="18"/>
                              </w:rPr>
                              <w:t xml:space="preserve">following </w:t>
                            </w:r>
                            <w:r>
                              <w:rPr>
                                <w:rFonts w:ascii="Arial;Helvetica;Sans-Serif" w:hAnsi="Arial;Helvetica;Sans-Serif"/>
                                <w:b w:val="false"/>
                                <w:i w:val="false"/>
                                <w:caps w:val="false"/>
                                <w:smallCaps w:val="false"/>
                                <w:color w:val="58595B"/>
                                <w:sz w:val="18"/>
                              </w:rPr>
                              <w:t xml:space="preserve">a </w:t>
                            </w:r>
                            <w:r>
                              <w:rPr>
                                <w:rFonts w:ascii="Arial;Helvetica;Sans-Serif" w:hAnsi="Arial;Helvetica;Sans-Serif"/>
                                <w:b w:val="false"/>
                                <w:i w:val="false"/>
                                <w:caps w:val="false"/>
                                <w:smallCaps w:val="false"/>
                                <w:color w:val="58595B"/>
                                <w:spacing w:val="-5"/>
                                <w:sz w:val="18"/>
                              </w:rPr>
                              <w:t xml:space="preserve">change </w:t>
                            </w:r>
                            <w:r>
                              <w:rPr>
                                <w:rFonts w:ascii="Arial;Helvetica;Sans-Serif" w:hAnsi="Arial;Helvetica;Sans-Serif"/>
                                <w:b w:val="false"/>
                                <w:i w:val="false"/>
                                <w:caps w:val="false"/>
                                <w:smallCaps w:val="false"/>
                                <w:color w:val="58595B"/>
                                <w:spacing w:val="-3"/>
                                <w:sz w:val="18"/>
                              </w:rPr>
                              <w:t xml:space="preserve">in </w:t>
                            </w:r>
                            <w:r>
                              <w:rPr>
                                <w:rFonts w:ascii="Arial;Helvetica;Sans-Serif" w:hAnsi="Arial;Helvetica;Sans-Serif"/>
                                <w:b w:val="false"/>
                                <w:i w:val="false"/>
                                <w:caps w:val="false"/>
                                <w:smallCaps w:val="false"/>
                                <w:color w:val="58595B"/>
                                <w:spacing w:val="-6"/>
                                <w:sz w:val="18"/>
                              </w:rPr>
                              <w:t xml:space="preserve">control, </w:t>
                            </w:r>
                            <w:r>
                              <w:rPr>
                                <w:rFonts w:ascii="Arial;Helvetica;Sans-Serif" w:hAnsi="Arial;Helvetica;Sans-Serif"/>
                                <w:b w:val="false"/>
                                <w:i w:val="false"/>
                                <w:caps w:val="false"/>
                                <w:smallCaps w:val="false"/>
                                <w:color w:val="58595B"/>
                                <w:sz w:val="18"/>
                              </w:rPr>
                              <w:t xml:space="preserve">and without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Clarke’s </w:t>
                            </w:r>
                            <w:r>
                              <w:rPr>
                                <w:rFonts w:ascii="Arial;Helvetica;Sans-Serif" w:hAnsi="Arial;Helvetica;Sans-Serif"/>
                                <w:b w:val="false"/>
                                <w:i w:val="false"/>
                                <w:caps w:val="false"/>
                                <w:smallCaps w:val="false"/>
                                <w:color w:val="58595B"/>
                                <w:sz w:val="18"/>
                              </w:rPr>
                              <w:t>written consent: (1) a significant diminution in the nature and scope of his authority, duties or responsibilities; (2) a reduction in his annual base salary or total compensation and benefits in the amount of 10% or more; (3) his principal place of employment is relocated to a place that is more than 25 miles from the prior principal place of employment; or (4) he is required to be away from his office 25% more than was required prior to the change in control.</w:t>
                            </w:r>
                          </w:p>
                          <w:p>
                            <w:pPr>
                              <w:pStyle w:val="TextBody"/>
                              <w:jc w:val="left"/>
                              <w:rPr>
                                <w:caps w:val="false"/>
                                <w:smallCaps w:val="false"/>
                                <w:color w:val="58595B"/>
                              </w:rPr>
                            </w:pPr>
                            <w:r>
                              <w:rPr>
                                <w:caps w:val="false"/>
                                <w:smallCaps w:val="false"/>
                                <w:color w:val="58595B"/>
                              </w:rPr>
                              <w:t> </w:t>
                            </w:r>
                          </w:p>
                          <w:p>
                            <w:pPr>
                              <w:pStyle w:val="TextBody"/>
                              <w:spacing w:before="0" w:after="283"/>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8"/>
                              </w:rPr>
                              <w:t xml:space="preserve">Change in control” for purposes of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Clarke’s </w:t>
                            </w:r>
                            <w:r>
                              <w:rPr>
                                <w:rFonts w:ascii="Arial;Helvetica;Sans-Serif" w:hAnsi="Arial;Helvetica;Sans-Serif"/>
                                <w:b w:val="false"/>
                                <w:i w:val="false"/>
                                <w:caps w:val="false"/>
                                <w:smallCaps w:val="false"/>
                                <w:color w:val="58595B"/>
                                <w:sz w:val="18"/>
                              </w:rPr>
                              <w:t xml:space="preserve">employment agreement generally has the meaning given to such term in our 2010 Equity Compensation Plan </w:t>
                            </w:r>
                            <w:r>
                              <w:rPr>
                                <w:rFonts w:ascii="Arial;Helvetica;Sans-Serif" w:hAnsi="Arial;Helvetica;Sans-Serif"/>
                                <w:b w:val="false"/>
                                <w:i w:val="false"/>
                                <w:caps w:val="false"/>
                                <w:smallCaps w:val="false"/>
                                <w:color w:val="58595B"/>
                                <w:spacing w:val="-3"/>
                                <w:sz w:val="18"/>
                              </w:rPr>
                              <w:t xml:space="preserve">(the </w:t>
                            </w:r>
                            <w:r>
                              <w:rPr>
                                <w:rFonts w:ascii="Arial;Helvetica;Sans-Serif" w:hAnsi="Arial;Helvetica;Sans-Serif"/>
                                <w:b w:val="false"/>
                                <w:i w:val="false"/>
                                <w:caps w:val="false"/>
                                <w:smallCaps w:val="false"/>
                                <w:color w:val="58595B"/>
                                <w:sz w:val="18"/>
                              </w:rPr>
                              <w:t xml:space="preserve">“2010 Plan”), which generally means any of the following: (1) the sale by the Company of all or substantially all of its assets or the consummation by the Company of any </w:t>
                            </w:r>
                            <w:r>
                              <w:rPr>
                                <w:rFonts w:ascii="Arial;Helvetica;Sans-Serif" w:hAnsi="Arial;Helvetica;Sans-Serif"/>
                                <w:b w:val="false"/>
                                <w:i w:val="false"/>
                                <w:caps w:val="false"/>
                                <w:smallCaps w:val="false"/>
                                <w:color w:val="58595B"/>
                                <w:spacing w:val="-3"/>
                                <w:sz w:val="18"/>
                              </w:rPr>
                              <w:t xml:space="preserve">merger, </w:t>
                            </w:r>
                            <w:r>
                              <w:rPr>
                                <w:rFonts w:ascii="Arial;Helvetica;Sans-Serif" w:hAnsi="Arial;Helvetica;Sans-Serif"/>
                                <w:b w:val="false"/>
                                <w:i w:val="false"/>
                                <w:caps w:val="false"/>
                                <w:smallCaps w:val="false"/>
                                <w:color w:val="58595B"/>
                                <w:sz w:val="18"/>
                              </w:rPr>
                              <w:t xml:space="preserve">consolidation, reorganization, or business combination with any person that results in a substantial change in ownership or leadership, as further described in the definition; (2) the acquisition directly or indirectly by any person or group of beneficial ownership of securities entitled to </w:t>
                            </w:r>
                            <w:r>
                              <w:rPr>
                                <w:rFonts w:ascii="Arial;Helvetica;Sans-Serif" w:hAnsi="Arial;Helvetica;Sans-Serif"/>
                                <w:b w:val="false"/>
                                <w:i w:val="false"/>
                                <w:caps w:val="false"/>
                                <w:smallCaps w:val="false"/>
                                <w:color w:val="58595B"/>
                                <w:spacing w:val="-3"/>
                                <w:sz w:val="18"/>
                              </w:rPr>
                              <w:t xml:space="preserve">vote </w:t>
                            </w:r>
                            <w:r>
                              <w:rPr>
                                <w:rFonts w:ascii="Arial;Helvetica;Sans-Serif" w:hAnsi="Arial;Helvetica;Sans-Serif"/>
                                <w:b w:val="false"/>
                                <w:i w:val="false"/>
                                <w:caps w:val="false"/>
                                <w:smallCaps w:val="false"/>
                                <w:color w:val="58595B"/>
                                <w:sz w:val="18"/>
                              </w:rPr>
                              <w:t xml:space="preserve">generally in the election of directors of the Company that represent 30% or more of the combined voting power of the Company’s then-outstanding voting securities, subject to certain exceptions as described in the definition; (3) turnover of a majority of the Board, subject to certain exceptions; and (4) the </w:t>
                            </w:r>
                            <w:r>
                              <w:rPr>
                                <w:rFonts w:ascii="Arial;Helvetica;Sans-Serif" w:hAnsi="Arial;Helvetica;Sans-Serif"/>
                                <w:b w:val="false"/>
                                <w:i w:val="false"/>
                                <w:caps w:val="false"/>
                                <w:smallCaps w:val="false"/>
                                <w:color w:val="58595B"/>
                                <w:spacing w:val="-2"/>
                                <w:sz w:val="18"/>
                              </w:rPr>
                              <w:t>approval</w:t>
                            </w:r>
                            <w:r>
                              <w:rPr>
                                <w:rFonts w:ascii="Arial;Helvetica;Sans-Serif" w:hAnsi="Arial;Helvetica;Sans-Serif"/>
                                <w:b w:val="false"/>
                                <w:i w:val="false"/>
                                <w:caps w:val="false"/>
                                <w:smallCaps w:val="false"/>
                                <w:color w:val="58595B"/>
                                <w:sz w:val="18"/>
                              </w:rPr>
                              <w:t xml:space="preserve"> by the Company’s shareholders of a liquidation or dissolution of the </w:t>
                            </w:r>
                            <w:r>
                              <w:rPr>
                                <w:rFonts w:ascii="Arial;Helvetica;Sans-Serif" w:hAnsi="Arial;Helvetica;Sans-Serif"/>
                                <w:b w:val="false"/>
                                <w:i w:val="false"/>
                                <w:caps w:val="false"/>
                                <w:smallCaps w:val="false"/>
                                <w:color w:val="58595B"/>
                                <w:spacing w:val="-3"/>
                                <w:sz w:val="18"/>
                              </w:rPr>
                              <w:t>Company,</w:t>
                            </w:r>
                            <w:r>
                              <w:rPr>
                                <w:rFonts w:ascii="Arial;Helvetica;Sans-Serif" w:hAnsi="Arial;Helvetica;Sans-Serif"/>
                                <w:b w:val="false"/>
                                <w:i w:val="false"/>
                                <w:caps w:val="false"/>
                                <w:smallCaps w:val="false"/>
                                <w:color w:val="58595B"/>
                                <w:sz w:val="18"/>
                              </w:rPr>
                              <w:t xml:space="preserve"> subject to certain exceptions.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1.35pt;mso-wrap-distance-left:0pt;mso-wrap-distance-right:0pt;mso-wrap-distance-top:0pt;mso-wrap-distance-bottom:0pt;margin-top:0pt;mso-position-vertical:top;mso-position-vertical-relative:text;margin-left:265.35pt;mso-position-horizontal:right;mso-position-horizontal-relative:text">
                <v:textbox>
                  <w:txbxContent>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24" name="Image2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 name="Image210" descr=""/>
                                          <pic:cNvPicPr>
                                            <a:picLocks noChangeAspect="1" noChangeArrowheads="1"/>
                                          </pic:cNvPicPr>
                                        </pic:nvPicPr>
                                        <pic:blipFill>
                                          <a:blip r:embed="rId211"/>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The employment agreement includes customary non-competition and non-solicitation provisions that apply during his employment with the Company and for one year </w:t>
                            </w:r>
                            <w:r>
                              <w:rPr>
                                <w:rFonts w:ascii="Arial;Helvetica;Sans-Serif" w:hAnsi="Arial;Helvetica;Sans-Serif"/>
                                <w:color w:val="58595B"/>
                                <w:spacing w:val="-3"/>
                                <w:sz w:val="18"/>
                              </w:rPr>
                              <w:t xml:space="preserve">thereafter, </w:t>
                            </w:r>
                            <w:r>
                              <w:rPr>
                                <w:rFonts w:ascii="Arial;Helvetica;Sans-Serif" w:hAnsi="Arial;Helvetica;Sans-Serif"/>
                                <w:color w:val="58595B"/>
                                <w:sz w:val="18"/>
                              </w:rPr>
                              <w:t>as well as customary confidentiality and intellectual property provisions and a mutual non-disparagement provision.</w:t>
                            </w:r>
                          </w:p>
                        </w:tc>
                      </w:tr>
                    </w:tbl>
                    <w:p>
                      <w:pPr>
                        <w:pStyle w:val="TextBody"/>
                        <w:jc w:val="left"/>
                        <w:rPr>
                          <w:caps w:val="false"/>
                          <w:smallCaps w:val="false"/>
                        </w:rPr>
                      </w:pPr>
                      <w:r>
                        <w:rPr>
                          <w:caps w:val="false"/>
                          <w:smallCaps w:val="false"/>
                        </w:rPr>
                        <w:t> </w:t>
                      </w:r>
                    </w:p>
                    <w:p>
                      <w:pPr>
                        <w:pStyle w:val="TextBody"/>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8"/>
                        </w:rPr>
                        <w:t xml:space="preserve">Cause” is defined, in general, to mean: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Clarke’s </w:t>
                      </w:r>
                      <w:r>
                        <w:rPr>
                          <w:rFonts w:ascii="Arial;Helvetica;Sans-Serif" w:hAnsi="Arial;Helvetica;Sans-Serif"/>
                          <w:b w:val="false"/>
                          <w:i w:val="false"/>
                          <w:caps w:val="false"/>
                          <w:smallCaps w:val="false"/>
                          <w:color w:val="58595B"/>
                          <w:sz w:val="18"/>
                        </w:rPr>
                        <w:t xml:space="preserve">(1) failure to render services to us, (2) commission of an act of disloyalty, gross negligence, dishonesty or breach of fiduciary </w:t>
                      </w:r>
                      <w:r>
                        <w:rPr>
                          <w:rFonts w:ascii="Arial;Helvetica;Sans-Serif" w:hAnsi="Arial;Helvetica;Sans-Serif"/>
                          <w:b w:val="false"/>
                          <w:i w:val="false"/>
                          <w:caps w:val="false"/>
                          <w:smallCaps w:val="false"/>
                          <w:color w:val="58595B"/>
                          <w:spacing w:val="-3"/>
                          <w:sz w:val="18"/>
                        </w:rPr>
                        <w:t xml:space="preserve">duty, </w:t>
                      </w:r>
                      <w:r>
                        <w:rPr>
                          <w:rFonts w:ascii="Arial;Helvetica;Sans-Serif" w:hAnsi="Arial;Helvetica;Sans-Serif"/>
                          <w:b w:val="false"/>
                          <w:i w:val="false"/>
                          <w:caps w:val="false"/>
                          <w:smallCaps w:val="false"/>
                          <w:color w:val="58595B"/>
                          <w:sz w:val="18"/>
                        </w:rPr>
                        <w:t xml:space="preserve">(3) material breach of the agreement, (4) commission of any crime or act of fraud or embezzlement, (5) misappropriation of our assets, (6) violation of material policies, (7) commission of acts generating material adverse publicity </w:t>
                      </w:r>
                      <w:r>
                        <w:rPr>
                          <w:rFonts w:ascii="Arial;Helvetica;Sans-Serif" w:hAnsi="Arial;Helvetica;Sans-Serif"/>
                          <w:b w:val="false"/>
                          <w:i w:val="false"/>
                          <w:caps w:val="false"/>
                          <w:smallCaps w:val="false"/>
                          <w:color w:val="58595B"/>
                          <w:spacing w:val="-3"/>
                          <w:sz w:val="18"/>
                        </w:rPr>
                        <w:t xml:space="preserve">toward </w:t>
                      </w:r>
                      <w:r>
                        <w:rPr>
                          <w:rFonts w:ascii="Arial;Helvetica;Sans-Serif" w:hAnsi="Arial;Helvetica;Sans-Serif"/>
                          <w:b w:val="false"/>
                          <w:i w:val="false"/>
                          <w:caps w:val="false"/>
                          <w:smallCaps w:val="false"/>
                          <w:color w:val="58595B"/>
                          <w:sz w:val="18"/>
                        </w:rPr>
                        <w:t xml:space="preserve">us, (8) commission or conviction of a </w:t>
                      </w:r>
                      <w:r>
                        <w:rPr>
                          <w:rFonts w:ascii="Arial;Helvetica;Sans-Serif" w:hAnsi="Arial;Helvetica;Sans-Serif"/>
                          <w:b w:val="false"/>
                          <w:i w:val="false"/>
                          <w:caps w:val="false"/>
                          <w:smallCaps w:val="false"/>
                          <w:color w:val="58595B"/>
                          <w:spacing w:val="-3"/>
                          <w:sz w:val="18"/>
                        </w:rPr>
                        <w:t xml:space="preserve">felony, </w:t>
                      </w:r>
                      <w:r>
                        <w:rPr>
                          <w:rFonts w:ascii="Arial;Helvetica;Sans-Serif" w:hAnsi="Arial;Helvetica;Sans-Serif"/>
                          <w:b w:val="false"/>
                          <w:i w:val="false"/>
                          <w:caps w:val="false"/>
                          <w:smallCaps w:val="false"/>
                          <w:color w:val="58595B"/>
                          <w:sz w:val="18"/>
                        </w:rPr>
                        <w:t>or (9) death or inability due to disability to perform his essential job functions for a period of three consecutive months.</w:t>
                      </w:r>
                    </w:p>
                    <w:p>
                      <w:pPr>
                        <w:pStyle w:val="TextBody"/>
                        <w:jc w:val="left"/>
                        <w:rPr>
                          <w:caps w:val="false"/>
                          <w:smallCaps w:val="false"/>
                          <w:color w:val="58595B"/>
                        </w:rPr>
                      </w:pPr>
                      <w:r>
                        <w:rPr>
                          <w:caps w:val="false"/>
                          <w:smallCaps w:val="false"/>
                          <w:color w:val="58595B"/>
                        </w:rPr>
                        <w:t> </w:t>
                      </w:r>
                    </w:p>
                    <w:p>
                      <w:pPr>
                        <w:pStyle w:val="TextBody"/>
                        <w:jc w:val="left"/>
                        <w:rPr>
                          <w:caps w:val="false"/>
                          <w:smallCaps w:val="false"/>
                          <w:color w:val="58595B"/>
                        </w:rPr>
                      </w:pPr>
                      <w:r>
                        <w:rPr>
                          <w:caps w:val="false"/>
                          <w:smallCaps w:val="false"/>
                          <w:color w:val="58595B"/>
                          <w:spacing w:val="-5"/>
                        </w:rPr>
                        <w:t>“</w:t>
                      </w:r>
                      <w:r>
                        <w:rPr>
                          <w:rFonts w:ascii="Arial;Helvetica;Sans-Serif" w:hAnsi="Arial;Helvetica;Sans-Serif"/>
                          <w:b w:val="false"/>
                          <w:i w:val="false"/>
                          <w:caps w:val="false"/>
                          <w:smallCaps w:val="false"/>
                          <w:color w:val="58595B"/>
                          <w:spacing w:val="-5"/>
                          <w:sz w:val="18"/>
                        </w:rPr>
                        <w:t xml:space="preserve">Good </w:t>
                      </w:r>
                      <w:r>
                        <w:rPr>
                          <w:rFonts w:ascii="Arial;Helvetica;Sans-Serif" w:hAnsi="Arial;Helvetica;Sans-Serif"/>
                          <w:b w:val="false"/>
                          <w:i w:val="false"/>
                          <w:caps w:val="false"/>
                          <w:smallCaps w:val="false"/>
                          <w:color w:val="58595B"/>
                          <w:spacing w:val="-6"/>
                          <w:sz w:val="18"/>
                        </w:rPr>
                        <w:t xml:space="preserve">reason” </w:t>
                      </w:r>
                      <w:r>
                        <w:rPr>
                          <w:rFonts w:ascii="Arial;Helvetica;Sans-Serif" w:hAnsi="Arial;Helvetica;Sans-Serif"/>
                          <w:b w:val="false"/>
                          <w:i w:val="false"/>
                          <w:caps w:val="false"/>
                          <w:smallCaps w:val="false"/>
                          <w:color w:val="58595B"/>
                          <w:spacing w:val="-3"/>
                          <w:sz w:val="18"/>
                        </w:rPr>
                        <w:t xml:space="preserve">is </w:t>
                      </w:r>
                      <w:r>
                        <w:rPr>
                          <w:rFonts w:ascii="Arial;Helvetica;Sans-Serif" w:hAnsi="Arial;Helvetica;Sans-Serif"/>
                          <w:b w:val="false"/>
                          <w:i w:val="false"/>
                          <w:caps w:val="false"/>
                          <w:smallCaps w:val="false"/>
                          <w:color w:val="58595B"/>
                          <w:spacing w:val="-4"/>
                          <w:sz w:val="18"/>
                        </w:rPr>
                        <w:t xml:space="preserve">defined </w:t>
                      </w:r>
                      <w:r>
                        <w:rPr>
                          <w:rFonts w:ascii="Arial;Helvetica;Sans-Serif" w:hAnsi="Arial;Helvetica;Sans-Serif"/>
                          <w:b w:val="false"/>
                          <w:i w:val="false"/>
                          <w:caps w:val="false"/>
                          <w:smallCaps w:val="false"/>
                          <w:color w:val="58595B"/>
                          <w:spacing w:val="-3"/>
                          <w:sz w:val="18"/>
                        </w:rPr>
                        <w:t xml:space="preserve">to </w:t>
                      </w:r>
                      <w:r>
                        <w:rPr>
                          <w:rFonts w:ascii="Arial;Helvetica;Sans-Serif" w:hAnsi="Arial;Helvetica;Sans-Serif"/>
                          <w:b w:val="false"/>
                          <w:i w:val="false"/>
                          <w:caps w:val="false"/>
                          <w:smallCaps w:val="false"/>
                          <w:color w:val="58595B"/>
                          <w:spacing w:val="-4"/>
                          <w:sz w:val="18"/>
                        </w:rPr>
                        <w:t xml:space="preserve">mean, </w:t>
                      </w:r>
                      <w:r>
                        <w:rPr>
                          <w:rFonts w:ascii="Arial;Helvetica;Sans-Serif" w:hAnsi="Arial;Helvetica;Sans-Serif"/>
                          <w:b w:val="false"/>
                          <w:i w:val="false"/>
                          <w:caps w:val="false"/>
                          <w:smallCaps w:val="false"/>
                          <w:color w:val="58595B"/>
                          <w:spacing w:val="-5"/>
                          <w:sz w:val="18"/>
                        </w:rPr>
                        <w:t xml:space="preserve">following </w:t>
                      </w:r>
                      <w:r>
                        <w:rPr>
                          <w:rFonts w:ascii="Arial;Helvetica;Sans-Serif" w:hAnsi="Arial;Helvetica;Sans-Serif"/>
                          <w:b w:val="false"/>
                          <w:i w:val="false"/>
                          <w:caps w:val="false"/>
                          <w:smallCaps w:val="false"/>
                          <w:color w:val="58595B"/>
                          <w:sz w:val="18"/>
                        </w:rPr>
                        <w:t xml:space="preserve">a </w:t>
                      </w:r>
                      <w:r>
                        <w:rPr>
                          <w:rFonts w:ascii="Arial;Helvetica;Sans-Serif" w:hAnsi="Arial;Helvetica;Sans-Serif"/>
                          <w:b w:val="false"/>
                          <w:i w:val="false"/>
                          <w:caps w:val="false"/>
                          <w:smallCaps w:val="false"/>
                          <w:color w:val="58595B"/>
                          <w:spacing w:val="-5"/>
                          <w:sz w:val="18"/>
                        </w:rPr>
                        <w:t xml:space="preserve">change </w:t>
                      </w:r>
                      <w:r>
                        <w:rPr>
                          <w:rFonts w:ascii="Arial;Helvetica;Sans-Serif" w:hAnsi="Arial;Helvetica;Sans-Serif"/>
                          <w:b w:val="false"/>
                          <w:i w:val="false"/>
                          <w:caps w:val="false"/>
                          <w:smallCaps w:val="false"/>
                          <w:color w:val="58595B"/>
                          <w:spacing w:val="-3"/>
                          <w:sz w:val="18"/>
                        </w:rPr>
                        <w:t xml:space="preserve">in </w:t>
                      </w:r>
                      <w:r>
                        <w:rPr>
                          <w:rFonts w:ascii="Arial;Helvetica;Sans-Serif" w:hAnsi="Arial;Helvetica;Sans-Serif"/>
                          <w:b w:val="false"/>
                          <w:i w:val="false"/>
                          <w:caps w:val="false"/>
                          <w:smallCaps w:val="false"/>
                          <w:color w:val="58595B"/>
                          <w:spacing w:val="-6"/>
                          <w:sz w:val="18"/>
                        </w:rPr>
                        <w:t xml:space="preserve">control, </w:t>
                      </w:r>
                      <w:r>
                        <w:rPr>
                          <w:rFonts w:ascii="Arial;Helvetica;Sans-Serif" w:hAnsi="Arial;Helvetica;Sans-Serif"/>
                          <w:b w:val="false"/>
                          <w:i w:val="false"/>
                          <w:caps w:val="false"/>
                          <w:smallCaps w:val="false"/>
                          <w:color w:val="58595B"/>
                          <w:sz w:val="18"/>
                        </w:rPr>
                        <w:t xml:space="preserve">and without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Clarke’s </w:t>
                      </w:r>
                      <w:r>
                        <w:rPr>
                          <w:rFonts w:ascii="Arial;Helvetica;Sans-Serif" w:hAnsi="Arial;Helvetica;Sans-Serif"/>
                          <w:b w:val="false"/>
                          <w:i w:val="false"/>
                          <w:caps w:val="false"/>
                          <w:smallCaps w:val="false"/>
                          <w:color w:val="58595B"/>
                          <w:sz w:val="18"/>
                        </w:rPr>
                        <w:t>written consent: (1) a significant diminution in the nature and scope of his authority, duties or responsibilities; (2) a reduction in his annual base salary or total compensation and benefits in the amount of 10% or more; (3) his principal place of employment is relocated to a place that is more than 25 miles from the prior principal place of employment; or (4) he is required to be away from his office 25% more than was required prior to the change in control.</w:t>
                      </w:r>
                    </w:p>
                    <w:p>
                      <w:pPr>
                        <w:pStyle w:val="TextBody"/>
                        <w:jc w:val="left"/>
                        <w:rPr>
                          <w:caps w:val="false"/>
                          <w:smallCaps w:val="false"/>
                          <w:color w:val="58595B"/>
                        </w:rPr>
                      </w:pPr>
                      <w:r>
                        <w:rPr>
                          <w:caps w:val="false"/>
                          <w:smallCaps w:val="false"/>
                          <w:color w:val="58595B"/>
                        </w:rPr>
                        <w:t> </w:t>
                      </w:r>
                    </w:p>
                    <w:p>
                      <w:pPr>
                        <w:pStyle w:val="TextBody"/>
                        <w:spacing w:before="0" w:after="283"/>
                        <w:jc w:val="left"/>
                        <w:rPr>
                          <w:caps w:val="false"/>
                          <w:smallCaps w:val="false"/>
                          <w:color w:val="58595B"/>
                        </w:rPr>
                      </w:pPr>
                      <w:r>
                        <w:rPr>
                          <w:caps w:val="false"/>
                          <w:smallCaps w:val="false"/>
                          <w:color w:val="58595B"/>
                        </w:rPr>
                        <w:t>“</w:t>
                      </w:r>
                      <w:r>
                        <w:rPr>
                          <w:rFonts w:ascii="Arial;Helvetica;Sans-Serif" w:hAnsi="Arial;Helvetica;Sans-Serif"/>
                          <w:b w:val="false"/>
                          <w:i w:val="false"/>
                          <w:caps w:val="false"/>
                          <w:smallCaps w:val="false"/>
                          <w:color w:val="58595B"/>
                          <w:sz w:val="18"/>
                        </w:rPr>
                        <w:t xml:space="preserve">Change in control” for purposes of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Clarke’s </w:t>
                      </w:r>
                      <w:r>
                        <w:rPr>
                          <w:rFonts w:ascii="Arial;Helvetica;Sans-Serif" w:hAnsi="Arial;Helvetica;Sans-Serif"/>
                          <w:b w:val="false"/>
                          <w:i w:val="false"/>
                          <w:caps w:val="false"/>
                          <w:smallCaps w:val="false"/>
                          <w:color w:val="58595B"/>
                          <w:sz w:val="18"/>
                        </w:rPr>
                        <w:t xml:space="preserve">employment agreement generally has the meaning given to such term in our 2010 Equity Compensation Plan </w:t>
                      </w:r>
                      <w:r>
                        <w:rPr>
                          <w:rFonts w:ascii="Arial;Helvetica;Sans-Serif" w:hAnsi="Arial;Helvetica;Sans-Serif"/>
                          <w:b w:val="false"/>
                          <w:i w:val="false"/>
                          <w:caps w:val="false"/>
                          <w:smallCaps w:val="false"/>
                          <w:color w:val="58595B"/>
                          <w:spacing w:val="-3"/>
                          <w:sz w:val="18"/>
                        </w:rPr>
                        <w:t xml:space="preserve">(the </w:t>
                      </w:r>
                      <w:r>
                        <w:rPr>
                          <w:rFonts w:ascii="Arial;Helvetica;Sans-Serif" w:hAnsi="Arial;Helvetica;Sans-Serif"/>
                          <w:b w:val="false"/>
                          <w:i w:val="false"/>
                          <w:caps w:val="false"/>
                          <w:smallCaps w:val="false"/>
                          <w:color w:val="58595B"/>
                          <w:sz w:val="18"/>
                        </w:rPr>
                        <w:t xml:space="preserve">“2010 Plan”), which generally means any of the following: (1) the sale by the Company of all or substantially all of its assets or the consummation by the Company of any </w:t>
                      </w:r>
                      <w:r>
                        <w:rPr>
                          <w:rFonts w:ascii="Arial;Helvetica;Sans-Serif" w:hAnsi="Arial;Helvetica;Sans-Serif"/>
                          <w:b w:val="false"/>
                          <w:i w:val="false"/>
                          <w:caps w:val="false"/>
                          <w:smallCaps w:val="false"/>
                          <w:color w:val="58595B"/>
                          <w:spacing w:val="-3"/>
                          <w:sz w:val="18"/>
                        </w:rPr>
                        <w:t xml:space="preserve">merger, </w:t>
                      </w:r>
                      <w:r>
                        <w:rPr>
                          <w:rFonts w:ascii="Arial;Helvetica;Sans-Serif" w:hAnsi="Arial;Helvetica;Sans-Serif"/>
                          <w:b w:val="false"/>
                          <w:i w:val="false"/>
                          <w:caps w:val="false"/>
                          <w:smallCaps w:val="false"/>
                          <w:color w:val="58595B"/>
                          <w:sz w:val="18"/>
                        </w:rPr>
                        <w:t xml:space="preserve">consolidation, reorganization, or business combination with any person that results in a substantial change in ownership or leadership, as further described in the definition; (2) the acquisition directly or indirectly by any person or group of beneficial ownership of securities entitled to </w:t>
                      </w:r>
                      <w:r>
                        <w:rPr>
                          <w:rFonts w:ascii="Arial;Helvetica;Sans-Serif" w:hAnsi="Arial;Helvetica;Sans-Serif"/>
                          <w:b w:val="false"/>
                          <w:i w:val="false"/>
                          <w:caps w:val="false"/>
                          <w:smallCaps w:val="false"/>
                          <w:color w:val="58595B"/>
                          <w:spacing w:val="-3"/>
                          <w:sz w:val="18"/>
                        </w:rPr>
                        <w:t xml:space="preserve">vote </w:t>
                      </w:r>
                      <w:r>
                        <w:rPr>
                          <w:rFonts w:ascii="Arial;Helvetica;Sans-Serif" w:hAnsi="Arial;Helvetica;Sans-Serif"/>
                          <w:b w:val="false"/>
                          <w:i w:val="false"/>
                          <w:caps w:val="false"/>
                          <w:smallCaps w:val="false"/>
                          <w:color w:val="58595B"/>
                          <w:sz w:val="18"/>
                        </w:rPr>
                        <w:t xml:space="preserve">generally in the election of directors of the Company that represent 30% or more of the combined voting power of the Company’s then-outstanding voting securities, subject to certain exceptions as described in the definition; (3) turnover of a majority of the Board, subject to certain exceptions; and (4) the </w:t>
                      </w:r>
                      <w:r>
                        <w:rPr>
                          <w:rFonts w:ascii="Arial;Helvetica;Sans-Serif" w:hAnsi="Arial;Helvetica;Sans-Serif"/>
                          <w:b w:val="false"/>
                          <w:i w:val="false"/>
                          <w:caps w:val="false"/>
                          <w:smallCaps w:val="false"/>
                          <w:color w:val="58595B"/>
                          <w:spacing w:val="-2"/>
                          <w:sz w:val="18"/>
                        </w:rPr>
                        <w:t>approval</w:t>
                      </w:r>
                      <w:r>
                        <w:rPr>
                          <w:rFonts w:ascii="Arial;Helvetica;Sans-Serif" w:hAnsi="Arial;Helvetica;Sans-Serif"/>
                          <w:b w:val="false"/>
                          <w:i w:val="false"/>
                          <w:caps w:val="false"/>
                          <w:smallCaps w:val="false"/>
                          <w:color w:val="58595B"/>
                          <w:sz w:val="18"/>
                        </w:rPr>
                        <w:t xml:space="preserve"> by the Company’s shareholders of a liquidation or dissolution of the </w:t>
                      </w:r>
                      <w:r>
                        <w:rPr>
                          <w:rFonts w:ascii="Arial;Helvetica;Sans-Serif" w:hAnsi="Arial;Helvetica;Sans-Serif"/>
                          <w:b w:val="false"/>
                          <w:i w:val="false"/>
                          <w:caps w:val="false"/>
                          <w:smallCaps w:val="false"/>
                          <w:color w:val="58595B"/>
                          <w:spacing w:val="-3"/>
                          <w:sz w:val="18"/>
                        </w:rPr>
                        <w:t>Company,</w:t>
                      </w:r>
                      <w:r>
                        <w:rPr>
                          <w:rFonts w:ascii="Arial;Helvetica;Sans-Serif" w:hAnsi="Arial;Helvetica;Sans-Serif"/>
                          <w:b w:val="false"/>
                          <w:i w:val="false"/>
                          <w:caps w:val="false"/>
                          <w:smallCaps w:val="false"/>
                          <w:color w:val="58595B"/>
                          <w:sz w:val="18"/>
                        </w:rPr>
                        <w:t xml:space="preserve"> subject to certain exceptions.</w:t>
                      </w:r>
                    </w:p>
                  </w:txbxContent>
                </v:textbox>
                <w10:wrap type="square" side="left"/>
              </v:rect>
            </w:pict>
          </mc:Fallback>
        </mc:AlternateContent>
      </w:r>
    </w:p>
    <w:p>
      <w:pPr>
        <w:pStyle w:val="TextBody"/>
        <w:rPr/>
      </w:pPr>
      <w:r>
        <w:rPr/>
      </w:r>
    </w:p>
    <w:p>
      <w:pPr>
        <w:pStyle w:val="TextBody"/>
        <w:rPr>
          <w:caps w:val="false"/>
          <w:smallCaps w:val="false"/>
          <w:color w:val="58595B"/>
        </w:rPr>
      </w:pPr>
      <w:r>
        <w:rPr>
          <w:caps w:val="false"/>
          <w:smallCaps w:val="false"/>
          <w:color w:val="58595B"/>
        </w:rPr>
        <w:t> </w:t>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50</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rPr>
          <w:caps w:val="false"/>
          <w:smallCaps w:val="false"/>
          <w:color w:val="231F20"/>
        </w:rPr>
      </w:pPr>
      <w:r>
        <w:rPr>
          <w:caps w:val="false"/>
          <w:smallCaps w:val="false"/>
          <w:color w:val="231F20"/>
        </w:rPr>
        <w:t> </w:t>
      </w:r>
    </w:p>
    <w:p>
      <w:pPr>
        <w:pStyle w:val="TextBody"/>
        <w:spacing w:before="0" w:after="0"/>
        <w:rPr/>
      </w:pPr>
      <w:r>
        <w:rPr/>
      </w:r>
      <w:r>
        <mc:AlternateContent>
          <mc:Choice Requires="wps">
            <w:drawing>
              <wp:anchor behindDoc="0" distT="0" distB="0" distL="0" distR="0" simplePos="0" locked="0" layoutInCell="1" allowOverlap="1" relativeHeight="206">
                <wp:simplePos x="0" y="0"/>
                <wp:positionH relativeFrom="column">
                  <wp:align>left</wp:align>
                </wp:positionH>
                <wp:positionV relativeFrom="line">
                  <wp:posOffset>635</wp:posOffset>
                </wp:positionV>
                <wp:extent cx="3110230" cy="6699885"/>
                <wp:effectExtent l="0" t="0" r="0" b="0"/>
                <wp:wrapSquare wrapText="largest"/>
                <wp:docPr id="425" name="Frame68"/>
                <a:graphic xmlns:a="http://schemas.openxmlformats.org/drawingml/2006/main">
                  <a:graphicData uri="http://schemas.microsoft.com/office/word/2010/wordprocessingShape">
                    <wps:wsp>
                      <wps:cNvSpPr txBox="1"/>
                      <wps:spPr>
                        <a:xfrm>
                          <a:off x="0" y="0"/>
                          <a:ext cx="3110230" cy="6699885"/>
                        </a:xfrm>
                        <a:prstGeom prst="rect"/>
                      </wps:spPr>
                      <wps:txbx>
                        <w:txbxContent>
                          <w:p>
                            <w:pPr>
                              <w:pStyle w:val="TextBody"/>
                              <w:rPr>
                                <w:rFonts w:ascii="Arial;Helvetica;Sans-Serif" w:hAnsi="Arial;Helvetica;Sans-Serif"/>
                                <w:b/>
                                <w:i w:val="false"/>
                                <w:caps w:val="false"/>
                                <w:smallCaps w:val="false"/>
                                <w:color w:val="231F20"/>
                                <w:sz w:val="18"/>
                              </w:rPr>
                            </w:pPr>
                            <w:bookmarkStart w:id="125" w:name="a073"/>
                            <w:bookmarkEnd w:id="125"/>
                            <w:r>
                              <w:rPr>
                                <w:rFonts w:ascii="Arial;Helvetica;Sans-Serif" w:hAnsi="Arial;Helvetica;Sans-Serif"/>
                                <w:b/>
                                <w:i w:val="false"/>
                                <w:caps w:val="false"/>
                                <w:smallCaps w:val="false"/>
                                <w:color w:val="231F20"/>
                                <w:sz w:val="18"/>
                              </w:rPr>
                              <w:t>Other NEOs</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pacing w:val="-6"/>
                                <w:sz w:val="18"/>
                              </w:rPr>
                            </w:pPr>
                            <w:r>
                              <w:rPr>
                                <w:rFonts w:ascii="Arial;Helvetica;Sans-Serif" w:hAnsi="Arial;Helvetica;Sans-Serif"/>
                                <w:b w:val="false"/>
                                <w:i w:val="false"/>
                                <w:caps w:val="false"/>
                                <w:smallCaps w:val="false"/>
                                <w:color w:val="58595B"/>
                                <w:spacing w:val="-6"/>
                                <w:sz w:val="18"/>
                              </w:rPr>
                              <w:t>We provided offer letters to Messrs. Freund, Netto, King, Gavrilenya and Coughlin in connection with their hiring or promotion. Consistent with our historical practice, if any of these NEOs is terminated by us for any reason other than for cause, we will (1) pay cash severance in the amount of six months of continuation of his then-current base salary and (2) provide health benefits for six months, each upon execution of a general release. The Company does not hold an offer letter or other individual agreement with Ms. Vickery.</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126" w:name="a074"/>
                            <w:bookmarkEnd w:id="126"/>
                            <w:r>
                              <w:rPr>
                                <w:rFonts w:ascii="Arial;Helvetica;Sans-Serif" w:hAnsi="Arial;Helvetica;Sans-Serif"/>
                                <w:b/>
                                <w:i w:val="false"/>
                                <w:caps w:val="false"/>
                                <w:smallCaps w:val="false"/>
                                <w:color w:val="231F20"/>
                                <w:sz w:val="18"/>
                              </w:rPr>
                              <w:t>Equity Awards</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NEOs also have rights under outstanding equity awards, which will accelerate (1) if there is a change in control and the award is not continued in full force and effect or there is no assumption or substitution of the award (as described in the applicable award agreement) in connection with such change in control or (2) if the NEO is terminated without cause (as defined in the 2010 Plan) or resigns for good reason (as defined in the 2010 Plan) within two years following a change in control (a “double trigger”).</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Mr. Clarke’s 2021 CEO Performance Option is subject to alternative vesting provisions in the event of a termination of his service or a change in control. If Mr. Clarke’s service is terminated by the Company without “cause” (as defined in the award agreement) or by Mr. Clarke for “good reason” (as defined in the award agreement) other than in connection with a change in control as described below, the unvested portion of the award will remain eligible to vest subject to the degree of achievement of the applicable stock price hurdles as of the date of termination, and the vested portion of the option will remain exercisable until the earlier of the 91st day after termination and December 31, 2024.</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2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i w:val="false"/>
                          <w:caps w:val="false"/>
                          <w:smallCaps w:val="false"/>
                          <w:color w:val="231F20"/>
                          <w:sz w:val="18"/>
                        </w:rPr>
                      </w:pPr>
                      <w:bookmarkStart w:id="127" w:name="a073"/>
                      <w:bookmarkEnd w:id="127"/>
                      <w:r>
                        <w:rPr>
                          <w:rFonts w:ascii="Arial;Helvetica;Sans-Serif" w:hAnsi="Arial;Helvetica;Sans-Serif"/>
                          <w:b/>
                          <w:i w:val="false"/>
                          <w:caps w:val="false"/>
                          <w:smallCaps w:val="false"/>
                          <w:color w:val="231F20"/>
                          <w:sz w:val="18"/>
                        </w:rPr>
                        <w:t>Other NEOs</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pacing w:val="-6"/>
                          <w:sz w:val="18"/>
                        </w:rPr>
                      </w:pPr>
                      <w:r>
                        <w:rPr>
                          <w:rFonts w:ascii="Arial;Helvetica;Sans-Serif" w:hAnsi="Arial;Helvetica;Sans-Serif"/>
                          <w:b w:val="false"/>
                          <w:i w:val="false"/>
                          <w:caps w:val="false"/>
                          <w:smallCaps w:val="false"/>
                          <w:color w:val="58595B"/>
                          <w:spacing w:val="-6"/>
                          <w:sz w:val="18"/>
                        </w:rPr>
                        <w:t>We provided offer letters to Messrs. Freund, Netto, King, Gavrilenya and Coughlin in connection with their hiring or promotion. Consistent with our historical practice, if any of these NEOs is terminated by us for any reason other than for cause, we will (1) pay cash severance in the amount of six months of continuation of his then-current base salary and (2) provide health benefits for six months, each upon execution of a general release. The Company does not hold an offer letter or other individual agreement with Ms. Vickery.</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128" w:name="a074"/>
                      <w:bookmarkEnd w:id="128"/>
                      <w:r>
                        <w:rPr>
                          <w:rFonts w:ascii="Arial;Helvetica;Sans-Serif" w:hAnsi="Arial;Helvetica;Sans-Serif"/>
                          <w:b/>
                          <w:i w:val="false"/>
                          <w:caps w:val="false"/>
                          <w:smallCaps w:val="false"/>
                          <w:color w:val="231F20"/>
                          <w:sz w:val="18"/>
                        </w:rPr>
                        <w:t>Equity Awards</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NEOs also have rights under outstanding equity awards, which will accelerate (1) if there is a change in control and the award is not continued in full force and effect or there is no assumption or substitution of the award (as described in the applicable award agreement) in connection with such change in control or (2) if the NEO is terminated without cause (as defined in the 2010 Plan) or resigns for good reason (as defined in the 2010 Plan) within two years following a change in control (a “double trigger”).</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Mr. Clarke’s 2021 CEO Performance Option is subject to alternative vesting provisions in the event of a termination of his service or a change in control. If Mr. Clarke’s service is terminated by the Company without “cause” (as defined in the award agreement) or by Mr. Clarke for “good reason” (as defined in the award agreement) other than in connection with a change in control as described below, the unvested portion of the award will remain eligible to vest subject to the degree of achievement of the applicable stock price hurdles as of the date of termination, and the vested portion of the option will remain exercisable until the earlier of the 91st day after termination and December 31, 2024.</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r>
        <mc:AlternateContent>
          <mc:Choice Requires="wps">
            <w:drawing>
              <wp:anchor behindDoc="0" distT="0" distB="0" distL="0" distR="0" simplePos="0" locked="0" layoutInCell="1" allowOverlap="1" relativeHeight="207">
                <wp:simplePos x="0" y="0"/>
                <wp:positionH relativeFrom="column">
                  <wp:align>right</wp:align>
                </wp:positionH>
                <wp:positionV relativeFrom="line">
                  <wp:posOffset>635</wp:posOffset>
                </wp:positionV>
                <wp:extent cx="3110230" cy="4083685"/>
                <wp:effectExtent l="0" t="0" r="0" b="0"/>
                <wp:wrapSquare wrapText="largest"/>
                <wp:docPr id="426" name="Frame69"/>
                <a:graphic xmlns:a="http://schemas.openxmlformats.org/drawingml/2006/main">
                  <a:graphicData uri="http://schemas.microsoft.com/office/word/2010/wordprocessingShape">
                    <wps:wsp>
                      <wps:cNvSpPr txBox="1"/>
                      <wps:spPr>
                        <a:xfrm>
                          <a:off x="0" y="0"/>
                          <a:ext cx="3110230" cy="4083685"/>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If Mr. Clarke’s employment terminates due to his death or disability, then the unvested portion of the award will vest (if at all) subject to the degree of achievement of the stock price hurdles, including during the one-year period following the date of termination, and the vested option will remain exercisable until the 366th day after termination or (if earlier) December 31, 2024. If Mr. Clarke dies or becomes disabled after ceasing active service (other than for cause), then the vested portion of the option will remain exercisable until the earlier of the 366th day after the date of such death or disability and December 31, 2024.</w:t>
                            </w:r>
                          </w:p>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pacing w:val="-4"/>
                                <w:sz w:val="18"/>
                              </w:rPr>
                            </w:pPr>
                            <w:r>
                              <w:rPr>
                                <w:rFonts w:ascii="Arial;Helvetica;Sans-Serif" w:hAnsi="Arial;Helvetica;Sans-Serif"/>
                                <w:b w:val="false"/>
                                <w:i w:val="false"/>
                                <w:caps w:val="false"/>
                                <w:smallCaps w:val="false"/>
                                <w:color w:val="58595B"/>
                                <w:spacing w:val="-4"/>
                                <w:sz w:val="18"/>
                              </w:rPr>
                              <w:t>Mr. Clarke’s award is also subject to double trigger vesting. If the award is not continued, assumed or substituted in connection with a change in control, then the unvested portion of the option will vest based on the degree of attainment of the stock price hurdles as of the day immediately prior to the date of the change in control and Mr. Clarke will have a reasonable right to exercise the vested option as of the date of and immediately prior to the change in control. In the event that the award is continued, assumed or substituted in connection with a change in control, and Mr. Clarke’s service is terminated without cause or for good reason within a period of two years after the change in control, then the unvested option will vest subject to the degree of attainment of the stock price hurdles as of the date of termination, and the option will remain exercisable until the earlier of the 91st day after such termination and December 31, 2024.</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21.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If Mr. Clarke’s employment terminates due to his death or disability, then the unvested portion of the award will vest (if at all) subject to the degree of achievement of the stock price hurdles, including during the one-year period following the date of termination, and the vested option will remain exercisable until the 366th day after termination or (if earlier) December 31, 2024. If Mr. Clarke dies or becomes disabled after ceasing active service (other than for cause), then the vested portion of the option will remain exercisable until the earlier of the 366th day after the date of such death or disability and December 31, 2024.</w:t>
                      </w:r>
                    </w:p>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pacing w:val="-4"/>
                          <w:sz w:val="18"/>
                        </w:rPr>
                      </w:pPr>
                      <w:r>
                        <w:rPr>
                          <w:rFonts w:ascii="Arial;Helvetica;Sans-Serif" w:hAnsi="Arial;Helvetica;Sans-Serif"/>
                          <w:b w:val="false"/>
                          <w:i w:val="false"/>
                          <w:caps w:val="false"/>
                          <w:smallCaps w:val="false"/>
                          <w:color w:val="58595B"/>
                          <w:spacing w:val="-4"/>
                          <w:sz w:val="18"/>
                        </w:rPr>
                        <w:t>Mr. Clarke’s award is also subject to double trigger vesting. If the award is not continued, assumed or substituted in connection with a change in control, then the unvested portion of the option will vest based on the degree of attainment of the stock price hurdles as of the day immediately prior to the date of the change in control and Mr. Clarke will have a reasonable right to exercise the vested option as of the date of and immediately prior to the change in control. In the event that the award is continued, assumed or substituted in connection with a change in control, and Mr. Clarke’s service is terminated without cause or for good reason within a period of two years after the change in control, then the unvested option will vest subject to the degree of attainment of the stock price hurdles as of the date of termination, and the option will remain exercisable until the earlier of the 91st day after such termination and December 31, 2024.</w:t>
                      </w:r>
                    </w:p>
                  </w:txbxContent>
                </v:textbox>
                <w10:wrap type="square" side="left"/>
              </v:rect>
            </w:pict>
          </mc:Fallback>
        </mc:AlternateContent>
      </w:r>
    </w:p>
    <w:p>
      <w:pPr>
        <w:pStyle w:val="TextBody"/>
        <w:rPr/>
      </w:pPr>
      <w:r>
        <w:rPr/>
      </w:r>
    </w:p>
    <w:p>
      <w:pPr>
        <w:pStyle w:val="TextBody"/>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51</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i w:val="false"/>
          <w:caps w:val="false"/>
          <w:smallCaps w:val="false"/>
          <w:color w:val="231F20"/>
          <w:sz w:val="20"/>
        </w:rPr>
      </w:pPr>
      <w:bookmarkStart w:id="129" w:name="a075"/>
      <w:bookmarkEnd w:id="129"/>
      <w:r>
        <w:rPr>
          <w:rFonts w:ascii="Arial;Helvetica;Sans-Serif" w:hAnsi="Arial;Helvetica;Sans-Serif"/>
          <w:b/>
          <w:i w:val="false"/>
          <w:caps w:val="false"/>
          <w:smallCaps w:val="false"/>
          <w:color w:val="231F20"/>
          <w:sz w:val="20"/>
        </w:rPr>
        <w:t>Quantification of Potential Payments</w:t>
      </w:r>
    </w:p>
    <w:p>
      <w:pPr>
        <w:pStyle w:val="TextBody"/>
        <w:rPr>
          <w:caps w:val="false"/>
          <w:smallCaps w:val="false"/>
          <w:color w:val="231F20"/>
        </w:rPr>
      </w:pPr>
      <w:r>
        <w:rPr>
          <w:caps w:val="false"/>
          <w:smallCaps w:val="false"/>
          <w:color w:val="231F20"/>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shows the potential payments to the NEOs (other than Messrs. Freund and Gavrilenya) upon a termination of employment in various circumstances, including in connection with a change in control. In preparing the table, we assumed the triggering event occurred on December 30, 2022 (the last business day of fiscal 2022). Please see the disclosure following this table for information regarding the actual compensation received by Messrs. Freund and Gavrilenya in connection with their separations. Although Mr. Coughlin continues to provide services to FLEETCOR in a consulting capacity, he ceased to be eligible for severance compensation and benefits after his separation from employment during 2022.</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5768"/>
        <w:gridCol w:w="1102"/>
        <w:gridCol w:w="1386"/>
        <w:gridCol w:w="1102"/>
        <w:gridCol w:w="847"/>
      </w:tblGrid>
      <w:tr>
        <w:trPr/>
        <w:tc>
          <w:tcPr>
            <w:tcW w:w="5768"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Name</w:t>
            </w:r>
          </w:p>
        </w:tc>
        <w:tc>
          <w:tcPr>
            <w:tcW w:w="1102" w:type="dxa"/>
            <w:tcBorders/>
            <w:shd w:fill="EE0027" w:val="clear"/>
            <w:vAlign w:val="center"/>
          </w:tcPr>
          <w:p>
            <w:pPr>
              <w:pStyle w:val="TableContents"/>
              <w:spacing w:lineRule="auto" w:line="240" w:before="0" w:after="283"/>
              <w:jc w:val="left"/>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Severance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Amount ($)(1)</w:t>
            </w:r>
          </w:p>
        </w:tc>
        <w:tc>
          <w:tcPr>
            <w:tcW w:w="1386" w:type="dxa"/>
            <w:tcBorders/>
            <w:shd w:fill="EE0027" w:val="clear"/>
            <w:vAlign w:val="center"/>
          </w:tcPr>
          <w:p>
            <w:pPr>
              <w:pStyle w:val="TableContents"/>
              <w:spacing w:lineRule="auto" w:line="240" w:before="0" w:after="283"/>
              <w:jc w:val="left"/>
              <w:rPr/>
            </w:pPr>
            <w:r>
              <w:rPr>
                <w:rFonts w:ascii="Arial;Helvetica;Sans-Serif" w:hAnsi="Arial;Helvetica;Sans-Serif"/>
                <w:b/>
                <w:color w:val="FFFFFF"/>
                <w:sz w:val="16"/>
              </w:rPr>
              <w:t xml:space="preserve">Accelerated </w:t>
            </w:r>
            <w:r>
              <w:rPr/>
              <w:br/>
            </w:r>
            <w:r>
              <w:rPr>
                <w:rFonts w:ascii="Arial;Helvetica;Sans-Serif" w:hAnsi="Arial;Helvetica;Sans-Serif"/>
                <w:b/>
                <w:color w:val="FFFFFF"/>
                <w:sz w:val="16"/>
              </w:rPr>
              <w:t xml:space="preserve">Vesting of Equity </w:t>
            </w:r>
            <w:r>
              <w:rPr/>
              <w:br/>
            </w:r>
            <w:r>
              <w:rPr>
                <w:rFonts w:ascii="Arial;Helvetica;Sans-Serif" w:hAnsi="Arial;Helvetica;Sans-Serif"/>
                <w:b/>
                <w:color w:val="FFFFFF"/>
                <w:sz w:val="16"/>
              </w:rPr>
              <w:t>Awards ($)(2)</w:t>
            </w:r>
          </w:p>
        </w:tc>
        <w:tc>
          <w:tcPr>
            <w:tcW w:w="1102" w:type="dxa"/>
            <w:tcBorders/>
            <w:shd w:fill="EE0027" w:val="clear"/>
            <w:vAlign w:val="center"/>
          </w:tcPr>
          <w:p>
            <w:pPr>
              <w:pStyle w:val="TableContents"/>
              <w:spacing w:lineRule="auto" w:line="240"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Benefits ($)(3)</w:t>
            </w:r>
          </w:p>
        </w:tc>
        <w:tc>
          <w:tcPr>
            <w:tcW w:w="847"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Total ($)</w:t>
            </w:r>
          </w:p>
        </w:tc>
      </w:tr>
      <w:tr>
        <w:trPr/>
        <w:tc>
          <w:tcPr>
            <w:tcW w:w="5768" w:type="dxa"/>
            <w:tcBorders/>
            <w:shd w:fill="auto"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Ronald F. Clarke</w:t>
            </w:r>
          </w:p>
        </w:tc>
        <w:tc>
          <w:tcPr>
            <w:tcW w:w="1102" w:type="dxa"/>
            <w:tcBorders/>
            <w:shd w:fill="auto" w:val="clear"/>
            <w:vAlign w:val="center"/>
          </w:tcPr>
          <w:p>
            <w:pPr>
              <w:pStyle w:val="TableContents"/>
              <w:spacing w:before="0" w:after="283"/>
              <w:jc w:val="left"/>
              <w:rPr/>
            </w:pPr>
            <w:r>
              <w:rPr/>
              <w:t> </w:t>
            </w:r>
          </w:p>
        </w:tc>
        <w:tc>
          <w:tcPr>
            <w:tcW w:w="1386" w:type="dxa"/>
            <w:tcBorders/>
            <w:shd w:fill="auto" w:val="clear"/>
            <w:vAlign w:val="center"/>
          </w:tcPr>
          <w:p>
            <w:pPr>
              <w:pStyle w:val="TableContents"/>
              <w:spacing w:before="0" w:after="283"/>
              <w:jc w:val="left"/>
              <w:rPr/>
            </w:pPr>
            <w:r>
              <w:rPr/>
              <w:t> </w:t>
            </w:r>
          </w:p>
        </w:tc>
        <w:tc>
          <w:tcPr>
            <w:tcW w:w="1102" w:type="dxa"/>
            <w:tcBorders/>
            <w:shd w:fill="auto" w:val="clear"/>
            <w:vAlign w:val="center"/>
          </w:tcPr>
          <w:p>
            <w:pPr>
              <w:pStyle w:val="TableContents"/>
              <w:spacing w:before="0" w:after="283"/>
              <w:jc w:val="left"/>
              <w:rPr/>
            </w:pPr>
            <w:r>
              <w:rPr/>
              <w:t> </w:t>
            </w:r>
          </w:p>
        </w:tc>
        <w:tc>
          <w:tcPr>
            <w:tcW w:w="847" w:type="dxa"/>
            <w:tcBorders/>
            <w:shd w:fill="auto" w:val="clear"/>
            <w:vAlign w:val="center"/>
          </w:tcPr>
          <w:p>
            <w:pPr>
              <w:pStyle w:val="TableContents"/>
              <w:spacing w:before="0" w:after="283"/>
              <w:jc w:val="left"/>
              <w:rPr/>
            </w:pPr>
            <w:r>
              <w:rPr/>
              <w:t> </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w:t>
            </w:r>
          </w:p>
        </w:tc>
        <w:tc>
          <w:tcPr>
            <w:tcW w:w="110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$1,800,000</w:t>
            </w:r>
          </w:p>
        </w:tc>
        <w:tc>
          <w:tcPr>
            <w:tcW w:w="1386" w:type="dxa"/>
            <w:tcBorders/>
            <w:shd w:fill="DCDDDE" w:val="clear"/>
            <w:vAlign w:val="center"/>
          </w:tcPr>
          <w:p>
            <w:pPr>
              <w:pStyle w:val="TableContents"/>
              <w:spacing w:before="0" w:after="283"/>
              <w:jc w:val="left"/>
              <w:rPr>
                <w:color w:val="58595B"/>
              </w:rPr>
            </w:pPr>
            <w:r>
              <w:rPr>
                <w:color w:val="58595B"/>
              </w:rPr>
              <w:t>—</w:t>
            </w:r>
          </w:p>
        </w:tc>
        <w:tc>
          <w:tcPr>
            <w:tcW w:w="110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$33,575</w:t>
            </w:r>
          </w:p>
        </w:tc>
        <w:tc>
          <w:tcPr>
            <w:tcW w:w="847"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$1,833,575</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for good reason or termination without cause following a change in control</w:t>
            </w:r>
          </w:p>
        </w:tc>
        <w:tc>
          <w:tcPr>
            <w:tcW w:w="1102"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$1,800,000</w:t>
            </w:r>
          </w:p>
        </w:tc>
        <w:tc>
          <w:tcPr>
            <w:tcW w:w="1386" w:type="dxa"/>
            <w:tcBorders/>
            <w:shd w:fill="auto" w:val="clear"/>
            <w:vAlign w:val="center"/>
          </w:tcPr>
          <w:p>
            <w:pPr>
              <w:pStyle w:val="TableContents"/>
              <w:spacing w:before="0" w:after="283"/>
              <w:jc w:val="left"/>
              <w:rPr>
                <w:caps w:val="false"/>
                <w:smallCaps w:val="false"/>
                <w:color w:val="231F20"/>
              </w:rPr>
            </w:pPr>
            <w:r>
              <w:rPr>
                <w:caps w:val="false"/>
                <w:smallCaps w:val="false"/>
                <w:color w:val="231F20"/>
              </w:rPr>
              <w:t>—</w:t>
            </w:r>
          </w:p>
        </w:tc>
        <w:tc>
          <w:tcPr>
            <w:tcW w:w="1102"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$33,575</w:t>
            </w:r>
          </w:p>
        </w:tc>
        <w:tc>
          <w:tcPr>
            <w:tcW w:w="847"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$1,833,575</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Change in control</w:t>
            </w:r>
          </w:p>
        </w:tc>
        <w:tc>
          <w:tcPr>
            <w:tcW w:w="1102" w:type="dxa"/>
            <w:tcBorders/>
            <w:shd w:fill="DCDDDE" w:val="clear"/>
            <w:vAlign w:val="center"/>
          </w:tcPr>
          <w:p>
            <w:pPr>
              <w:pStyle w:val="TableContents"/>
              <w:spacing w:before="0" w:after="283"/>
              <w:jc w:val="left"/>
              <w:rPr>
                <w:color w:val="231F20"/>
              </w:rPr>
            </w:pPr>
            <w:r>
              <w:rPr>
                <w:color w:val="231F20"/>
              </w:rPr>
              <w:t>—</w:t>
            </w:r>
          </w:p>
        </w:tc>
        <w:tc>
          <w:tcPr>
            <w:tcW w:w="1386" w:type="dxa"/>
            <w:tcBorders/>
            <w:shd w:fill="DCDDDE" w:val="clear"/>
            <w:vAlign w:val="center"/>
          </w:tcPr>
          <w:p>
            <w:pPr>
              <w:pStyle w:val="TableContents"/>
              <w:spacing w:before="0" w:after="283"/>
              <w:jc w:val="left"/>
              <w:rPr>
                <w:color w:val="58595B"/>
              </w:rPr>
            </w:pPr>
            <w:r>
              <w:rPr>
                <w:color w:val="58595B"/>
              </w:rPr>
              <w:t>—</w:t>
            </w:r>
          </w:p>
        </w:tc>
        <w:tc>
          <w:tcPr>
            <w:tcW w:w="1102" w:type="dxa"/>
            <w:tcBorders/>
            <w:shd w:fill="DCDDDE" w:val="clear"/>
            <w:vAlign w:val="center"/>
          </w:tcPr>
          <w:p>
            <w:pPr>
              <w:pStyle w:val="TableContents"/>
              <w:spacing w:before="0" w:after="283"/>
              <w:jc w:val="left"/>
              <w:rPr>
                <w:color w:val="58595B"/>
              </w:rPr>
            </w:pPr>
            <w:r>
              <w:rPr>
                <w:color w:val="58595B"/>
              </w:rPr>
              <w:t>—</w:t>
            </w:r>
          </w:p>
        </w:tc>
        <w:tc>
          <w:tcPr>
            <w:tcW w:w="847" w:type="dxa"/>
            <w:tcBorders/>
            <w:shd w:fill="DCDDDE" w:val="clear"/>
            <w:vAlign w:val="center"/>
          </w:tcPr>
          <w:p>
            <w:pPr>
              <w:pStyle w:val="TableContents"/>
              <w:spacing w:before="0" w:after="283"/>
              <w:jc w:val="left"/>
              <w:rPr>
                <w:color w:val="58595B"/>
              </w:rPr>
            </w:pPr>
            <w:r>
              <w:rPr>
                <w:color w:val="58595B"/>
              </w:rPr>
              <w:t>—</w:t>
            </w:r>
          </w:p>
        </w:tc>
      </w:tr>
      <w:tr>
        <w:trPr/>
        <w:tc>
          <w:tcPr>
            <w:tcW w:w="5768" w:type="dxa"/>
            <w:tcBorders/>
            <w:shd w:fill="auto" w:val="clear"/>
            <w:vAlign w:val="center"/>
          </w:tcPr>
          <w:p>
            <w:pPr>
              <w:pStyle w:val="TableContents"/>
              <w:spacing w:lineRule="auto" w:line="240" w:before="0" w:after="283"/>
              <w:jc w:val="left"/>
              <w:rPr>
                <w:rFonts w:ascii="Arial;Helvetica;Sans-Serif" w:hAnsi="Arial;Helvetica;Sans-Serif"/>
                <w:b/>
                <w:color w:val="58595B"/>
                <w:sz w:val="16"/>
              </w:rPr>
            </w:pPr>
            <w:r>
              <w:rPr>
                <w:rFonts w:ascii="Arial;Helvetica;Sans-Serif" w:hAnsi="Arial;Helvetica;Sans-Serif"/>
                <w:b/>
                <w:color w:val="58595B"/>
                <w:sz w:val="16"/>
              </w:rPr>
              <w:t>Alissa B. Vickery (4)</w:t>
            </w:r>
          </w:p>
        </w:tc>
        <w:tc>
          <w:tcPr>
            <w:tcW w:w="1102" w:type="dxa"/>
            <w:tcBorders/>
            <w:shd w:fill="auto" w:val="clear"/>
            <w:vAlign w:val="center"/>
          </w:tcPr>
          <w:p>
            <w:pPr>
              <w:pStyle w:val="TableContents"/>
              <w:spacing w:before="0" w:after="283"/>
              <w:jc w:val="left"/>
              <w:rPr/>
            </w:pPr>
            <w:r>
              <w:rPr/>
              <w:t> </w:t>
            </w:r>
          </w:p>
        </w:tc>
        <w:tc>
          <w:tcPr>
            <w:tcW w:w="1386" w:type="dxa"/>
            <w:tcBorders/>
            <w:shd w:fill="auto" w:val="clear"/>
            <w:vAlign w:val="center"/>
          </w:tcPr>
          <w:p>
            <w:pPr>
              <w:pStyle w:val="TableContents"/>
              <w:spacing w:before="0" w:after="283"/>
              <w:jc w:val="left"/>
              <w:rPr/>
            </w:pPr>
            <w:r>
              <w:rPr/>
              <w:t> </w:t>
            </w:r>
          </w:p>
        </w:tc>
        <w:tc>
          <w:tcPr>
            <w:tcW w:w="1102" w:type="dxa"/>
            <w:tcBorders/>
            <w:shd w:fill="auto" w:val="clear"/>
            <w:vAlign w:val="center"/>
          </w:tcPr>
          <w:p>
            <w:pPr>
              <w:pStyle w:val="TableContents"/>
              <w:spacing w:before="0" w:after="283"/>
              <w:jc w:val="left"/>
              <w:rPr/>
            </w:pPr>
            <w:r>
              <w:rPr/>
              <w:t> </w:t>
            </w:r>
          </w:p>
        </w:tc>
        <w:tc>
          <w:tcPr>
            <w:tcW w:w="847" w:type="dxa"/>
            <w:tcBorders/>
            <w:shd w:fill="auto" w:val="clear"/>
            <w:vAlign w:val="center"/>
          </w:tcPr>
          <w:p>
            <w:pPr>
              <w:pStyle w:val="TableContents"/>
              <w:spacing w:before="0" w:after="283"/>
              <w:jc w:val="left"/>
              <w:rPr/>
            </w:pPr>
            <w:r>
              <w:rPr/>
              <w:t> </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w:t>
            </w:r>
          </w:p>
        </w:tc>
        <w:tc>
          <w:tcPr>
            <w:tcW w:w="110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$125,000</w:t>
            </w:r>
          </w:p>
        </w:tc>
        <w:tc>
          <w:tcPr>
            <w:tcW w:w="1386" w:type="dxa"/>
            <w:tcBorders/>
            <w:shd w:fill="DCDDDE" w:val="clear"/>
            <w:vAlign w:val="center"/>
          </w:tcPr>
          <w:p>
            <w:pPr>
              <w:pStyle w:val="TableContents"/>
              <w:spacing w:before="0" w:after="283"/>
              <w:jc w:val="left"/>
              <w:rPr>
                <w:color w:val="231F20"/>
              </w:rPr>
            </w:pPr>
            <w:r>
              <w:rPr>
                <w:color w:val="231F20"/>
              </w:rPr>
              <w:t>—</w:t>
            </w:r>
          </w:p>
        </w:tc>
        <w:tc>
          <w:tcPr>
            <w:tcW w:w="1102" w:type="dxa"/>
            <w:tcBorders/>
            <w:shd w:fill="DCDDDE" w:val="clear"/>
            <w:vAlign w:val="center"/>
          </w:tcPr>
          <w:p>
            <w:pPr>
              <w:pStyle w:val="TableContents"/>
              <w:spacing w:before="0" w:after="283"/>
              <w:jc w:val="left"/>
              <w:rPr>
                <w:color w:val="58595B"/>
              </w:rPr>
            </w:pPr>
            <w:r>
              <w:rPr>
                <w:color w:val="58595B"/>
              </w:rPr>
              <w:t>—</w:t>
            </w:r>
          </w:p>
        </w:tc>
        <w:tc>
          <w:tcPr>
            <w:tcW w:w="847"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$125,000</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 following a change in control</w:t>
            </w:r>
          </w:p>
        </w:tc>
        <w:tc>
          <w:tcPr>
            <w:tcW w:w="110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$125,000</w:t>
            </w:r>
          </w:p>
        </w:tc>
        <w:tc>
          <w:tcPr>
            <w:tcW w:w="138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$291,133</w:t>
            </w:r>
          </w:p>
        </w:tc>
        <w:tc>
          <w:tcPr>
            <w:tcW w:w="1102" w:type="dxa"/>
            <w:tcBorders/>
            <w:shd w:fill="auto" w:val="clear"/>
            <w:vAlign w:val="center"/>
          </w:tcPr>
          <w:p>
            <w:pPr>
              <w:pStyle w:val="TableContents"/>
              <w:spacing w:before="0" w:after="283"/>
              <w:jc w:val="left"/>
              <w:rPr>
                <w:color w:val="58595B"/>
              </w:rPr>
            </w:pPr>
            <w:r>
              <w:rPr>
                <w:color w:val="58595B"/>
              </w:rPr>
              <w:t>—</w:t>
            </w:r>
          </w:p>
        </w:tc>
        <w:tc>
          <w:tcPr>
            <w:tcW w:w="84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$416,133</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for good reason following a change in control</w:t>
            </w:r>
          </w:p>
        </w:tc>
        <w:tc>
          <w:tcPr>
            <w:tcW w:w="1102" w:type="dxa"/>
            <w:tcBorders/>
            <w:shd w:fill="DCDDDE" w:val="clear"/>
            <w:vAlign w:val="center"/>
          </w:tcPr>
          <w:p>
            <w:pPr>
              <w:pStyle w:val="TableContents"/>
              <w:spacing w:before="0" w:after="283"/>
              <w:jc w:val="left"/>
              <w:rPr>
                <w:color w:val="58595B"/>
              </w:rPr>
            </w:pPr>
            <w:r>
              <w:rPr>
                <w:color w:val="58595B"/>
              </w:rPr>
              <w:t>—</w:t>
            </w:r>
          </w:p>
        </w:tc>
        <w:tc>
          <w:tcPr>
            <w:tcW w:w="138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$291,133</w:t>
            </w:r>
          </w:p>
        </w:tc>
        <w:tc>
          <w:tcPr>
            <w:tcW w:w="1102" w:type="dxa"/>
            <w:tcBorders/>
            <w:shd w:fill="DCDDDE" w:val="clear"/>
            <w:vAlign w:val="center"/>
          </w:tcPr>
          <w:p>
            <w:pPr>
              <w:pStyle w:val="TableContents"/>
              <w:spacing w:before="0" w:after="283"/>
              <w:jc w:val="left"/>
              <w:rPr>
                <w:color w:val="58595B"/>
              </w:rPr>
            </w:pPr>
            <w:r>
              <w:rPr>
                <w:color w:val="58595B"/>
              </w:rPr>
              <w:t>—</w:t>
            </w:r>
          </w:p>
        </w:tc>
        <w:tc>
          <w:tcPr>
            <w:tcW w:w="847"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$291,133</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Change in control</w:t>
            </w:r>
          </w:p>
        </w:tc>
        <w:tc>
          <w:tcPr>
            <w:tcW w:w="1102" w:type="dxa"/>
            <w:tcBorders/>
            <w:shd w:fill="auto" w:val="clear"/>
            <w:vAlign w:val="center"/>
          </w:tcPr>
          <w:p>
            <w:pPr>
              <w:pStyle w:val="TableContents"/>
              <w:spacing w:before="0" w:after="283"/>
              <w:jc w:val="left"/>
              <w:rPr>
                <w:color w:val="58595B"/>
              </w:rPr>
            </w:pPr>
            <w:r>
              <w:rPr>
                <w:color w:val="58595B"/>
              </w:rPr>
              <w:t>—</w:t>
            </w:r>
          </w:p>
        </w:tc>
        <w:tc>
          <w:tcPr>
            <w:tcW w:w="1386" w:type="dxa"/>
            <w:tcBorders/>
            <w:shd w:fill="auto" w:val="clear"/>
            <w:vAlign w:val="center"/>
          </w:tcPr>
          <w:p>
            <w:pPr>
              <w:pStyle w:val="TableContents"/>
              <w:spacing w:before="0" w:after="283"/>
              <w:jc w:val="left"/>
              <w:rPr>
                <w:color w:val="58595B"/>
              </w:rPr>
            </w:pPr>
            <w:r>
              <w:rPr>
                <w:color w:val="58595B"/>
              </w:rPr>
              <w:t>—</w:t>
            </w:r>
          </w:p>
        </w:tc>
        <w:tc>
          <w:tcPr>
            <w:tcW w:w="1102" w:type="dxa"/>
            <w:tcBorders/>
            <w:shd w:fill="auto" w:val="clear"/>
            <w:vAlign w:val="center"/>
          </w:tcPr>
          <w:p>
            <w:pPr>
              <w:pStyle w:val="TableContents"/>
              <w:spacing w:before="0" w:after="283"/>
              <w:jc w:val="left"/>
              <w:rPr>
                <w:color w:val="58595B"/>
              </w:rPr>
            </w:pPr>
            <w:r>
              <w:rPr>
                <w:color w:val="58595B"/>
              </w:rPr>
              <w:t>—</w:t>
            </w:r>
          </w:p>
        </w:tc>
        <w:tc>
          <w:tcPr>
            <w:tcW w:w="847" w:type="dxa"/>
            <w:tcBorders/>
            <w:shd w:fill="auto" w:val="clear"/>
            <w:vAlign w:val="center"/>
          </w:tcPr>
          <w:p>
            <w:pPr>
              <w:pStyle w:val="TableContents"/>
              <w:spacing w:before="0" w:after="283"/>
              <w:jc w:val="left"/>
              <w:rPr>
                <w:color w:val="58595B"/>
              </w:rPr>
            </w:pPr>
            <w:r>
              <w:rPr>
                <w:color w:val="58595B"/>
              </w:rPr>
              <w:t>—</w:t>
            </w:r>
          </w:p>
        </w:tc>
      </w:tr>
      <w:tr>
        <w:trPr/>
        <w:tc>
          <w:tcPr>
            <w:tcW w:w="5768" w:type="dxa"/>
            <w:tcBorders/>
            <w:shd w:fill="DCDDDE" w:val="clear"/>
            <w:vAlign w:val="center"/>
          </w:tcPr>
          <w:p>
            <w:pPr>
              <w:pStyle w:val="TableContents"/>
              <w:spacing w:lineRule="auto" w:line="240" w:before="0" w:after="283"/>
              <w:jc w:val="left"/>
              <w:rPr>
                <w:rFonts w:ascii="Arial;Helvetica;Sans-Serif" w:hAnsi="Arial;Helvetica;Sans-Serif"/>
                <w:b/>
                <w:color w:val="58595B"/>
                <w:sz w:val="16"/>
              </w:rPr>
            </w:pPr>
            <w:r>
              <w:rPr>
                <w:rFonts w:ascii="Arial;Helvetica;Sans-Serif" w:hAnsi="Arial;Helvetica;Sans-Serif"/>
                <w:b/>
                <w:color w:val="58595B"/>
                <w:sz w:val="16"/>
              </w:rPr>
              <w:t>Armando L. Netto (5)</w:t>
            </w:r>
          </w:p>
        </w:tc>
        <w:tc>
          <w:tcPr>
            <w:tcW w:w="1102" w:type="dxa"/>
            <w:tcBorders/>
            <w:shd w:fill="DCDDDE" w:val="clear"/>
            <w:vAlign w:val="center"/>
          </w:tcPr>
          <w:p>
            <w:pPr>
              <w:pStyle w:val="TableContents"/>
              <w:spacing w:before="0" w:after="283"/>
              <w:jc w:val="left"/>
              <w:rPr/>
            </w:pPr>
            <w:r>
              <w:rPr/>
              <w:t> </w:t>
            </w:r>
          </w:p>
        </w:tc>
        <w:tc>
          <w:tcPr>
            <w:tcW w:w="1386" w:type="dxa"/>
            <w:tcBorders/>
            <w:shd w:fill="DCDDDE" w:val="clear"/>
            <w:vAlign w:val="center"/>
          </w:tcPr>
          <w:p>
            <w:pPr>
              <w:pStyle w:val="TableContents"/>
              <w:spacing w:before="0" w:after="283"/>
              <w:jc w:val="left"/>
              <w:rPr/>
            </w:pPr>
            <w:r>
              <w:rPr/>
              <w:t> </w:t>
            </w:r>
          </w:p>
        </w:tc>
        <w:tc>
          <w:tcPr>
            <w:tcW w:w="1102" w:type="dxa"/>
            <w:tcBorders/>
            <w:shd w:fill="DCDDDE" w:val="clear"/>
            <w:vAlign w:val="center"/>
          </w:tcPr>
          <w:p>
            <w:pPr>
              <w:pStyle w:val="TableContents"/>
              <w:spacing w:before="0" w:after="283"/>
              <w:jc w:val="left"/>
              <w:rPr/>
            </w:pPr>
            <w:r>
              <w:rPr/>
              <w:t> </w:t>
            </w:r>
          </w:p>
        </w:tc>
        <w:tc>
          <w:tcPr>
            <w:tcW w:w="847" w:type="dxa"/>
            <w:tcBorders/>
            <w:shd w:fill="DCDDDE" w:val="clear"/>
            <w:vAlign w:val="center"/>
          </w:tcPr>
          <w:p>
            <w:pPr>
              <w:pStyle w:val="TableContents"/>
              <w:spacing w:before="0" w:after="283"/>
              <w:jc w:val="left"/>
              <w:rPr/>
            </w:pPr>
            <w:r>
              <w:rPr/>
              <w:t> </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w:t>
            </w:r>
          </w:p>
        </w:tc>
        <w:tc>
          <w:tcPr>
            <w:tcW w:w="110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$243,636</w:t>
            </w:r>
          </w:p>
        </w:tc>
        <w:tc>
          <w:tcPr>
            <w:tcW w:w="1386" w:type="dxa"/>
            <w:tcBorders/>
            <w:shd w:fill="auto" w:val="clear"/>
            <w:vAlign w:val="center"/>
          </w:tcPr>
          <w:p>
            <w:pPr>
              <w:pStyle w:val="TableContents"/>
              <w:spacing w:before="0" w:after="283"/>
              <w:jc w:val="left"/>
              <w:rPr>
                <w:color w:val="58595B"/>
              </w:rPr>
            </w:pPr>
            <w:r>
              <w:rPr>
                <w:color w:val="58595B"/>
              </w:rPr>
              <w:t>—</w:t>
            </w:r>
          </w:p>
        </w:tc>
        <w:tc>
          <w:tcPr>
            <w:tcW w:w="110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$3,438</w:t>
            </w:r>
          </w:p>
        </w:tc>
        <w:tc>
          <w:tcPr>
            <w:tcW w:w="84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$247,074</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 following a change in control</w:t>
            </w:r>
          </w:p>
        </w:tc>
        <w:tc>
          <w:tcPr>
            <w:tcW w:w="110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$243,636</w:t>
            </w:r>
          </w:p>
        </w:tc>
        <w:tc>
          <w:tcPr>
            <w:tcW w:w="138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$2,574,642</w:t>
            </w:r>
          </w:p>
        </w:tc>
        <w:tc>
          <w:tcPr>
            <w:tcW w:w="110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$3,438</w:t>
            </w:r>
          </w:p>
        </w:tc>
        <w:tc>
          <w:tcPr>
            <w:tcW w:w="847"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$2,821,717</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for good reason following a change in control</w:t>
            </w:r>
          </w:p>
        </w:tc>
        <w:tc>
          <w:tcPr>
            <w:tcW w:w="1102" w:type="dxa"/>
            <w:tcBorders/>
            <w:shd w:fill="auto" w:val="clear"/>
            <w:vAlign w:val="center"/>
          </w:tcPr>
          <w:p>
            <w:pPr>
              <w:pStyle w:val="TableContents"/>
              <w:spacing w:before="0" w:after="283"/>
              <w:jc w:val="left"/>
              <w:rPr>
                <w:color w:val="58595B"/>
              </w:rPr>
            </w:pPr>
            <w:r>
              <w:rPr>
                <w:color w:val="58595B"/>
              </w:rPr>
              <w:t>—</w:t>
            </w:r>
          </w:p>
        </w:tc>
        <w:tc>
          <w:tcPr>
            <w:tcW w:w="138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$2,574,642</w:t>
            </w:r>
          </w:p>
        </w:tc>
        <w:tc>
          <w:tcPr>
            <w:tcW w:w="1102" w:type="dxa"/>
            <w:tcBorders/>
            <w:shd w:fill="auto" w:val="clear"/>
            <w:vAlign w:val="center"/>
          </w:tcPr>
          <w:p>
            <w:pPr>
              <w:pStyle w:val="TableContents"/>
              <w:spacing w:before="0" w:after="283"/>
              <w:jc w:val="left"/>
              <w:rPr>
                <w:color w:val="58595B"/>
              </w:rPr>
            </w:pPr>
            <w:r>
              <w:rPr>
                <w:color w:val="58595B"/>
              </w:rPr>
              <w:t>—</w:t>
            </w:r>
          </w:p>
        </w:tc>
        <w:tc>
          <w:tcPr>
            <w:tcW w:w="84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$2,574,642</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Change in control</w:t>
            </w:r>
          </w:p>
        </w:tc>
        <w:tc>
          <w:tcPr>
            <w:tcW w:w="1102" w:type="dxa"/>
            <w:tcBorders/>
            <w:shd w:fill="DCDDDE" w:val="clear"/>
            <w:vAlign w:val="center"/>
          </w:tcPr>
          <w:p>
            <w:pPr>
              <w:pStyle w:val="TableContents"/>
              <w:spacing w:before="0" w:after="283"/>
              <w:jc w:val="left"/>
              <w:rPr>
                <w:color w:val="58595B"/>
              </w:rPr>
            </w:pPr>
            <w:r>
              <w:rPr>
                <w:color w:val="58595B"/>
              </w:rPr>
              <w:t>—</w:t>
            </w:r>
          </w:p>
        </w:tc>
        <w:tc>
          <w:tcPr>
            <w:tcW w:w="1386" w:type="dxa"/>
            <w:tcBorders/>
            <w:shd w:fill="DCDDDE" w:val="clear"/>
            <w:vAlign w:val="center"/>
          </w:tcPr>
          <w:p>
            <w:pPr>
              <w:pStyle w:val="TableContents"/>
              <w:spacing w:before="0" w:after="283"/>
              <w:jc w:val="left"/>
              <w:rPr>
                <w:color w:val="58595B"/>
              </w:rPr>
            </w:pPr>
            <w:r>
              <w:rPr>
                <w:color w:val="58595B"/>
              </w:rPr>
              <w:t>—</w:t>
            </w:r>
          </w:p>
        </w:tc>
        <w:tc>
          <w:tcPr>
            <w:tcW w:w="1102" w:type="dxa"/>
            <w:tcBorders/>
            <w:shd w:fill="DCDDDE" w:val="clear"/>
            <w:vAlign w:val="center"/>
          </w:tcPr>
          <w:p>
            <w:pPr>
              <w:pStyle w:val="TableContents"/>
              <w:spacing w:before="0" w:after="283"/>
              <w:jc w:val="left"/>
              <w:rPr>
                <w:color w:val="58595B"/>
              </w:rPr>
            </w:pPr>
            <w:r>
              <w:rPr>
                <w:color w:val="58595B"/>
              </w:rPr>
              <w:t>—</w:t>
            </w:r>
          </w:p>
        </w:tc>
        <w:tc>
          <w:tcPr>
            <w:tcW w:w="847" w:type="dxa"/>
            <w:tcBorders/>
            <w:shd w:fill="DCDDDE" w:val="clear"/>
            <w:vAlign w:val="center"/>
          </w:tcPr>
          <w:p>
            <w:pPr>
              <w:pStyle w:val="TableContents"/>
              <w:spacing w:before="0" w:after="283"/>
              <w:jc w:val="left"/>
              <w:rPr>
                <w:color w:val="58595B"/>
              </w:rPr>
            </w:pPr>
            <w:r>
              <w:rPr>
                <w:color w:val="58595B"/>
              </w:rPr>
              <w:t>—</w:t>
            </w:r>
          </w:p>
        </w:tc>
      </w:tr>
      <w:tr>
        <w:trPr/>
        <w:tc>
          <w:tcPr>
            <w:tcW w:w="5768" w:type="dxa"/>
            <w:tcBorders/>
            <w:shd w:fill="auto"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Alan King</w:t>
            </w:r>
          </w:p>
        </w:tc>
        <w:tc>
          <w:tcPr>
            <w:tcW w:w="1102" w:type="dxa"/>
            <w:tcBorders/>
            <w:shd w:fill="auto" w:val="clear"/>
            <w:vAlign w:val="center"/>
          </w:tcPr>
          <w:p>
            <w:pPr>
              <w:pStyle w:val="TableContents"/>
              <w:spacing w:before="0" w:after="283"/>
              <w:jc w:val="left"/>
              <w:rPr/>
            </w:pPr>
            <w:r>
              <w:rPr/>
              <w:t> </w:t>
            </w:r>
          </w:p>
        </w:tc>
        <w:tc>
          <w:tcPr>
            <w:tcW w:w="1386" w:type="dxa"/>
            <w:tcBorders/>
            <w:shd w:fill="auto" w:val="clear"/>
            <w:vAlign w:val="center"/>
          </w:tcPr>
          <w:p>
            <w:pPr>
              <w:pStyle w:val="TableContents"/>
              <w:spacing w:before="0" w:after="283"/>
              <w:jc w:val="left"/>
              <w:rPr/>
            </w:pPr>
            <w:r>
              <w:rPr/>
              <w:t> </w:t>
            </w:r>
          </w:p>
        </w:tc>
        <w:tc>
          <w:tcPr>
            <w:tcW w:w="1102" w:type="dxa"/>
            <w:tcBorders/>
            <w:shd w:fill="auto" w:val="clear"/>
            <w:vAlign w:val="center"/>
          </w:tcPr>
          <w:p>
            <w:pPr>
              <w:pStyle w:val="TableContents"/>
              <w:spacing w:before="0" w:after="283"/>
              <w:jc w:val="left"/>
              <w:rPr/>
            </w:pPr>
            <w:r>
              <w:rPr/>
              <w:t> </w:t>
            </w:r>
          </w:p>
        </w:tc>
        <w:tc>
          <w:tcPr>
            <w:tcW w:w="847" w:type="dxa"/>
            <w:tcBorders/>
            <w:shd w:fill="auto" w:val="clear"/>
            <w:vAlign w:val="center"/>
          </w:tcPr>
          <w:p>
            <w:pPr>
              <w:pStyle w:val="TableContents"/>
              <w:spacing w:before="0" w:after="283"/>
              <w:jc w:val="left"/>
              <w:rPr/>
            </w:pPr>
            <w:r>
              <w:rPr/>
              <w:t> </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w:t>
            </w:r>
          </w:p>
        </w:tc>
        <w:tc>
          <w:tcPr>
            <w:tcW w:w="110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$225,000</w:t>
            </w:r>
          </w:p>
        </w:tc>
        <w:tc>
          <w:tcPr>
            <w:tcW w:w="1386" w:type="dxa"/>
            <w:tcBorders/>
            <w:shd w:fill="DCDDDE" w:val="clear"/>
            <w:vAlign w:val="center"/>
          </w:tcPr>
          <w:p>
            <w:pPr>
              <w:pStyle w:val="TableContents"/>
              <w:spacing w:before="0" w:after="283"/>
              <w:jc w:val="left"/>
              <w:rPr>
                <w:color w:val="58595B"/>
              </w:rPr>
            </w:pPr>
            <w:r>
              <w:rPr>
                <w:color w:val="58595B"/>
              </w:rPr>
              <w:t>—</w:t>
            </w:r>
          </w:p>
        </w:tc>
        <w:tc>
          <w:tcPr>
            <w:tcW w:w="1102"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$38,918</w:t>
            </w:r>
          </w:p>
        </w:tc>
        <w:tc>
          <w:tcPr>
            <w:tcW w:w="847"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$263,918</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 following a change in control</w:t>
            </w:r>
          </w:p>
        </w:tc>
        <w:tc>
          <w:tcPr>
            <w:tcW w:w="110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$225,000</w:t>
            </w:r>
          </w:p>
        </w:tc>
        <w:tc>
          <w:tcPr>
            <w:tcW w:w="1386"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$2,444,781</w:t>
            </w:r>
          </w:p>
        </w:tc>
        <w:tc>
          <w:tcPr>
            <w:tcW w:w="1102"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$38,918</w:t>
            </w:r>
          </w:p>
        </w:tc>
        <w:tc>
          <w:tcPr>
            <w:tcW w:w="847"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$2,708,699</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for good reason following a change in control</w:t>
            </w:r>
          </w:p>
        </w:tc>
        <w:tc>
          <w:tcPr>
            <w:tcW w:w="1102" w:type="dxa"/>
            <w:tcBorders/>
            <w:shd w:fill="DCDDDE" w:val="clear"/>
            <w:vAlign w:val="center"/>
          </w:tcPr>
          <w:p>
            <w:pPr>
              <w:pStyle w:val="TableContents"/>
              <w:spacing w:before="0" w:after="283"/>
              <w:jc w:val="left"/>
              <w:rPr>
                <w:color w:val="58595B"/>
              </w:rPr>
            </w:pPr>
            <w:r>
              <w:rPr>
                <w:color w:val="58595B"/>
              </w:rPr>
              <w:t>—</w:t>
            </w:r>
          </w:p>
        </w:tc>
        <w:tc>
          <w:tcPr>
            <w:tcW w:w="1386"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$2,444,781</w:t>
            </w:r>
          </w:p>
        </w:tc>
        <w:tc>
          <w:tcPr>
            <w:tcW w:w="1102" w:type="dxa"/>
            <w:tcBorders/>
            <w:shd w:fill="DCDDDE" w:val="clear"/>
            <w:vAlign w:val="center"/>
          </w:tcPr>
          <w:p>
            <w:pPr>
              <w:pStyle w:val="TableContents"/>
              <w:spacing w:before="0" w:after="283"/>
              <w:jc w:val="left"/>
              <w:rPr>
                <w:color w:val="58595B"/>
              </w:rPr>
            </w:pPr>
            <w:r>
              <w:rPr>
                <w:color w:val="58595B"/>
              </w:rPr>
              <w:t>—</w:t>
            </w:r>
          </w:p>
        </w:tc>
        <w:tc>
          <w:tcPr>
            <w:tcW w:w="847"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$2,444,781</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Change in control</w:t>
            </w:r>
          </w:p>
        </w:tc>
        <w:tc>
          <w:tcPr>
            <w:tcW w:w="1102" w:type="dxa"/>
            <w:tcBorders/>
            <w:shd w:fill="auto" w:val="clear"/>
            <w:vAlign w:val="center"/>
          </w:tcPr>
          <w:p>
            <w:pPr>
              <w:pStyle w:val="TableContents"/>
              <w:spacing w:before="0" w:after="283"/>
              <w:jc w:val="left"/>
              <w:rPr>
                <w:color w:val="231F20"/>
              </w:rPr>
            </w:pPr>
            <w:r>
              <w:rPr>
                <w:color w:val="231F20"/>
              </w:rPr>
              <w:t>—</w:t>
            </w:r>
          </w:p>
        </w:tc>
        <w:tc>
          <w:tcPr>
            <w:tcW w:w="1386" w:type="dxa"/>
            <w:tcBorders/>
            <w:shd w:fill="auto" w:val="clear"/>
            <w:vAlign w:val="center"/>
          </w:tcPr>
          <w:p>
            <w:pPr>
              <w:pStyle w:val="TableContents"/>
              <w:spacing w:before="0" w:after="283"/>
              <w:jc w:val="left"/>
              <w:rPr>
                <w:color w:val="58595B"/>
              </w:rPr>
            </w:pPr>
            <w:r>
              <w:rPr>
                <w:color w:val="58595B"/>
              </w:rPr>
              <w:t>—</w:t>
            </w:r>
          </w:p>
        </w:tc>
        <w:tc>
          <w:tcPr>
            <w:tcW w:w="1102" w:type="dxa"/>
            <w:tcBorders/>
            <w:shd w:fill="auto" w:val="clear"/>
            <w:vAlign w:val="center"/>
          </w:tcPr>
          <w:p>
            <w:pPr>
              <w:pStyle w:val="TableContents"/>
              <w:spacing w:before="0" w:after="283"/>
              <w:jc w:val="left"/>
              <w:rPr>
                <w:color w:val="58595B"/>
              </w:rPr>
            </w:pPr>
            <w:r>
              <w:rPr>
                <w:color w:val="58595B"/>
              </w:rPr>
              <w:t>—</w:t>
            </w:r>
          </w:p>
        </w:tc>
        <w:tc>
          <w:tcPr>
            <w:tcW w:w="847" w:type="dxa"/>
            <w:tcBorders/>
            <w:shd w:fill="auto" w:val="clear"/>
            <w:vAlign w:val="center"/>
          </w:tcPr>
          <w:p>
            <w:pPr>
              <w:pStyle w:val="TableContents"/>
              <w:spacing w:before="0" w:after="283"/>
              <w:jc w:val="left"/>
              <w:rPr>
                <w:color w:val="58595B"/>
              </w:rPr>
            </w:pPr>
            <w:r>
              <w:rPr>
                <w:color w:val="58595B"/>
              </w:rPr>
              <w:t>—</w:t>
            </w:r>
          </w:p>
        </w:tc>
      </w:tr>
      <w:tr>
        <w:trPr/>
        <w:tc>
          <w:tcPr>
            <w:tcW w:w="5768" w:type="dxa"/>
            <w:tcBorders/>
            <w:shd w:fill="DCDDDE" w:val="clear"/>
            <w:vAlign w:val="center"/>
          </w:tcPr>
          <w:p>
            <w:pPr>
              <w:pStyle w:val="TableContents"/>
              <w:spacing w:before="0" w:after="283"/>
              <w:jc w:val="left"/>
              <w:rPr>
                <w:rFonts w:ascii="Arial;Helvetica;Sans-Serif" w:hAnsi="Arial;Helvetica;Sans-Serif"/>
                <w:b/>
                <w:color w:val="58595B"/>
                <w:sz w:val="16"/>
              </w:rPr>
            </w:pPr>
            <w:r>
              <w:rPr>
                <w:rFonts w:ascii="Arial;Helvetica;Sans-Serif" w:hAnsi="Arial;Helvetica;Sans-Serif"/>
                <w:b/>
                <w:color w:val="58595B"/>
                <w:sz w:val="16"/>
              </w:rPr>
              <w:t>John S. Coughlin</w:t>
            </w:r>
          </w:p>
        </w:tc>
        <w:tc>
          <w:tcPr>
            <w:tcW w:w="1102" w:type="dxa"/>
            <w:tcBorders/>
            <w:shd w:fill="DCDDDE" w:val="clear"/>
            <w:vAlign w:val="center"/>
          </w:tcPr>
          <w:p>
            <w:pPr>
              <w:pStyle w:val="TableContents"/>
              <w:spacing w:before="0" w:after="283"/>
              <w:jc w:val="left"/>
              <w:rPr/>
            </w:pPr>
            <w:r>
              <w:rPr/>
              <w:t> </w:t>
            </w:r>
          </w:p>
        </w:tc>
        <w:tc>
          <w:tcPr>
            <w:tcW w:w="1386" w:type="dxa"/>
            <w:tcBorders/>
            <w:shd w:fill="DCDDDE" w:val="clear"/>
            <w:vAlign w:val="center"/>
          </w:tcPr>
          <w:p>
            <w:pPr>
              <w:pStyle w:val="TableContents"/>
              <w:spacing w:before="0" w:after="283"/>
              <w:jc w:val="left"/>
              <w:rPr/>
            </w:pPr>
            <w:r>
              <w:rPr/>
              <w:t> </w:t>
            </w:r>
          </w:p>
        </w:tc>
        <w:tc>
          <w:tcPr>
            <w:tcW w:w="1102" w:type="dxa"/>
            <w:tcBorders/>
            <w:shd w:fill="DCDDDE" w:val="clear"/>
            <w:vAlign w:val="center"/>
          </w:tcPr>
          <w:p>
            <w:pPr>
              <w:pStyle w:val="TableContents"/>
              <w:spacing w:before="0" w:after="283"/>
              <w:jc w:val="left"/>
              <w:rPr/>
            </w:pPr>
            <w:r>
              <w:rPr/>
              <w:t> </w:t>
            </w:r>
          </w:p>
        </w:tc>
        <w:tc>
          <w:tcPr>
            <w:tcW w:w="847" w:type="dxa"/>
            <w:tcBorders/>
            <w:shd w:fill="DCDDDE" w:val="clear"/>
            <w:vAlign w:val="center"/>
          </w:tcPr>
          <w:p>
            <w:pPr>
              <w:pStyle w:val="TableContents"/>
              <w:spacing w:before="0" w:after="283"/>
              <w:jc w:val="left"/>
              <w:rPr/>
            </w:pPr>
            <w:r>
              <w:rPr/>
              <w:t> </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w:t>
            </w:r>
          </w:p>
        </w:tc>
        <w:tc>
          <w:tcPr>
            <w:tcW w:w="1102" w:type="dxa"/>
            <w:tcBorders/>
            <w:shd w:fill="auto" w:val="clear"/>
            <w:vAlign w:val="center"/>
          </w:tcPr>
          <w:p>
            <w:pPr>
              <w:pStyle w:val="TableContents"/>
              <w:spacing w:before="0" w:after="283"/>
              <w:jc w:val="left"/>
              <w:rPr>
                <w:color w:val="58595B"/>
              </w:rPr>
            </w:pPr>
            <w:r>
              <w:rPr>
                <w:color w:val="58595B"/>
              </w:rPr>
              <w:t>—</w:t>
            </w:r>
          </w:p>
        </w:tc>
        <w:tc>
          <w:tcPr>
            <w:tcW w:w="1386" w:type="dxa"/>
            <w:tcBorders/>
            <w:shd w:fill="auto" w:val="clear"/>
            <w:vAlign w:val="center"/>
          </w:tcPr>
          <w:p>
            <w:pPr>
              <w:pStyle w:val="TableContents"/>
              <w:spacing w:before="0" w:after="283"/>
              <w:jc w:val="left"/>
              <w:rPr>
                <w:color w:val="58595B"/>
              </w:rPr>
            </w:pPr>
            <w:r>
              <w:rPr>
                <w:color w:val="58595B"/>
              </w:rPr>
              <w:t>—</w:t>
            </w:r>
          </w:p>
        </w:tc>
        <w:tc>
          <w:tcPr>
            <w:tcW w:w="1102" w:type="dxa"/>
            <w:tcBorders/>
            <w:shd w:fill="auto" w:val="clear"/>
            <w:vAlign w:val="center"/>
          </w:tcPr>
          <w:p>
            <w:pPr>
              <w:pStyle w:val="TableContents"/>
              <w:spacing w:before="0" w:after="283"/>
              <w:jc w:val="left"/>
              <w:rPr>
                <w:color w:val="58595B"/>
              </w:rPr>
            </w:pPr>
            <w:r>
              <w:rPr>
                <w:color w:val="58595B"/>
              </w:rPr>
              <w:t>—</w:t>
            </w:r>
          </w:p>
        </w:tc>
        <w:tc>
          <w:tcPr>
            <w:tcW w:w="847" w:type="dxa"/>
            <w:tcBorders/>
            <w:shd w:fill="auto" w:val="clear"/>
            <w:vAlign w:val="center"/>
          </w:tcPr>
          <w:p>
            <w:pPr>
              <w:pStyle w:val="TableContents"/>
              <w:spacing w:before="0" w:after="283"/>
              <w:jc w:val="left"/>
              <w:rPr>
                <w:color w:val="58595B"/>
              </w:rPr>
            </w:pPr>
            <w:r>
              <w:rPr>
                <w:color w:val="58595B"/>
              </w:rPr>
              <w:t>—</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without cause following a change in control</w:t>
            </w:r>
          </w:p>
        </w:tc>
        <w:tc>
          <w:tcPr>
            <w:tcW w:w="1102" w:type="dxa"/>
            <w:tcBorders/>
            <w:shd w:fill="DCDDDE" w:val="clear"/>
            <w:vAlign w:val="center"/>
          </w:tcPr>
          <w:p>
            <w:pPr>
              <w:pStyle w:val="TableContents"/>
              <w:spacing w:before="0" w:after="283"/>
              <w:jc w:val="left"/>
              <w:rPr>
                <w:color w:val="58595B"/>
              </w:rPr>
            </w:pPr>
            <w:r>
              <w:rPr>
                <w:color w:val="58595B"/>
              </w:rPr>
              <w:t>—</w:t>
            </w:r>
          </w:p>
        </w:tc>
        <w:tc>
          <w:tcPr>
            <w:tcW w:w="1386" w:type="dxa"/>
            <w:tcBorders/>
            <w:shd w:fill="DCDDDE" w:val="clear"/>
            <w:vAlign w:val="center"/>
          </w:tcPr>
          <w:p>
            <w:pPr>
              <w:pStyle w:val="TableContents"/>
              <w:spacing w:before="0" w:after="283"/>
              <w:jc w:val="left"/>
              <w:rPr>
                <w:color w:val="58595B"/>
              </w:rPr>
            </w:pPr>
            <w:r>
              <w:rPr>
                <w:color w:val="58595B"/>
              </w:rPr>
              <w:t>—</w:t>
            </w:r>
          </w:p>
        </w:tc>
        <w:tc>
          <w:tcPr>
            <w:tcW w:w="1102" w:type="dxa"/>
            <w:tcBorders/>
            <w:shd w:fill="DCDDDE" w:val="clear"/>
            <w:vAlign w:val="center"/>
          </w:tcPr>
          <w:p>
            <w:pPr>
              <w:pStyle w:val="TableContents"/>
              <w:spacing w:before="0" w:after="283"/>
              <w:jc w:val="left"/>
              <w:rPr>
                <w:color w:val="58595B"/>
              </w:rPr>
            </w:pPr>
            <w:r>
              <w:rPr>
                <w:color w:val="58595B"/>
              </w:rPr>
              <w:t>—</w:t>
            </w:r>
          </w:p>
        </w:tc>
        <w:tc>
          <w:tcPr>
            <w:tcW w:w="847" w:type="dxa"/>
            <w:tcBorders/>
            <w:shd w:fill="DCDDDE" w:val="clear"/>
            <w:vAlign w:val="center"/>
          </w:tcPr>
          <w:p>
            <w:pPr>
              <w:pStyle w:val="TableContents"/>
              <w:spacing w:before="0" w:after="283"/>
              <w:jc w:val="left"/>
              <w:rPr>
                <w:color w:val="58595B"/>
              </w:rPr>
            </w:pPr>
            <w:r>
              <w:rPr>
                <w:color w:val="58595B"/>
              </w:rPr>
              <w:t>—</w:t>
            </w:r>
          </w:p>
        </w:tc>
      </w:tr>
      <w:tr>
        <w:trPr/>
        <w:tc>
          <w:tcPr>
            <w:tcW w:w="5768" w:type="dxa"/>
            <w:tcBorders/>
            <w:shd w:fill="auto"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Termination for good reason following a change in control</w:t>
            </w:r>
          </w:p>
        </w:tc>
        <w:tc>
          <w:tcPr>
            <w:tcW w:w="1102" w:type="dxa"/>
            <w:tcBorders/>
            <w:shd w:fill="auto" w:val="clear"/>
            <w:vAlign w:val="center"/>
          </w:tcPr>
          <w:p>
            <w:pPr>
              <w:pStyle w:val="TableContents"/>
              <w:spacing w:before="0" w:after="283"/>
              <w:jc w:val="left"/>
              <w:rPr>
                <w:color w:val="58595B"/>
              </w:rPr>
            </w:pPr>
            <w:r>
              <w:rPr>
                <w:color w:val="58595B"/>
              </w:rPr>
              <w:t>—</w:t>
            </w:r>
          </w:p>
        </w:tc>
        <w:tc>
          <w:tcPr>
            <w:tcW w:w="1386" w:type="dxa"/>
            <w:tcBorders/>
            <w:shd w:fill="auto" w:val="clear"/>
            <w:vAlign w:val="center"/>
          </w:tcPr>
          <w:p>
            <w:pPr>
              <w:pStyle w:val="TableContents"/>
              <w:spacing w:before="0" w:after="283"/>
              <w:jc w:val="left"/>
              <w:rPr>
                <w:color w:val="58595B"/>
              </w:rPr>
            </w:pPr>
            <w:r>
              <w:rPr>
                <w:color w:val="58595B"/>
              </w:rPr>
              <w:t>—</w:t>
            </w:r>
          </w:p>
        </w:tc>
        <w:tc>
          <w:tcPr>
            <w:tcW w:w="1102" w:type="dxa"/>
            <w:tcBorders/>
            <w:shd w:fill="auto" w:val="clear"/>
            <w:vAlign w:val="center"/>
          </w:tcPr>
          <w:p>
            <w:pPr>
              <w:pStyle w:val="TableContents"/>
              <w:spacing w:before="0" w:after="283"/>
              <w:jc w:val="left"/>
              <w:rPr>
                <w:color w:val="58595B"/>
              </w:rPr>
            </w:pPr>
            <w:r>
              <w:rPr>
                <w:color w:val="58595B"/>
              </w:rPr>
              <w:t>—</w:t>
            </w:r>
          </w:p>
        </w:tc>
        <w:tc>
          <w:tcPr>
            <w:tcW w:w="847" w:type="dxa"/>
            <w:tcBorders/>
            <w:shd w:fill="auto" w:val="clear"/>
            <w:vAlign w:val="center"/>
          </w:tcPr>
          <w:p>
            <w:pPr>
              <w:pStyle w:val="TableContents"/>
              <w:spacing w:before="0" w:after="283"/>
              <w:jc w:val="left"/>
              <w:rPr>
                <w:color w:val="58595B"/>
              </w:rPr>
            </w:pPr>
            <w:r>
              <w:rPr>
                <w:color w:val="58595B"/>
              </w:rPr>
              <w:t>—</w:t>
            </w:r>
          </w:p>
        </w:tc>
      </w:tr>
      <w:tr>
        <w:trPr/>
        <w:tc>
          <w:tcPr>
            <w:tcW w:w="5768" w:type="dxa"/>
            <w:tcBorders/>
            <w:shd w:fill="DCDDDE" w:val="clear"/>
            <w:vAlign w:val="center"/>
          </w:tcPr>
          <w:p>
            <w:pPr>
              <w:pStyle w:val="TableContents"/>
              <w:spacing w:before="0" w:after="283"/>
              <w:jc w:val="left"/>
              <w:rPr>
                <w:rFonts w:ascii="Arial;Helvetica;Sans-Serif" w:hAnsi="Arial;Helvetica;Sans-Serif"/>
                <w:color w:val="58595B"/>
                <w:sz w:val="16"/>
              </w:rPr>
            </w:pPr>
            <w:r>
              <w:rPr>
                <w:rFonts w:ascii="Arial;Helvetica;Sans-Serif" w:hAnsi="Arial;Helvetica;Sans-Serif"/>
                <w:color w:val="58595B"/>
                <w:sz w:val="16"/>
              </w:rPr>
              <w:t>Change in control</w:t>
            </w:r>
          </w:p>
        </w:tc>
        <w:tc>
          <w:tcPr>
            <w:tcW w:w="1102" w:type="dxa"/>
            <w:tcBorders/>
            <w:shd w:fill="DCDDDE" w:val="clear"/>
            <w:vAlign w:val="center"/>
          </w:tcPr>
          <w:p>
            <w:pPr>
              <w:pStyle w:val="TableContents"/>
              <w:spacing w:before="0" w:after="283"/>
              <w:jc w:val="left"/>
              <w:rPr>
                <w:color w:val="58595B"/>
              </w:rPr>
            </w:pPr>
            <w:r>
              <w:rPr>
                <w:color w:val="58595B"/>
              </w:rPr>
              <w:t>—</w:t>
            </w:r>
          </w:p>
        </w:tc>
        <w:tc>
          <w:tcPr>
            <w:tcW w:w="1386" w:type="dxa"/>
            <w:tcBorders/>
            <w:shd w:fill="DCDDDE" w:val="clear"/>
            <w:vAlign w:val="center"/>
          </w:tcPr>
          <w:p>
            <w:pPr>
              <w:pStyle w:val="TableContents"/>
              <w:spacing w:before="0" w:after="283"/>
              <w:jc w:val="left"/>
              <w:rPr>
                <w:color w:val="58595B"/>
              </w:rPr>
            </w:pPr>
            <w:r>
              <w:rPr>
                <w:color w:val="58595B"/>
              </w:rPr>
              <w:t>—</w:t>
            </w:r>
          </w:p>
        </w:tc>
        <w:tc>
          <w:tcPr>
            <w:tcW w:w="1102" w:type="dxa"/>
            <w:tcBorders/>
            <w:shd w:fill="DCDDDE" w:val="clear"/>
            <w:vAlign w:val="center"/>
          </w:tcPr>
          <w:p>
            <w:pPr>
              <w:pStyle w:val="TableContents"/>
              <w:spacing w:before="0" w:after="283"/>
              <w:jc w:val="left"/>
              <w:rPr>
                <w:color w:val="58595B"/>
              </w:rPr>
            </w:pPr>
            <w:r>
              <w:rPr>
                <w:color w:val="58595B"/>
              </w:rPr>
              <w:t>—</w:t>
            </w:r>
          </w:p>
        </w:tc>
        <w:tc>
          <w:tcPr>
            <w:tcW w:w="847" w:type="dxa"/>
            <w:tcBorders/>
            <w:shd w:fill="DCDDDE" w:val="clear"/>
            <w:vAlign w:val="center"/>
          </w:tcPr>
          <w:p>
            <w:pPr>
              <w:pStyle w:val="TableContents"/>
              <w:spacing w:before="0" w:after="283"/>
              <w:jc w:val="left"/>
              <w:rPr>
                <w:color w:val="58595B"/>
              </w:rPr>
            </w:pPr>
            <w:r>
              <w:rPr>
                <w:color w:val="58595B"/>
              </w:rPr>
              <w:t>—</w:t>
            </w:r>
          </w:p>
        </w:tc>
      </w:tr>
    </w:tbl>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(1) </w:t>
      </w:r>
      <w:r>
        <w:rPr>
          <w:rFonts w:ascii="Arial;Helvetica;Sans-Serif" w:hAnsi="Arial;Helvetica;Sans-Serif"/>
          <w:b w:val="false"/>
          <w:i/>
          <w:caps w:val="false"/>
          <w:smallCaps w:val="false"/>
          <w:color w:val="58595B"/>
          <w:spacing w:val="-3"/>
          <w:sz w:val="16"/>
        </w:rPr>
        <w:t>For Mr. Clarke, represents 150% of his then-current annual base salary and any accrued vacation. For Ms. Vickery, Mr. Netto and Mr. King, represents six months of their then-current annual base salary.</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(2) </w:t>
      </w:r>
      <w:r>
        <w:rPr>
          <w:rFonts w:ascii="Arial;Helvetica;Sans-Serif" w:hAnsi="Arial;Helvetica;Sans-Serif"/>
          <w:b w:val="false"/>
          <w:i/>
          <w:caps w:val="false"/>
          <w:smallCaps w:val="false"/>
          <w:color w:val="58595B"/>
          <w:sz w:val="16"/>
        </w:rPr>
        <w:t>Under our 2010 Plan and the stock option, restricted share and restricted stock unit agreements with each named executive officer, all awards are subject to double trigger vesting in the event of a change in control. The value shown above represents the value of the unvested options, restricted shares and restricted stock units held by the named executive officers at December 30, 2022, assuming a value of $183.68 per share, the closing price of our common stock on the New York Stock Exchange on December 30, 2022 (the last business day of 2022), for which vesting would be accelerated. For options with an exercise price above the closing price of our common stock on December 30, 2022, accelerated vesting value was assumed as zero.</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(3) </w:t>
      </w:r>
      <w:r>
        <w:rPr>
          <w:rFonts w:ascii="Arial;Helvetica;Sans-Serif" w:hAnsi="Arial;Helvetica;Sans-Serif"/>
          <w:b w:val="false"/>
          <w:i/>
          <w:caps w:val="false"/>
          <w:smallCaps w:val="false"/>
          <w:color w:val="58595B"/>
          <w:spacing w:val="-3"/>
          <w:sz w:val="16"/>
        </w:rPr>
        <w:t>For Mr. Clarke, represents payment of medical, dental and vision benefits for 12 months. For Mr. Netto and Mr. King, represents the value of continuation of medical, dental and vision benefits for six months.</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(4) </w:t>
      </w:r>
      <w:r>
        <w:rPr>
          <w:rFonts w:ascii="Arial;Helvetica;Sans-Serif" w:hAnsi="Arial;Helvetica;Sans-Serif"/>
          <w:b w:val="false"/>
          <w:i/>
          <w:caps w:val="false"/>
          <w:smallCaps w:val="false"/>
          <w:color w:val="58595B"/>
          <w:sz w:val="16"/>
        </w:rPr>
        <w:t>As noted above, the Company does not hold an offer letter or other individual agreement with Ms. Vickery. For purposes of this disclosure, we have assumed that Ms. Vickery would receive cash severance compensation similar to other non-CEO named executive officers.</w:t>
      </w:r>
    </w:p>
    <w:p>
      <w:pPr>
        <w:pStyle w:val="TextBody"/>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(5) As Mr. Netto is based in Brazil, his cash compensation is denominated in Brazilian Real. All amounts for Mr. Netto have been converted to U.S. dollars at an average exchange rate of $1 to R$5.1535 for 2022. Potential payments to Mr. Netto include the assumed acceleration value of 35,000 performance-based stock options assuming a closing price of the Company’s common stock on the date awarded by the compensation committee.</w:t>
      </w:r>
    </w:p>
    <w:p>
      <w:pPr>
        <w:pStyle w:val="TextBody"/>
        <w:rPr>
          <w:caps w:val="false"/>
          <w:smallCaps w:val="false"/>
          <w:color w:val="58595B"/>
        </w:rPr>
      </w:pPr>
      <w:r>
        <w:rPr>
          <w:caps w:val="false"/>
          <w:smallCaps w:val="false"/>
          <w:color w:val="58595B"/>
        </w:rPr>
        <w:t> </w:t>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52</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06. </w:t>
      </w:r>
      <w:r>
        <w:rPr>
          <w:rFonts w:ascii="Arial;Helvetica;Sans-Serif" w:hAnsi="Arial;Helvetica;Sans-Serif"/>
          <w:b w:val="false"/>
          <w:i w:val="false"/>
          <w:caps w:val="false"/>
          <w:smallCaps w:val="false"/>
          <w:color w:val="EE0027"/>
          <w:sz w:val="20"/>
        </w:rPr>
        <w:t>2022 NAMED EXECUTIVE OFFICER COMPENSATION</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i w:val="false"/>
          <w:caps w:val="false"/>
          <w:smallCaps w:val="false"/>
          <w:color w:val="EE0027"/>
          <w:sz w:val="20"/>
        </w:rPr>
      </w:pPr>
      <w:bookmarkStart w:id="130" w:name="a076"/>
      <w:bookmarkEnd w:id="130"/>
      <w:r>
        <w:rPr>
          <w:rFonts w:ascii="Arial;Helvetica;Sans-Serif" w:hAnsi="Arial;Helvetica;Sans-Serif"/>
          <w:b/>
          <w:i w:val="false"/>
          <w:caps w:val="false"/>
          <w:smallCaps w:val="false"/>
          <w:color w:val="EE0027"/>
          <w:sz w:val="20"/>
        </w:rPr>
        <w:t>Officer Departures During 2022</w:t>
      </w:r>
    </w:p>
    <w:p>
      <w:pPr>
        <w:pStyle w:val="TextBody"/>
        <w:rPr>
          <w:caps w:val="false"/>
          <w:smallCaps w:val="false"/>
          <w:color w:val="EE0027"/>
        </w:rPr>
      </w:pPr>
      <w:r>
        <w:rPr>
          <w:caps w:val="false"/>
          <w:smallCaps w:val="false"/>
          <w:color w:val="EE0027"/>
        </w:rPr>
        <w:t> </w:t>
      </w:r>
    </w:p>
    <w:p>
      <w:pPr>
        <w:pStyle w:val="TextBody"/>
        <w:rPr>
          <w:rFonts w:ascii="Arial;Helvetica;Sans-Serif" w:hAnsi="Arial;Helvetica;Sans-Serif"/>
          <w:b w:val="false"/>
          <w:i w:val="false"/>
          <w:caps w:val="false"/>
          <w:smallCaps w:val="false"/>
          <w:color w:val="58595B"/>
          <w:spacing w:val="-3"/>
          <w:sz w:val="18"/>
        </w:rPr>
      </w:pPr>
      <w:r>
        <w:rPr>
          <w:rFonts w:ascii="Arial;Helvetica;Sans-Serif" w:hAnsi="Arial;Helvetica;Sans-Serif"/>
          <w:b w:val="false"/>
          <w:i w:val="false"/>
          <w:caps w:val="false"/>
          <w:smallCaps w:val="false"/>
          <w:color w:val="58595B"/>
          <w:spacing w:val="-3"/>
          <w:sz w:val="18"/>
        </w:rPr>
        <w:t>After their cessation of employment in 2022, each of Messrs. Coughlin, Gavrilenya and Freund continued to serve FLEETCOR in a consulting capacity to help ensure a smooth transition of their responsibilities. Messrs. Gavrilenya and Freund ceased such service on December 31, 2022, and Mr. Coughlin is expected to continue such service until May 1, 2023. During such consulting service, each such officer is or was eligible to exercise vested stock option awards, but did not receive any other compensation. As of December 31, 2022, such individuals held vested, “in-the-money” options with the following aggregate intrinsic values: (based on the Company’s closing stock price on December 30, 2022): $6,229,236 for Mr. Coughlin; $4,993,469 for Mr. Gavrilenya; and $0 for Mr. Freund. These officers did not receive any other compensation for their consulting services, nor did they receive severance compensation or benefits in connection with their separations from employment.</w:t>
      </w:r>
    </w:p>
    <w:p>
      <w:pPr>
        <w:pStyle w:val="TextBody"/>
        <w:rPr>
          <w:caps w:val="false"/>
          <w:smallCaps w:val="false"/>
          <w:color w:val="58595B"/>
        </w:rPr>
      </w:pPr>
      <w:r>
        <w:rPr>
          <w:caps w:val="false"/>
          <w:smallCaps w:val="false"/>
          <w:color w:val="58595B"/>
        </w:rPr>
        <w:t> </w:t>
      </w:r>
    </w:p>
    <w:p>
      <w:pPr>
        <w:pStyle w:val="TextBody"/>
        <w:spacing w:before="0" w:after="0"/>
        <w:rPr>
          <w:rFonts w:ascii="Times New Roman;Times;Serif" w:hAnsi="Times New Roman;Times;Serif"/>
          <w:b w:val="false"/>
          <w:i w:val="false"/>
          <w:caps w:val="false"/>
          <w:smallCaps w:val="false"/>
          <w:sz w:val="20"/>
        </w:rPr>
      </w:pPr>
      <w:bookmarkStart w:id="131" w:name="a077"/>
      <w:bookmarkEnd w:id="131"/>
      <w:r>
        <w:rPr>
          <w:rFonts w:ascii="Arial;Helvetica;Sans-Serif" w:hAnsi="Arial;Helvetica;Sans-Serif"/>
          <w:b/>
          <w:i w:val="false"/>
          <w:caps w:val="false"/>
          <w:smallCaps w:val="false"/>
          <w:color w:val="231F20"/>
          <w:spacing w:val="-5"/>
          <w:sz w:val="20"/>
        </w:rPr>
        <w:t xml:space="preserve">07. </w:t>
      </w:r>
      <w:r>
        <w:rPr>
          <w:rFonts w:ascii="Times New Roman;Times;Serif" w:hAnsi="Times New Roman;Times;Serif"/>
          <w:b w:val="false"/>
          <w:i w:val="false"/>
          <w:caps w:val="false"/>
          <w:smallCaps w:val="false"/>
          <w:color w:val="EE0027"/>
          <w:spacing w:val="3"/>
          <w:sz w:val="20"/>
        </w:rPr>
        <w:t> </w:t>
      </w:r>
      <w:r>
        <w:rPr>
          <w:rFonts w:ascii="Arial;Helvetica;Sans-Serif" w:hAnsi="Arial;Helvetica;Sans-Serif"/>
          <w:b w:val="false"/>
          <w:i w:val="false"/>
          <w:caps w:val="false"/>
          <w:smallCaps w:val="false"/>
          <w:color w:val="EE0027"/>
          <w:spacing w:val="3"/>
          <w:sz w:val="20"/>
        </w:rPr>
        <w:t>EQUITY COMPENSATION PLAN</w:t>
      </w:r>
      <w:r>
        <w:rPr>
          <w:rFonts w:ascii="Times New Roman;Times;Serif" w:hAnsi="Times New Roman;Times;Serif"/>
          <w:b w:val="false"/>
          <w:i w:val="false"/>
          <w:caps w:val="false"/>
          <w:smallCaps w:val="false"/>
          <w:sz w:val="20"/>
        </w:rPr>
        <w:t xml:space="preserve"> </w:t>
      </w:r>
      <w:r>
        <w:rPr>
          <w:rFonts w:ascii="Arial;Helvetica;Sans-Serif" w:hAnsi="Arial;Helvetica;Sans-Serif"/>
          <w:b w:val="false"/>
          <w:i w:val="false"/>
          <w:caps w:val="false"/>
          <w:smallCaps w:val="false"/>
          <w:color w:val="EE0027"/>
          <w:spacing w:val="4"/>
          <w:sz w:val="20"/>
        </w:rPr>
        <w:t>INFORMATION</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sets forth information, as of December 31, 2022, with respect to 2010 Plan, which is our only equity compensation plan under which common shares are authorized for issuance:</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4038"/>
        <w:gridCol w:w="1861"/>
        <w:gridCol w:w="2057"/>
        <w:gridCol w:w="2249"/>
      </w:tblGrid>
      <w:tr>
        <w:trPr/>
        <w:tc>
          <w:tcPr>
            <w:tcW w:w="4038" w:type="dxa"/>
            <w:tcBorders/>
            <w:shd w:fill="EE0027" w:val="clear"/>
            <w:vAlign w:val="center"/>
          </w:tcPr>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Plan Category</w:t>
            </w:r>
          </w:p>
        </w:tc>
        <w:tc>
          <w:tcPr>
            <w:tcW w:w="1861" w:type="dxa"/>
            <w:tcBorders/>
            <w:shd w:fill="EE0027" w:val="clear"/>
            <w:vAlign w:val="center"/>
          </w:tcPr>
          <w:p>
            <w:pPr>
              <w:pStyle w:val="TableContents"/>
              <w:spacing w:lineRule="auto" w:line="240" w:before="0" w:after="283"/>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 xml:space="preserve">Number of Securities to be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 xml:space="preserve">Issued Upon Exercise of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 xml:space="preserve">Outstanding Options,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Warrants and Rights (A) (1)</w:t>
            </w:r>
          </w:p>
        </w:tc>
        <w:tc>
          <w:tcPr>
            <w:tcW w:w="2057" w:type="dxa"/>
            <w:tcBorders/>
            <w:shd w:fill="EE0027" w:val="clear"/>
            <w:vAlign w:val="center"/>
          </w:tcPr>
          <w:p>
            <w:pPr>
              <w:pStyle w:val="TableContents"/>
              <w:spacing w:lineRule="auto" w:line="240" w:before="0" w:after="283"/>
              <w:jc w:val="left"/>
              <w:rPr>
                <w:rFonts w:ascii="Arial;Helvetica;Sans-Serif" w:hAnsi="Arial;Helvetica;Sans-Serif"/>
                <w:b w:val="false"/>
                <w:i w:val="false"/>
                <w:caps w:val="false"/>
                <w:smallCaps w:val="false"/>
                <w:color w:val="FFFFFF"/>
                <w:sz w:val="16"/>
              </w:rPr>
            </w:pPr>
            <w:r>
              <w:rPr>
                <w:rFonts w:ascii="Arial;Helvetica;Sans-Serif" w:hAnsi="Arial;Helvetica;Sans-Serif"/>
                <w:b/>
                <w:i w:val="false"/>
                <w:caps w:val="false"/>
                <w:smallCaps w:val="false"/>
                <w:color w:val="FFFFFF"/>
                <w:sz w:val="16"/>
              </w:rPr>
              <w:t xml:space="preserve">Weighted Average Exercise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 xml:space="preserve">Price of Outstanding Options, </w:t>
            </w:r>
            <w:r>
              <w:rPr>
                <w:rFonts w:ascii="Arial;Helvetica;Sans-Serif" w:hAnsi="Arial;Helvetica;Sans-Serif"/>
                <w:b w:val="false"/>
                <w:i w:val="false"/>
                <w:caps w:val="false"/>
                <w:smallCaps w:val="false"/>
                <w:color w:val="FFFFFF"/>
                <w:sz w:val="16"/>
              </w:rPr>
              <w:br/>
            </w:r>
            <w:r>
              <w:rPr>
                <w:rFonts w:ascii="Arial;Helvetica;Sans-Serif" w:hAnsi="Arial;Helvetica;Sans-Serif"/>
                <w:b/>
                <w:i w:val="false"/>
                <w:caps w:val="false"/>
                <w:smallCaps w:val="false"/>
                <w:color w:val="FFFFFF"/>
                <w:sz w:val="16"/>
              </w:rPr>
              <w:t>Warrants and Rights (B) (2)</w:t>
            </w:r>
          </w:p>
        </w:tc>
        <w:tc>
          <w:tcPr>
            <w:tcW w:w="2249" w:type="dxa"/>
            <w:tcBorders/>
            <w:shd w:fill="EE0027" w:val="clear"/>
            <w:vAlign w:val="center"/>
          </w:tcPr>
          <w:p>
            <w:pPr>
              <w:pStyle w:val="TableContents"/>
              <w:spacing w:lineRule="auto" w:line="240" w:before="0" w:after="283"/>
              <w:jc w:val="left"/>
              <w:rPr/>
            </w:pPr>
            <w:r>
              <w:rPr>
                <w:rFonts w:ascii="Arial;Helvetica;Sans-Serif" w:hAnsi="Arial;Helvetica;Sans-Serif"/>
                <w:b/>
                <w:color w:val="FFFFFF"/>
                <w:sz w:val="16"/>
              </w:rPr>
              <w:t xml:space="preserve">Number of Securities Remaining </w:t>
            </w:r>
            <w:r>
              <w:rPr>
                <w:rFonts w:ascii="Arial;Helvetica;Sans-Serif" w:hAnsi="Arial;Helvetica;Sans-Serif"/>
                <w:sz w:val="16"/>
              </w:rPr>
              <w:br/>
            </w:r>
            <w:r>
              <w:rPr>
                <w:rFonts w:ascii="Arial;Helvetica;Sans-Serif" w:hAnsi="Arial;Helvetica;Sans-Serif"/>
                <w:b/>
                <w:color w:val="FFFFFF"/>
                <w:sz w:val="16"/>
              </w:rPr>
              <w:t xml:space="preserve">Available for Future Issuance </w:t>
            </w:r>
            <w:r>
              <w:rPr>
                <w:rFonts w:ascii="Arial;Helvetica;Sans-Serif" w:hAnsi="Arial;Helvetica;Sans-Serif"/>
                <w:sz w:val="16"/>
              </w:rPr>
              <w:br/>
            </w:r>
            <w:r>
              <w:rPr>
                <w:rFonts w:ascii="Arial;Helvetica;Sans-Serif" w:hAnsi="Arial;Helvetica;Sans-Serif"/>
                <w:b/>
                <w:color w:val="FFFFFF"/>
                <w:sz w:val="16"/>
              </w:rPr>
              <w:t xml:space="preserve">Under Equity Compensation </w:t>
            </w:r>
            <w:r>
              <w:rPr>
                <w:rFonts w:ascii="Arial;Helvetica;Sans-Serif" w:hAnsi="Arial;Helvetica;Sans-Serif"/>
                <w:sz w:val="16"/>
              </w:rPr>
              <w:br/>
            </w:r>
            <w:r>
              <w:rPr>
                <w:rFonts w:ascii="Arial;Helvetica;Sans-Serif" w:hAnsi="Arial;Helvetica;Sans-Serif"/>
                <w:b/>
                <w:color w:val="FFFFFF"/>
                <w:sz w:val="16"/>
              </w:rPr>
              <w:t xml:space="preserve">Plans (Excluding Securities </w:t>
            </w:r>
            <w:r>
              <w:rPr>
                <w:rFonts w:ascii="Arial;Helvetica;Sans-Serif" w:hAnsi="Arial;Helvetica;Sans-Serif"/>
                <w:sz w:val="16"/>
              </w:rPr>
              <w:br/>
            </w:r>
            <w:r>
              <w:rPr>
                <w:rFonts w:ascii="Arial;Helvetica;Sans-Serif" w:hAnsi="Arial;Helvetica;Sans-Serif"/>
                <w:b/>
                <w:color w:val="FFFFFF"/>
                <w:sz w:val="16"/>
              </w:rPr>
              <w:t>Reflected in Column (A)) (C) (3)</w:t>
            </w:r>
          </w:p>
        </w:tc>
      </w:tr>
      <w:tr>
        <w:trPr/>
        <w:tc>
          <w:tcPr>
            <w:tcW w:w="4038"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 xml:space="preserve">Equity Compensation Plans </w:t>
            </w:r>
            <w:r>
              <w:rPr>
                <w:rFonts w:ascii="Arial;Helvetica;Sans-Serif" w:hAnsi="Arial;Helvetica;Sans-Serif"/>
                <w:b w:val="false"/>
                <w:i w:val="false"/>
                <w:caps w:val="false"/>
                <w:smallCaps w:val="false"/>
                <w:color w:val="231F20"/>
                <w:spacing w:val="-5"/>
                <w:sz w:val="18"/>
              </w:rPr>
              <w:t xml:space="preserve">Approved </w:t>
            </w:r>
            <w:r>
              <w:rPr>
                <w:rFonts w:ascii="Arial;Helvetica;Sans-Serif" w:hAnsi="Arial;Helvetica;Sans-Serif"/>
                <w:b w:val="false"/>
                <w:i w:val="false"/>
                <w:caps w:val="false"/>
                <w:smallCaps w:val="false"/>
                <w:color w:val="231F20"/>
                <w:spacing w:val="-3"/>
                <w:sz w:val="18"/>
              </w:rPr>
              <w:t xml:space="preserve">by </w:t>
            </w:r>
            <w:r>
              <w:rPr>
                <w:rFonts w:ascii="Arial;Helvetica;Sans-Serif" w:hAnsi="Arial;Helvetica;Sans-Serif"/>
                <w:b w:val="false"/>
                <w:i w:val="false"/>
                <w:caps w:val="false"/>
                <w:smallCaps w:val="false"/>
                <w:color w:val="231F20"/>
                <w:spacing w:val="-4"/>
                <w:sz w:val="18"/>
              </w:rPr>
              <w:t>Security Holders</w:t>
            </w:r>
          </w:p>
        </w:tc>
        <w:tc>
          <w:tcPr>
            <w:tcW w:w="1861"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5,765,804</w:t>
            </w:r>
          </w:p>
        </w:tc>
        <w:tc>
          <w:tcPr>
            <w:tcW w:w="2057"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$188.12</w:t>
            </w:r>
          </w:p>
        </w:tc>
        <w:tc>
          <w:tcPr>
            <w:tcW w:w="2249"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4,614,377</w:t>
            </w:r>
          </w:p>
        </w:tc>
      </w:tr>
      <w:tr>
        <w:trPr/>
        <w:tc>
          <w:tcPr>
            <w:tcW w:w="4038" w:type="dxa"/>
            <w:tcBorders/>
            <w:shd w:fill="DDDCDC" w:val="clear"/>
            <w:vAlign w:val="center"/>
          </w:tcPr>
          <w:p>
            <w:pPr>
              <w:pStyle w:val="TableContents"/>
              <w:spacing w:before="0" w:after="283"/>
              <w:jc w:val="left"/>
              <w:rPr>
                <w:rFonts w:ascii="Arial;Helvetica;Sans-Serif" w:hAnsi="Arial;Helvetica;Sans-Serif"/>
                <w:color w:val="231F20"/>
                <w:sz w:val="18"/>
              </w:rPr>
            </w:pPr>
            <w:r>
              <w:rPr>
                <w:rFonts w:ascii="Arial;Helvetica;Sans-Serif" w:hAnsi="Arial;Helvetica;Sans-Serif"/>
                <w:color w:val="231F20"/>
                <w:sz w:val="18"/>
              </w:rPr>
              <w:t>Equity Compensation Plans Not Approved by Security Holders</w:t>
            </w:r>
          </w:p>
        </w:tc>
        <w:tc>
          <w:tcPr>
            <w:tcW w:w="1861" w:type="dxa"/>
            <w:tcBorders/>
            <w:shd w:fill="DDDCDC"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2057" w:type="dxa"/>
            <w:tcBorders/>
            <w:shd w:fill="DDDCDC" w:val="clear"/>
            <w:vAlign w:val="center"/>
          </w:tcPr>
          <w:p>
            <w:pPr>
              <w:pStyle w:val="TableContents"/>
              <w:spacing w:before="0" w:after="283"/>
              <w:jc w:val="left"/>
              <w:rPr>
                <w:caps w:val="false"/>
                <w:smallCaps w:val="false"/>
                <w:color w:val="58595B"/>
              </w:rPr>
            </w:pPr>
            <w:r>
              <w:rPr>
                <w:caps w:val="false"/>
                <w:smallCaps w:val="false"/>
                <w:color w:val="58595B"/>
              </w:rPr>
              <w:t>—</w:t>
            </w:r>
          </w:p>
        </w:tc>
        <w:tc>
          <w:tcPr>
            <w:tcW w:w="2249" w:type="dxa"/>
            <w:tcBorders/>
            <w:shd w:fill="DDDCDC" w:val="clear"/>
            <w:vAlign w:val="center"/>
          </w:tcPr>
          <w:p>
            <w:pPr>
              <w:pStyle w:val="TableContents"/>
              <w:spacing w:before="0" w:after="283"/>
              <w:jc w:val="left"/>
              <w:rPr>
                <w:caps w:val="false"/>
                <w:smallCaps w:val="false"/>
                <w:color w:val="58595B"/>
              </w:rPr>
            </w:pPr>
            <w:r>
              <w:rPr>
                <w:caps w:val="false"/>
                <w:smallCaps w:val="false"/>
                <w:color w:val="58595B"/>
              </w:rPr>
              <w:t>—</w:t>
            </w:r>
          </w:p>
        </w:tc>
      </w:tr>
      <w:tr>
        <w:trPr/>
        <w:tc>
          <w:tcPr>
            <w:tcW w:w="4038" w:type="dxa"/>
            <w:tcBorders/>
            <w:shd w:fill="auto" w:val="clear"/>
            <w:vAlign w:val="center"/>
          </w:tcPr>
          <w:p>
            <w:pPr>
              <w:pStyle w:val="TableContents"/>
              <w:spacing w:before="0" w:after="283"/>
              <w:jc w:val="left"/>
              <w:rPr>
                <w:rFonts w:ascii="Arial;Helvetica;Sans-Serif" w:hAnsi="Arial;Helvetica;Sans-Serif"/>
                <w:color w:val="231F20"/>
                <w:sz w:val="18"/>
              </w:rPr>
            </w:pPr>
            <w:r>
              <w:rPr>
                <w:rFonts w:ascii="Arial;Helvetica;Sans-Serif" w:hAnsi="Arial;Helvetica;Sans-Serif"/>
                <w:color w:val="231F20"/>
                <w:sz w:val="18"/>
              </w:rPr>
              <w:t>Total</w:t>
            </w:r>
          </w:p>
        </w:tc>
        <w:tc>
          <w:tcPr>
            <w:tcW w:w="1861"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5,765,804</w:t>
            </w:r>
          </w:p>
        </w:tc>
        <w:tc>
          <w:tcPr>
            <w:tcW w:w="2057"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$188.12</w:t>
            </w:r>
          </w:p>
        </w:tc>
        <w:tc>
          <w:tcPr>
            <w:tcW w:w="2249"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4,614,377</w:t>
            </w:r>
          </w:p>
        </w:tc>
      </w:tr>
    </w:tbl>
    <w:p>
      <w:pPr>
        <w:pStyle w:val="TextBody"/>
        <w:rPr>
          <w:caps w:val="false"/>
          <w:smallCaps w:val="false"/>
        </w:rPr>
      </w:pPr>
      <w:r>
        <w:rPr>
          <w:caps w:val="false"/>
          <w:smallCaps w:val="false"/>
        </w:rPr>
        <w:t> </w:t>
      </w:r>
    </w:p>
    <w:p>
      <w:pPr>
        <w:pStyle w:val="TextBody"/>
        <w:spacing w:before="0" w:after="0"/>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(1) </w:t>
      </w:r>
      <w:r>
        <w:rPr>
          <w:rFonts w:ascii="Arial;Helvetica;Sans-Serif" w:hAnsi="Arial;Helvetica;Sans-Serif"/>
          <w:b w:val="false"/>
          <w:i/>
          <w:caps w:val="false"/>
          <w:smallCaps w:val="false"/>
          <w:color w:val="58595B"/>
          <w:sz w:val="16"/>
        </w:rPr>
        <w:t>Includes performance-based awards assuming the maximum level of performance, which may overstate the dilution associated with such awards.</w:t>
      </w:r>
    </w:p>
    <w:p>
      <w:pPr>
        <w:pStyle w:val="TextBody"/>
        <w:spacing w:before="0" w:after="0"/>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(2) </w:t>
      </w:r>
      <w:r>
        <w:rPr>
          <w:rFonts w:ascii="Arial;Helvetica;Sans-Serif" w:hAnsi="Arial;Helvetica;Sans-Serif"/>
          <w:b w:val="false"/>
          <w:i/>
          <w:caps w:val="false"/>
          <w:smallCaps w:val="false"/>
          <w:color w:val="58595B"/>
          <w:sz w:val="16"/>
        </w:rPr>
        <w:t>The weighted-average exercise price relates to outstanding stock options only. The Company’s restricted share and restricted stock unit awards have no exercise price.</w:t>
      </w:r>
    </w:p>
    <w:p>
      <w:pPr>
        <w:pStyle w:val="TextBody"/>
        <w:spacing w:before="0" w:after="0"/>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(3) </w:t>
      </w:r>
      <w:r>
        <w:rPr>
          <w:rFonts w:ascii="Arial;Helvetica;Sans-Serif" w:hAnsi="Arial;Helvetica;Sans-Serif"/>
          <w:b w:val="false"/>
          <w:i/>
          <w:caps w:val="false"/>
          <w:smallCaps w:val="false"/>
          <w:color w:val="58595B"/>
          <w:sz w:val="16"/>
        </w:rPr>
        <w:t>All of the shares available under the 2010 Plan may be issued for awards other than options, warrants or rights, such as restricted stock.</w:t>
      </w:r>
    </w:p>
    <w:p>
      <w:pPr>
        <w:pStyle w:val="TextBody"/>
        <w:rPr>
          <w:caps w:val="false"/>
          <w:smallCaps w:val="false"/>
        </w:rPr>
      </w:pPr>
      <w:r>
        <w:rPr>
          <w:caps w:val="false"/>
          <w:smallCaps w:val="false"/>
        </w:rPr>
        <w:t> </w:t>
      </w:r>
    </w:p>
    <w:p>
      <w:pPr>
        <w:pStyle w:val="TextBody"/>
        <w:spacing w:before="0" w:after="0"/>
        <w:rPr/>
      </w:pPr>
      <w:r>
        <w:rPr/>
      </w:r>
      <w:r>
        <mc:AlternateContent>
          <mc:Choice Requires="wps">
            <w:drawing>
              <wp:anchor behindDoc="0" distT="0" distB="0" distL="0" distR="0" simplePos="0" locked="0" layoutInCell="1" allowOverlap="1" relativeHeight="76">
                <wp:simplePos x="0" y="0"/>
                <wp:positionH relativeFrom="column">
                  <wp:align>left</wp:align>
                </wp:positionH>
                <wp:positionV relativeFrom="line">
                  <wp:posOffset>635</wp:posOffset>
                </wp:positionV>
                <wp:extent cx="3110230" cy="4041775"/>
                <wp:effectExtent l="0" t="0" r="0" b="0"/>
                <wp:wrapSquare wrapText="largest"/>
                <wp:docPr id="427" name="Frame70"/>
                <a:graphic xmlns:a="http://schemas.openxmlformats.org/drawingml/2006/main">
                  <a:graphicData uri="http://schemas.microsoft.com/office/word/2010/wordprocessingShape">
                    <wps:wsp>
                      <wps:cNvSpPr txBox="1"/>
                      <wps:spPr>
                        <a:xfrm>
                          <a:off x="0" y="0"/>
                          <a:ext cx="3110230" cy="4041775"/>
                        </a:xfrm>
                        <a:prstGeom prst="rect"/>
                      </wps:spPr>
                      <wps:txbx>
                        <w:txbxContent>
                          <w:p>
                            <w:pPr>
                              <w:pStyle w:val="TextBody"/>
                              <w:spacing w:before="0" w:after="0"/>
                              <w:rPr>
                                <w:rFonts w:ascii="Times New Roman;Times;Serif" w:hAnsi="Times New Roman;Times;Serif"/>
                                <w:b w:val="false"/>
                                <w:i w:val="false"/>
                                <w:caps w:val="false"/>
                                <w:smallCaps w:val="false"/>
                                <w:sz w:val="20"/>
                              </w:rPr>
                            </w:pPr>
                            <w:bookmarkStart w:id="132" w:name="a078"/>
                            <w:bookmarkEnd w:id="132"/>
                            <w:r>
                              <w:rPr>
                                <w:rFonts w:ascii="Arial;Helvetica;Sans-Serif" w:hAnsi="Arial;Helvetica;Sans-Serif"/>
                                <w:b/>
                                <w:i w:val="false"/>
                                <w:caps w:val="false"/>
                                <w:smallCaps w:val="false"/>
                                <w:color w:val="231F20"/>
                                <w:spacing w:val="-5"/>
                                <w:sz w:val="20"/>
                              </w:rPr>
                              <w:t xml:space="preserve">08. </w:t>
                            </w:r>
                            <w:r>
                              <w:rPr>
                                <w:rFonts w:ascii="Arial;Helvetica;Sans-Serif" w:hAnsi="Arial;Helvetica;Sans-Serif"/>
                                <w:b w:val="false"/>
                                <w:i w:val="false"/>
                                <w:caps w:val="false"/>
                                <w:smallCaps w:val="false"/>
                                <w:color w:val="EE0027"/>
                                <w:spacing w:val="3"/>
                                <w:sz w:val="20"/>
                              </w:rPr>
                              <w:t xml:space="preserve">COMPENSATION </w:t>
                            </w:r>
                            <w:r>
                              <w:rPr>
                                <w:rFonts w:ascii="Arial;Helvetica;Sans-Serif" w:hAnsi="Arial;Helvetica;Sans-Serif"/>
                                <w:b w:val="false"/>
                                <w:i w:val="false"/>
                                <w:caps w:val="false"/>
                                <w:smallCaps w:val="false"/>
                                <w:color w:val="EE0027"/>
                                <w:spacing w:val="4"/>
                                <w:sz w:val="20"/>
                              </w:rPr>
                              <w:t xml:space="preserve">COMMITTEE </w:t>
                            </w:r>
                            <w:r>
                              <w:rPr>
                                <w:rFonts w:ascii="Arial;Helvetica;Sans-Serif" w:hAnsi="Arial;Helvetica;Sans-Serif"/>
                                <w:b w:val="false"/>
                                <w:i w:val="false"/>
                                <w:caps w:val="false"/>
                                <w:smallCaps w:val="false"/>
                                <w:color w:val="EE0027"/>
                                <w:spacing w:val="3"/>
                                <w:sz w:val="20"/>
                              </w:rPr>
                              <w:t>REPORT</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compensation committee has reviewed and discussed with management the Compensation Discussion and Analysis provided above. Based on its review and discussions, the committee recommended to the Board that the Compensation Discussion and Analysis be included in this </w:t>
                            </w:r>
                            <w:r>
                              <w:rPr>
                                <w:rFonts w:ascii="Arial;Helvetica;Sans-Serif" w:hAnsi="Arial;Helvetica;Sans-Serif"/>
                                <w:b w:val="false"/>
                                <w:i w:val="false"/>
                                <w:caps w:val="false"/>
                                <w:smallCaps w:val="false"/>
                                <w:color w:val="58595B"/>
                                <w:spacing w:val="-3"/>
                                <w:sz w:val="18"/>
                              </w:rPr>
                              <w:t xml:space="preserve">Proxy </w:t>
                            </w:r>
                            <w:r>
                              <w:rPr>
                                <w:rFonts w:ascii="Arial;Helvetica;Sans-Serif" w:hAnsi="Arial;Helvetica;Sans-Serif"/>
                                <w:b w:val="false"/>
                                <w:i w:val="false"/>
                                <w:caps w:val="false"/>
                                <w:smallCaps w:val="false"/>
                                <w:color w:val="58595B"/>
                                <w:sz w:val="18"/>
                              </w:rPr>
                              <w:t xml:space="preserve">Statement and in our Annual Report on </w:t>
                            </w:r>
                            <w:r>
                              <w:rPr>
                                <w:rFonts w:ascii="Arial;Helvetica;Sans-Serif" w:hAnsi="Arial;Helvetica;Sans-Serif"/>
                                <w:b w:val="false"/>
                                <w:i w:val="false"/>
                                <w:caps w:val="false"/>
                                <w:smallCaps w:val="false"/>
                                <w:color w:val="58595B"/>
                                <w:spacing w:val="-3"/>
                                <w:sz w:val="18"/>
                              </w:rPr>
                              <w:t xml:space="preserve">Form </w:t>
                            </w:r>
                            <w:r>
                              <w:rPr>
                                <w:rFonts w:ascii="Arial;Helvetica;Sans-Serif" w:hAnsi="Arial;Helvetica;Sans-Serif"/>
                                <w:b w:val="false"/>
                                <w:i w:val="false"/>
                                <w:caps w:val="false"/>
                                <w:smallCaps w:val="false"/>
                                <w:color w:val="58595B"/>
                                <w:sz w:val="18"/>
                              </w:rPr>
                              <w:t>10-K for the fiscal year ended December 31, 2022.</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Compensation Committee</w:t>
                            </w:r>
                          </w:p>
                          <w:p>
                            <w:pPr>
                              <w:pStyle w:val="TextBody"/>
                              <w:rPr>
                                <w:caps w:val="false"/>
                                <w:smallCaps w:val="false"/>
                                <w:color w:val="231F20"/>
                              </w:rPr>
                            </w:pPr>
                            <w:r>
                              <w:rPr>
                                <w:caps w:val="false"/>
                                <w:smallCaps w:val="false"/>
                                <w:color w:val="231F20"/>
                              </w:rPr>
                              <w:t> </w:t>
                            </w:r>
                          </w:p>
                          <w:tbl>
                            <w:tblPr>
                              <w:tblW w:w="2443" w:type="dxa"/>
                              <w:jc w:val="left"/>
                              <w:tblInd w:w="0" w:type="dxa"/>
                              <w:tblCellMar>
                                <w:top w:w="0" w:type="dxa"/>
                                <w:left w:w="0" w:type="dxa"/>
                                <w:bottom w:w="0" w:type="dxa"/>
                                <w:right w:w="0" w:type="dxa"/>
                              </w:tblCellMar>
                            </w:tblPr>
                            <w:tblGrid>
                              <w:gridCol w:w="38"/>
                              <w:gridCol w:w="165"/>
                              <w:gridCol w:w="224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28"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8" name="Image211" descr=""/>
                                                <pic:cNvPicPr>
                                                  <a:picLocks noChangeAspect="1" noChangeArrowheads="1"/>
                                                </pic:cNvPicPr>
                                              </pic:nvPicPr>
                                              <pic:blipFill>
                                                <a:blip r:embed="rId212"/>
                                                <a:stretch>
                                                  <a:fillRect/>
                                                </a:stretch>
                                              </pic:blipFill>
                                              <pic:spPr bwMode="auto">
                                                <a:xfrm>
                                                  <a:off x="0" y="0"/>
                                                  <a:ext cx="104775" cy="85725"/>
                                                </a:xfrm>
                                                <a:prstGeom prst="rect">
                                                  <a:avLst/>
                                                </a:prstGeom>
                                              </pic:spPr>
                                            </pic:pic>
                                          </a:graphicData>
                                        </a:graphic>
                                      </wp:inline>
                                    </w:drawing>
                                  </w:r>
                                </w:p>
                              </w:tc>
                              <w:tc>
                                <w:tcPr>
                                  <w:tcW w:w="224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Thomas M. Hagerty (Chair)</w:t>
                                  </w:r>
                                </w:p>
                              </w:tc>
                            </w:tr>
                          </w:tbl>
                          <w:tbl>
                            <w:tblPr>
                              <w:tblW w:w="1719" w:type="dxa"/>
                              <w:jc w:val="left"/>
                              <w:tblInd w:w="0" w:type="dxa"/>
                              <w:tblCellMar>
                                <w:top w:w="0" w:type="dxa"/>
                                <w:left w:w="0" w:type="dxa"/>
                                <w:bottom w:w="0" w:type="dxa"/>
                                <w:right w:w="0" w:type="dxa"/>
                              </w:tblCellMar>
                            </w:tblPr>
                            <w:tblGrid>
                              <w:gridCol w:w="38"/>
                              <w:gridCol w:w="165"/>
                              <w:gridCol w:w="1516"/>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29"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 name="Image212" descr=""/>
                                                <pic:cNvPicPr>
                                                  <a:picLocks noChangeAspect="1" noChangeArrowheads="1"/>
                                                </pic:cNvPicPr>
                                              </pic:nvPicPr>
                                              <pic:blipFill>
                                                <a:blip r:embed="rId213"/>
                                                <a:stretch>
                                                  <a:fillRect/>
                                                </a:stretch>
                                              </pic:blipFill>
                                              <pic:spPr bwMode="auto">
                                                <a:xfrm>
                                                  <a:off x="0" y="0"/>
                                                  <a:ext cx="104775" cy="85725"/>
                                                </a:xfrm>
                                                <a:prstGeom prst="rect">
                                                  <a:avLst/>
                                                </a:prstGeom>
                                              </pic:spPr>
                                            </pic:pic>
                                          </a:graphicData>
                                        </a:graphic>
                                      </wp:inline>
                                    </w:drawing>
                                  </w:r>
                                </w:p>
                              </w:tc>
                              <w:tc>
                                <w:tcPr>
                                  <w:tcW w:w="1516"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Joseph </w:t>
                                  </w:r>
                                  <w:r>
                                    <w:rPr>
                                      <w:rFonts w:ascii="Arial;Helvetica;Sans-Serif" w:hAnsi="Arial;Helvetica;Sans-Serif"/>
                                      <w:color w:val="58595B"/>
                                      <w:spacing w:val="-6"/>
                                      <w:sz w:val="18"/>
                                    </w:rPr>
                                    <w:t xml:space="preserve">W. </w:t>
                                  </w:r>
                                  <w:r>
                                    <w:rPr>
                                      <w:rFonts w:ascii="Arial;Helvetica;Sans-Serif" w:hAnsi="Arial;Helvetica;Sans-Serif"/>
                                      <w:color w:val="58595B"/>
                                      <w:spacing w:val="-4"/>
                                      <w:sz w:val="18"/>
                                    </w:rPr>
                                    <w:t>Farrelly</w:t>
                                  </w:r>
                                </w:p>
                              </w:tc>
                            </w:tr>
                          </w:tbl>
                          <w:tbl>
                            <w:tblPr>
                              <w:tblW w:w="1873" w:type="dxa"/>
                              <w:jc w:val="left"/>
                              <w:tblInd w:w="0" w:type="dxa"/>
                              <w:tblCellMar>
                                <w:top w:w="0" w:type="dxa"/>
                                <w:left w:w="0" w:type="dxa"/>
                                <w:bottom w:w="0" w:type="dxa"/>
                                <w:right w:w="0" w:type="dxa"/>
                              </w:tblCellMar>
                            </w:tblPr>
                            <w:tblGrid>
                              <w:gridCol w:w="38"/>
                              <w:gridCol w:w="165"/>
                              <w:gridCol w:w="16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30"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 name="Image213" descr=""/>
                                                <pic:cNvPicPr>
                                                  <a:picLocks noChangeAspect="1" noChangeArrowheads="1"/>
                                                </pic:cNvPicPr>
                                              </pic:nvPicPr>
                                              <pic:blipFill>
                                                <a:blip r:embed="rId214"/>
                                                <a:stretch>
                                                  <a:fillRect/>
                                                </a:stretch>
                                              </pic:blipFill>
                                              <pic:spPr bwMode="auto">
                                                <a:xfrm>
                                                  <a:off x="0" y="0"/>
                                                  <a:ext cx="104775" cy="85725"/>
                                                </a:xfrm>
                                                <a:prstGeom prst="rect">
                                                  <a:avLst/>
                                                </a:prstGeom>
                                              </pic:spPr>
                                            </pic:pic>
                                          </a:graphicData>
                                        </a:graphic>
                                      </wp:inline>
                                    </w:drawing>
                                  </w:r>
                                </w:p>
                              </w:tc>
                              <w:tc>
                                <w:tcPr>
                                  <w:tcW w:w="167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Hala G. Moddelmog</w:t>
                                  </w:r>
                                </w:p>
                              </w:tc>
                            </w:tr>
                          </w:tbl>
                          <w:tbl>
                            <w:tblPr>
                              <w:tblW w:w="1386" w:type="dxa"/>
                              <w:jc w:val="left"/>
                              <w:tblInd w:w="0" w:type="dxa"/>
                              <w:tblCellMar>
                                <w:top w:w="0" w:type="dxa"/>
                                <w:left w:w="0" w:type="dxa"/>
                                <w:bottom w:w="0" w:type="dxa"/>
                                <w:right w:w="0" w:type="dxa"/>
                              </w:tblCellMar>
                            </w:tblPr>
                            <w:tblGrid>
                              <w:gridCol w:w="38"/>
                              <w:gridCol w:w="165"/>
                              <w:gridCol w:w="1183"/>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31"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 name="Image214" descr=""/>
                                                <pic:cNvPicPr>
                                                  <a:picLocks noChangeAspect="1" noChangeArrowheads="1"/>
                                                </pic:cNvPicPr>
                                              </pic:nvPicPr>
                                              <pic:blipFill>
                                                <a:blip r:embed="rId215"/>
                                                <a:stretch>
                                                  <a:fillRect/>
                                                </a:stretch>
                                              </pic:blipFill>
                                              <pic:spPr bwMode="auto">
                                                <a:xfrm>
                                                  <a:off x="0" y="0"/>
                                                  <a:ext cx="104775" cy="85725"/>
                                                </a:xfrm>
                                                <a:prstGeom prst="rect">
                                                  <a:avLst/>
                                                </a:prstGeom>
                                              </pic:spPr>
                                            </pic:pic>
                                          </a:graphicData>
                                        </a:graphic>
                                      </wp:inline>
                                    </w:drawing>
                                  </w:r>
                                </w:p>
                              </w:tc>
                              <w:tc>
                                <w:tcPr>
                                  <w:tcW w:w="1183" w:type="dxa"/>
                                  <w:tcBorders/>
                                  <w:shd w:fill="auto" w:val="clear"/>
                                  <w:vAlign w:val="center"/>
                                </w:tcPr>
                                <w:p>
                                  <w:pPr>
                                    <w:pStyle w:val="TableContents"/>
                                    <w:spacing w:before="0" w:after="283"/>
                                    <w:jc w:val="left"/>
                                    <w:rPr/>
                                  </w:pPr>
                                  <w:r>
                                    <w:rPr>
                                      <w:rFonts w:ascii="Arial;Helvetica;Sans-Serif" w:hAnsi="Arial;Helvetica;Sans-Serif"/>
                                      <w:color w:val="58595B"/>
                                      <w:spacing w:val="-3"/>
                                      <w:sz w:val="18"/>
                                    </w:rPr>
                                    <w:t xml:space="preserve">Steven </w:t>
                                  </w:r>
                                  <w:r>
                                    <w:rPr>
                                      <w:rFonts w:ascii="Arial;Helvetica;Sans-Serif" w:hAnsi="Arial;Helvetica;Sans-Serif"/>
                                      <w:color w:val="58595B"/>
                                      <w:spacing w:val="-7"/>
                                      <w:sz w:val="18"/>
                                    </w:rPr>
                                    <w:t xml:space="preserve">T. </w:t>
                                  </w:r>
                                  <w:r>
                                    <w:rPr>
                                      <w:rFonts w:ascii="Arial;Helvetica;Sans-Serif" w:hAnsi="Arial;Helvetica;Sans-Serif"/>
                                      <w:color w:val="58595B"/>
                                      <w:sz w:val="18"/>
                                    </w:rPr>
                                    <w:t>Stull</w:t>
                                  </w:r>
                                </w:p>
                              </w:tc>
                            </w:tr>
                          </w:tbl>
                          <w:p>
                            <w:pPr>
                              <w:pStyle w:val="TextBody"/>
                              <w:spacing w:before="0" w:after="283"/>
                              <w:rPr>
                                <w:caps w:val="false"/>
                                <w:smallCaps w:val="false"/>
                              </w:rPr>
                            </w:pPr>
                            <w:r>
                              <w:rPr>
                                <w:caps w:val="false"/>
                                <w:smallCaps w:val="false"/>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18.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rFonts w:ascii="Times New Roman;Times;Serif" w:hAnsi="Times New Roman;Times;Serif"/>
                          <w:b w:val="false"/>
                          <w:i w:val="false"/>
                          <w:caps w:val="false"/>
                          <w:smallCaps w:val="false"/>
                          <w:sz w:val="20"/>
                        </w:rPr>
                      </w:pPr>
                      <w:bookmarkStart w:id="133" w:name="a078"/>
                      <w:bookmarkEnd w:id="133"/>
                      <w:r>
                        <w:rPr>
                          <w:rFonts w:ascii="Arial;Helvetica;Sans-Serif" w:hAnsi="Arial;Helvetica;Sans-Serif"/>
                          <w:b/>
                          <w:i w:val="false"/>
                          <w:caps w:val="false"/>
                          <w:smallCaps w:val="false"/>
                          <w:color w:val="231F20"/>
                          <w:spacing w:val="-5"/>
                          <w:sz w:val="20"/>
                        </w:rPr>
                        <w:t xml:space="preserve">08. </w:t>
                      </w:r>
                      <w:r>
                        <w:rPr>
                          <w:rFonts w:ascii="Arial;Helvetica;Sans-Serif" w:hAnsi="Arial;Helvetica;Sans-Serif"/>
                          <w:b w:val="false"/>
                          <w:i w:val="false"/>
                          <w:caps w:val="false"/>
                          <w:smallCaps w:val="false"/>
                          <w:color w:val="EE0027"/>
                          <w:spacing w:val="3"/>
                          <w:sz w:val="20"/>
                        </w:rPr>
                        <w:t xml:space="preserve">COMPENSATION </w:t>
                      </w:r>
                      <w:r>
                        <w:rPr>
                          <w:rFonts w:ascii="Arial;Helvetica;Sans-Serif" w:hAnsi="Arial;Helvetica;Sans-Serif"/>
                          <w:b w:val="false"/>
                          <w:i w:val="false"/>
                          <w:caps w:val="false"/>
                          <w:smallCaps w:val="false"/>
                          <w:color w:val="EE0027"/>
                          <w:spacing w:val="4"/>
                          <w:sz w:val="20"/>
                        </w:rPr>
                        <w:t xml:space="preserve">COMMITTEE </w:t>
                      </w:r>
                      <w:r>
                        <w:rPr>
                          <w:rFonts w:ascii="Arial;Helvetica;Sans-Serif" w:hAnsi="Arial;Helvetica;Sans-Serif"/>
                          <w:b w:val="false"/>
                          <w:i w:val="false"/>
                          <w:caps w:val="false"/>
                          <w:smallCaps w:val="false"/>
                          <w:color w:val="EE0027"/>
                          <w:spacing w:val="3"/>
                          <w:sz w:val="20"/>
                        </w:rPr>
                        <w:t>REPORT</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compensation committee has reviewed and discussed with management the Compensation Discussion and Analysis provided above. Based on its review and discussions, the committee recommended to the Board that the Compensation Discussion and Analysis be included in this </w:t>
                      </w:r>
                      <w:r>
                        <w:rPr>
                          <w:rFonts w:ascii="Arial;Helvetica;Sans-Serif" w:hAnsi="Arial;Helvetica;Sans-Serif"/>
                          <w:b w:val="false"/>
                          <w:i w:val="false"/>
                          <w:caps w:val="false"/>
                          <w:smallCaps w:val="false"/>
                          <w:color w:val="58595B"/>
                          <w:spacing w:val="-3"/>
                          <w:sz w:val="18"/>
                        </w:rPr>
                        <w:t xml:space="preserve">Proxy </w:t>
                      </w:r>
                      <w:r>
                        <w:rPr>
                          <w:rFonts w:ascii="Arial;Helvetica;Sans-Serif" w:hAnsi="Arial;Helvetica;Sans-Serif"/>
                          <w:b w:val="false"/>
                          <w:i w:val="false"/>
                          <w:caps w:val="false"/>
                          <w:smallCaps w:val="false"/>
                          <w:color w:val="58595B"/>
                          <w:sz w:val="18"/>
                        </w:rPr>
                        <w:t xml:space="preserve">Statement and in our Annual Report on </w:t>
                      </w:r>
                      <w:r>
                        <w:rPr>
                          <w:rFonts w:ascii="Arial;Helvetica;Sans-Serif" w:hAnsi="Arial;Helvetica;Sans-Serif"/>
                          <w:b w:val="false"/>
                          <w:i w:val="false"/>
                          <w:caps w:val="false"/>
                          <w:smallCaps w:val="false"/>
                          <w:color w:val="58595B"/>
                          <w:spacing w:val="-3"/>
                          <w:sz w:val="18"/>
                        </w:rPr>
                        <w:t xml:space="preserve">Form </w:t>
                      </w:r>
                      <w:r>
                        <w:rPr>
                          <w:rFonts w:ascii="Arial;Helvetica;Sans-Serif" w:hAnsi="Arial;Helvetica;Sans-Serif"/>
                          <w:b w:val="false"/>
                          <w:i w:val="false"/>
                          <w:caps w:val="false"/>
                          <w:smallCaps w:val="false"/>
                          <w:color w:val="58595B"/>
                          <w:sz w:val="18"/>
                        </w:rPr>
                        <w:t>10-K for the fiscal year ended December 31, 2022.</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r>
                        <w:rPr>
                          <w:rFonts w:ascii="Arial;Helvetica;Sans-Serif" w:hAnsi="Arial;Helvetica;Sans-Serif"/>
                          <w:b/>
                          <w:i w:val="false"/>
                          <w:caps w:val="false"/>
                          <w:smallCaps w:val="false"/>
                          <w:color w:val="231F20"/>
                          <w:sz w:val="18"/>
                        </w:rPr>
                        <w:t>Compensation Committee</w:t>
                      </w:r>
                    </w:p>
                    <w:p>
                      <w:pPr>
                        <w:pStyle w:val="TextBody"/>
                        <w:rPr>
                          <w:caps w:val="false"/>
                          <w:smallCaps w:val="false"/>
                          <w:color w:val="231F20"/>
                        </w:rPr>
                      </w:pPr>
                      <w:r>
                        <w:rPr>
                          <w:caps w:val="false"/>
                          <w:smallCaps w:val="false"/>
                          <w:color w:val="231F20"/>
                        </w:rPr>
                        <w:t> </w:t>
                      </w:r>
                    </w:p>
                    <w:tbl>
                      <w:tblPr>
                        <w:tblW w:w="2443" w:type="dxa"/>
                        <w:jc w:val="left"/>
                        <w:tblInd w:w="0" w:type="dxa"/>
                        <w:tblCellMar>
                          <w:top w:w="0" w:type="dxa"/>
                          <w:left w:w="0" w:type="dxa"/>
                          <w:bottom w:w="0" w:type="dxa"/>
                          <w:right w:w="0" w:type="dxa"/>
                        </w:tblCellMar>
                      </w:tblPr>
                      <w:tblGrid>
                        <w:gridCol w:w="38"/>
                        <w:gridCol w:w="165"/>
                        <w:gridCol w:w="224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32" name="Image2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 name="Image211" descr=""/>
                                          <pic:cNvPicPr>
                                            <a:picLocks noChangeAspect="1" noChangeArrowheads="1"/>
                                          </pic:cNvPicPr>
                                        </pic:nvPicPr>
                                        <pic:blipFill>
                                          <a:blip r:embed="rId212"/>
                                          <a:stretch>
                                            <a:fillRect/>
                                          </a:stretch>
                                        </pic:blipFill>
                                        <pic:spPr bwMode="auto">
                                          <a:xfrm>
                                            <a:off x="0" y="0"/>
                                            <a:ext cx="104775" cy="85725"/>
                                          </a:xfrm>
                                          <a:prstGeom prst="rect">
                                            <a:avLst/>
                                          </a:prstGeom>
                                        </pic:spPr>
                                      </pic:pic>
                                    </a:graphicData>
                                  </a:graphic>
                                </wp:inline>
                              </w:drawing>
                            </w:r>
                          </w:p>
                        </w:tc>
                        <w:tc>
                          <w:tcPr>
                            <w:tcW w:w="224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Thomas M. Hagerty (Chair)</w:t>
                            </w:r>
                          </w:p>
                        </w:tc>
                      </w:tr>
                    </w:tbl>
                    <w:tbl>
                      <w:tblPr>
                        <w:tblW w:w="1719" w:type="dxa"/>
                        <w:jc w:val="left"/>
                        <w:tblInd w:w="0" w:type="dxa"/>
                        <w:tblCellMar>
                          <w:top w:w="0" w:type="dxa"/>
                          <w:left w:w="0" w:type="dxa"/>
                          <w:bottom w:w="0" w:type="dxa"/>
                          <w:right w:w="0" w:type="dxa"/>
                        </w:tblCellMar>
                      </w:tblPr>
                      <w:tblGrid>
                        <w:gridCol w:w="38"/>
                        <w:gridCol w:w="165"/>
                        <w:gridCol w:w="1516"/>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33" name="Image2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 name="Image212" descr=""/>
                                          <pic:cNvPicPr>
                                            <a:picLocks noChangeAspect="1" noChangeArrowheads="1"/>
                                          </pic:cNvPicPr>
                                        </pic:nvPicPr>
                                        <pic:blipFill>
                                          <a:blip r:embed="rId213"/>
                                          <a:stretch>
                                            <a:fillRect/>
                                          </a:stretch>
                                        </pic:blipFill>
                                        <pic:spPr bwMode="auto">
                                          <a:xfrm>
                                            <a:off x="0" y="0"/>
                                            <a:ext cx="104775" cy="85725"/>
                                          </a:xfrm>
                                          <a:prstGeom prst="rect">
                                            <a:avLst/>
                                          </a:prstGeom>
                                        </pic:spPr>
                                      </pic:pic>
                                    </a:graphicData>
                                  </a:graphic>
                                </wp:inline>
                              </w:drawing>
                            </w:r>
                          </w:p>
                        </w:tc>
                        <w:tc>
                          <w:tcPr>
                            <w:tcW w:w="1516"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Joseph </w:t>
                            </w:r>
                            <w:r>
                              <w:rPr>
                                <w:rFonts w:ascii="Arial;Helvetica;Sans-Serif" w:hAnsi="Arial;Helvetica;Sans-Serif"/>
                                <w:color w:val="58595B"/>
                                <w:spacing w:val="-6"/>
                                <w:sz w:val="18"/>
                              </w:rPr>
                              <w:t xml:space="preserve">W. </w:t>
                            </w:r>
                            <w:r>
                              <w:rPr>
                                <w:rFonts w:ascii="Arial;Helvetica;Sans-Serif" w:hAnsi="Arial;Helvetica;Sans-Serif"/>
                                <w:color w:val="58595B"/>
                                <w:spacing w:val="-4"/>
                                <w:sz w:val="18"/>
                              </w:rPr>
                              <w:t>Farrelly</w:t>
                            </w:r>
                          </w:p>
                        </w:tc>
                      </w:tr>
                    </w:tbl>
                    <w:tbl>
                      <w:tblPr>
                        <w:tblW w:w="1873" w:type="dxa"/>
                        <w:jc w:val="left"/>
                        <w:tblInd w:w="0" w:type="dxa"/>
                        <w:tblCellMar>
                          <w:top w:w="0" w:type="dxa"/>
                          <w:left w:w="0" w:type="dxa"/>
                          <w:bottom w:w="0" w:type="dxa"/>
                          <w:right w:w="0" w:type="dxa"/>
                        </w:tblCellMar>
                      </w:tblPr>
                      <w:tblGrid>
                        <w:gridCol w:w="38"/>
                        <w:gridCol w:w="165"/>
                        <w:gridCol w:w="167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34" name="Image2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 name="Image213" descr=""/>
                                          <pic:cNvPicPr>
                                            <a:picLocks noChangeAspect="1" noChangeArrowheads="1"/>
                                          </pic:cNvPicPr>
                                        </pic:nvPicPr>
                                        <pic:blipFill>
                                          <a:blip r:embed="rId214"/>
                                          <a:stretch>
                                            <a:fillRect/>
                                          </a:stretch>
                                        </pic:blipFill>
                                        <pic:spPr bwMode="auto">
                                          <a:xfrm>
                                            <a:off x="0" y="0"/>
                                            <a:ext cx="104775" cy="85725"/>
                                          </a:xfrm>
                                          <a:prstGeom prst="rect">
                                            <a:avLst/>
                                          </a:prstGeom>
                                        </pic:spPr>
                                      </pic:pic>
                                    </a:graphicData>
                                  </a:graphic>
                                </wp:inline>
                              </w:drawing>
                            </w:r>
                          </w:p>
                        </w:tc>
                        <w:tc>
                          <w:tcPr>
                            <w:tcW w:w="167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Hala G. Moddelmog</w:t>
                            </w:r>
                          </w:p>
                        </w:tc>
                      </w:tr>
                    </w:tbl>
                    <w:tbl>
                      <w:tblPr>
                        <w:tblW w:w="1386" w:type="dxa"/>
                        <w:jc w:val="left"/>
                        <w:tblInd w:w="0" w:type="dxa"/>
                        <w:tblCellMar>
                          <w:top w:w="0" w:type="dxa"/>
                          <w:left w:w="0" w:type="dxa"/>
                          <w:bottom w:w="0" w:type="dxa"/>
                          <w:right w:w="0" w:type="dxa"/>
                        </w:tblCellMar>
                      </w:tblPr>
                      <w:tblGrid>
                        <w:gridCol w:w="38"/>
                        <w:gridCol w:w="165"/>
                        <w:gridCol w:w="1183"/>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35" name="Image2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 name="Image214" descr=""/>
                                          <pic:cNvPicPr>
                                            <a:picLocks noChangeAspect="1" noChangeArrowheads="1"/>
                                          </pic:cNvPicPr>
                                        </pic:nvPicPr>
                                        <pic:blipFill>
                                          <a:blip r:embed="rId215"/>
                                          <a:stretch>
                                            <a:fillRect/>
                                          </a:stretch>
                                        </pic:blipFill>
                                        <pic:spPr bwMode="auto">
                                          <a:xfrm>
                                            <a:off x="0" y="0"/>
                                            <a:ext cx="104775" cy="85725"/>
                                          </a:xfrm>
                                          <a:prstGeom prst="rect">
                                            <a:avLst/>
                                          </a:prstGeom>
                                        </pic:spPr>
                                      </pic:pic>
                                    </a:graphicData>
                                  </a:graphic>
                                </wp:inline>
                              </w:drawing>
                            </w:r>
                          </w:p>
                        </w:tc>
                        <w:tc>
                          <w:tcPr>
                            <w:tcW w:w="1183" w:type="dxa"/>
                            <w:tcBorders/>
                            <w:shd w:fill="auto" w:val="clear"/>
                            <w:vAlign w:val="center"/>
                          </w:tcPr>
                          <w:p>
                            <w:pPr>
                              <w:pStyle w:val="TableContents"/>
                              <w:spacing w:before="0" w:after="283"/>
                              <w:jc w:val="left"/>
                              <w:rPr/>
                            </w:pPr>
                            <w:r>
                              <w:rPr>
                                <w:rFonts w:ascii="Arial;Helvetica;Sans-Serif" w:hAnsi="Arial;Helvetica;Sans-Serif"/>
                                <w:color w:val="58595B"/>
                                <w:spacing w:val="-3"/>
                                <w:sz w:val="18"/>
                              </w:rPr>
                              <w:t xml:space="preserve">Steven </w:t>
                            </w:r>
                            <w:r>
                              <w:rPr>
                                <w:rFonts w:ascii="Arial;Helvetica;Sans-Serif" w:hAnsi="Arial;Helvetica;Sans-Serif"/>
                                <w:color w:val="58595B"/>
                                <w:spacing w:val="-7"/>
                                <w:sz w:val="18"/>
                              </w:rPr>
                              <w:t xml:space="preserve">T. </w:t>
                            </w:r>
                            <w:r>
                              <w:rPr>
                                <w:rFonts w:ascii="Arial;Helvetica;Sans-Serif" w:hAnsi="Arial;Helvetica;Sans-Serif"/>
                                <w:color w:val="58595B"/>
                                <w:sz w:val="18"/>
                              </w:rPr>
                              <w:t>Stull</w:t>
                            </w:r>
                          </w:p>
                        </w:tc>
                      </w:tr>
                    </w:tbl>
                    <w:p>
                      <w:pPr>
                        <w:pStyle w:val="TextBody"/>
                        <w:spacing w:before="0" w:after="283"/>
                        <w:rPr>
                          <w:caps w:val="false"/>
                          <w:smallCaps w:val="false"/>
                        </w:rPr>
                      </w:pPr>
                      <w:r>
                        <w:rPr>
                          <w:caps w:val="false"/>
                          <w:smallCaps w:val="false"/>
                        </w:rPr>
                        <w:t> </w:t>
                      </w:r>
                    </w:p>
                  </w:txbxContent>
                </v:textbox>
                <w10:wrap type="square" side="right"/>
              </v:rect>
            </w:pict>
          </mc:Fallback>
        </mc:AlternateContent>
      </w:r>
      <w:r>
        <mc:AlternateContent>
          <mc:Choice Requires="wps">
            <w:drawing>
              <wp:anchor behindDoc="0" distT="0" distB="0" distL="0" distR="0" simplePos="0" locked="0" layoutInCell="1" allowOverlap="1" relativeHeight="208">
                <wp:simplePos x="0" y="0"/>
                <wp:positionH relativeFrom="column">
                  <wp:align>right</wp:align>
                </wp:positionH>
                <wp:positionV relativeFrom="line">
                  <wp:posOffset>635</wp:posOffset>
                </wp:positionV>
                <wp:extent cx="3110230" cy="1352550"/>
                <wp:effectExtent l="0" t="0" r="0" b="0"/>
                <wp:wrapSquare wrapText="largest"/>
                <wp:docPr id="436" name="Frame71"/>
                <a:graphic xmlns:a="http://schemas.openxmlformats.org/drawingml/2006/main">
                  <a:graphicData uri="http://schemas.microsoft.com/office/word/2010/wordprocessingShape">
                    <wps:wsp>
                      <wps:cNvSpPr txBox="1"/>
                      <wps:spPr>
                        <a:xfrm>
                          <a:off x="0" y="0"/>
                          <a:ext cx="3110230" cy="1352550"/>
                        </a:xfrm>
                        <a:prstGeom prst="rect"/>
                      </wps:spPr>
                      <wps:txbx>
                        <w:txbxContent>
                          <w:p>
                            <w:pPr>
                              <w:pStyle w:val="TextBody"/>
                              <w:rPr>
                                <w:rFonts w:ascii="Times New Roman;Times;Serif" w:hAnsi="Times New Roman;Times;Serif"/>
                                <w:b w:val="false"/>
                                <w:i w:val="false"/>
                                <w:caps w:val="false"/>
                                <w:smallCaps w:val="false"/>
                                <w:sz w:val="20"/>
                              </w:rPr>
                            </w:pPr>
                            <w:bookmarkStart w:id="134" w:name="a079"/>
                            <w:bookmarkEnd w:id="134"/>
                            <w:r>
                              <w:rPr>
                                <w:rFonts w:ascii="Arial;Helvetica;Sans-Serif" w:hAnsi="Arial;Helvetica;Sans-Serif"/>
                                <w:b/>
                                <w:i w:val="false"/>
                                <w:caps w:val="false"/>
                                <w:smallCaps w:val="false"/>
                                <w:color w:val="231F20"/>
                                <w:spacing w:val="-5"/>
                                <w:sz w:val="20"/>
                              </w:rPr>
                              <w:t xml:space="preserve">09.  </w:t>
                            </w:r>
                            <w:r>
                              <w:rPr>
                                <w:rFonts w:ascii="Arial;Helvetica;Sans-Serif" w:hAnsi="Arial;Helvetica;Sans-Serif"/>
                                <w:b w:val="false"/>
                                <w:i w:val="false"/>
                                <w:caps w:val="false"/>
                                <w:smallCaps w:val="false"/>
                                <w:color w:val="EE0027"/>
                                <w:spacing w:val="3"/>
                                <w:sz w:val="20"/>
                              </w:rPr>
                              <w:t xml:space="preserve">COMPENSATION </w:t>
                            </w:r>
                            <w:r>
                              <w:rPr>
                                <w:rFonts w:ascii="Arial;Helvetica;Sans-Serif" w:hAnsi="Arial;Helvetica;Sans-Serif"/>
                                <w:b w:val="false"/>
                                <w:i w:val="false"/>
                                <w:caps w:val="false"/>
                                <w:smallCaps w:val="false"/>
                                <w:color w:val="EE0027"/>
                                <w:spacing w:val="4"/>
                                <w:sz w:val="20"/>
                              </w:rPr>
                              <w:t xml:space="preserve">COMMITTEE </w:t>
                            </w:r>
                            <w:r>
                              <w:rPr>
                                <w:rFonts w:ascii="Arial;Helvetica;Sans-Serif" w:hAnsi="Arial;Helvetica;Sans-Serif"/>
                                <w:b w:val="false"/>
                                <w:i w:val="false"/>
                                <w:caps w:val="false"/>
                                <w:smallCaps w:val="false"/>
                                <w:color w:val="EE0027"/>
                                <w:spacing w:val="3"/>
                                <w:sz w:val="20"/>
                              </w:rPr>
                              <w:t xml:space="preserve">INTERLOCKS AND </w:t>
                            </w:r>
                            <w:r>
                              <w:rPr>
                                <w:rFonts w:ascii="Arial;Helvetica;Sans-Serif" w:hAnsi="Arial;Helvetica;Sans-Serif"/>
                                <w:b w:val="false"/>
                                <w:i w:val="false"/>
                                <w:caps w:val="false"/>
                                <w:smallCaps w:val="false"/>
                                <w:color w:val="EE0027"/>
                                <w:spacing w:val="4"/>
                                <w:sz w:val="20"/>
                              </w:rPr>
                              <w:t xml:space="preserve">INSIDER </w:t>
                            </w:r>
                            <w:r>
                              <w:rPr>
                                <w:rFonts w:ascii="Arial;Helvetica;Sans-Serif" w:hAnsi="Arial;Helvetica;Sans-Serif"/>
                                <w:b w:val="false"/>
                                <w:i w:val="false"/>
                                <w:caps w:val="false"/>
                                <w:smallCaps w:val="false"/>
                                <w:color w:val="EE0027"/>
                                <w:sz w:val="20"/>
                              </w:rPr>
                              <w:t>PARTICIPATION</w:t>
                            </w:r>
                          </w:p>
                          <w:p>
                            <w:pPr>
                              <w:pStyle w:val="TextBody"/>
                              <w:rPr>
                                <w:caps w:val="false"/>
                                <w:smallCaps w:val="false"/>
                              </w:rPr>
                            </w:pPr>
                            <w:r>
                              <w:rPr>
                                <w:caps w:val="false"/>
                                <w:smallCaps w:val="false"/>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None of our executive officers currently serves on the compensation committee or board of directors of any other company of which any member or proposed member of our compensation committee is an executive </w:t>
                            </w:r>
                            <w:r>
                              <w:rPr>
                                <w:rFonts w:ascii="Arial;Helvetica;Sans-Serif" w:hAnsi="Arial;Helvetica;Sans-Serif"/>
                                <w:b w:val="false"/>
                                <w:i w:val="false"/>
                                <w:caps w:val="false"/>
                                <w:smallCaps w:val="false"/>
                                <w:color w:val="58595B"/>
                                <w:spacing w:val="-3"/>
                                <w:sz w:val="18"/>
                              </w:rPr>
                              <w:t>officer.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06.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Times New Roman;Times;Serif" w:hAnsi="Times New Roman;Times;Serif"/>
                          <w:b w:val="false"/>
                          <w:i w:val="false"/>
                          <w:caps w:val="false"/>
                          <w:smallCaps w:val="false"/>
                          <w:sz w:val="20"/>
                        </w:rPr>
                      </w:pPr>
                      <w:bookmarkStart w:id="135" w:name="a079"/>
                      <w:bookmarkEnd w:id="135"/>
                      <w:r>
                        <w:rPr>
                          <w:rFonts w:ascii="Arial;Helvetica;Sans-Serif" w:hAnsi="Arial;Helvetica;Sans-Serif"/>
                          <w:b/>
                          <w:i w:val="false"/>
                          <w:caps w:val="false"/>
                          <w:smallCaps w:val="false"/>
                          <w:color w:val="231F20"/>
                          <w:spacing w:val="-5"/>
                          <w:sz w:val="20"/>
                        </w:rPr>
                        <w:t xml:space="preserve">09.  </w:t>
                      </w:r>
                      <w:r>
                        <w:rPr>
                          <w:rFonts w:ascii="Arial;Helvetica;Sans-Serif" w:hAnsi="Arial;Helvetica;Sans-Serif"/>
                          <w:b w:val="false"/>
                          <w:i w:val="false"/>
                          <w:caps w:val="false"/>
                          <w:smallCaps w:val="false"/>
                          <w:color w:val="EE0027"/>
                          <w:spacing w:val="3"/>
                          <w:sz w:val="20"/>
                        </w:rPr>
                        <w:t xml:space="preserve">COMPENSATION </w:t>
                      </w:r>
                      <w:r>
                        <w:rPr>
                          <w:rFonts w:ascii="Arial;Helvetica;Sans-Serif" w:hAnsi="Arial;Helvetica;Sans-Serif"/>
                          <w:b w:val="false"/>
                          <w:i w:val="false"/>
                          <w:caps w:val="false"/>
                          <w:smallCaps w:val="false"/>
                          <w:color w:val="EE0027"/>
                          <w:spacing w:val="4"/>
                          <w:sz w:val="20"/>
                        </w:rPr>
                        <w:t xml:space="preserve">COMMITTEE </w:t>
                      </w:r>
                      <w:r>
                        <w:rPr>
                          <w:rFonts w:ascii="Arial;Helvetica;Sans-Serif" w:hAnsi="Arial;Helvetica;Sans-Serif"/>
                          <w:b w:val="false"/>
                          <w:i w:val="false"/>
                          <w:caps w:val="false"/>
                          <w:smallCaps w:val="false"/>
                          <w:color w:val="EE0027"/>
                          <w:spacing w:val="3"/>
                          <w:sz w:val="20"/>
                        </w:rPr>
                        <w:t xml:space="preserve">INTERLOCKS AND </w:t>
                      </w:r>
                      <w:r>
                        <w:rPr>
                          <w:rFonts w:ascii="Arial;Helvetica;Sans-Serif" w:hAnsi="Arial;Helvetica;Sans-Serif"/>
                          <w:b w:val="false"/>
                          <w:i w:val="false"/>
                          <w:caps w:val="false"/>
                          <w:smallCaps w:val="false"/>
                          <w:color w:val="EE0027"/>
                          <w:spacing w:val="4"/>
                          <w:sz w:val="20"/>
                        </w:rPr>
                        <w:t xml:space="preserve">INSIDER </w:t>
                      </w:r>
                      <w:r>
                        <w:rPr>
                          <w:rFonts w:ascii="Arial;Helvetica;Sans-Serif" w:hAnsi="Arial;Helvetica;Sans-Serif"/>
                          <w:b w:val="false"/>
                          <w:i w:val="false"/>
                          <w:caps w:val="false"/>
                          <w:smallCaps w:val="false"/>
                          <w:color w:val="EE0027"/>
                          <w:sz w:val="20"/>
                        </w:rPr>
                        <w:t>PARTICIPATION</w:t>
                      </w:r>
                    </w:p>
                    <w:p>
                      <w:pPr>
                        <w:pStyle w:val="TextBody"/>
                        <w:rPr>
                          <w:caps w:val="false"/>
                          <w:smallCaps w:val="false"/>
                        </w:rPr>
                      </w:pPr>
                      <w:r>
                        <w:rPr>
                          <w:caps w:val="false"/>
                          <w:smallCaps w:val="false"/>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None of our executive officers currently serves on the compensation committee or board of directors of any other company of which any member or proposed member of our compensation committee is an executive </w:t>
                      </w:r>
                      <w:r>
                        <w:rPr>
                          <w:rFonts w:ascii="Arial;Helvetica;Sans-Serif" w:hAnsi="Arial;Helvetica;Sans-Serif"/>
                          <w:b w:val="false"/>
                          <w:i w:val="false"/>
                          <w:caps w:val="false"/>
                          <w:smallCaps w:val="false"/>
                          <w:color w:val="58595B"/>
                          <w:spacing w:val="-3"/>
                          <w:sz w:val="18"/>
                        </w:rPr>
                        <w:t>officer.</w:t>
                      </w:r>
                    </w:p>
                  </w:txbxContent>
                </v:textbox>
                <w10:wrap type="square" side="left"/>
              </v:rect>
            </w:pict>
          </mc:Fallback>
        </mc:AlternateContent>
      </w:r>
    </w:p>
    <w:p>
      <w:pPr>
        <w:pStyle w:val="TextBody"/>
        <w:rPr/>
      </w:pPr>
      <w:r>
        <w:rPr/>
      </w:r>
    </w:p>
    <w:p>
      <w:pPr>
        <w:pStyle w:val="TextBody"/>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53</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80">
                <wp:simplePos x="0" y="0"/>
                <wp:positionH relativeFrom="column">
                  <wp:align>right</wp:align>
                </wp:positionH>
                <wp:positionV relativeFrom="line">
                  <wp:posOffset>635</wp:posOffset>
                </wp:positionV>
                <wp:extent cx="3110230" cy="5342890"/>
                <wp:effectExtent l="0" t="0" r="0" b="0"/>
                <wp:wrapSquare wrapText="largest"/>
                <wp:docPr id="437" name="Frame73"/>
                <a:graphic xmlns:a="http://schemas.openxmlformats.org/drawingml/2006/main">
                  <a:graphicData uri="http://schemas.microsoft.com/office/word/2010/wordprocessingShape">
                    <wps:wsp>
                      <wps:cNvSpPr txBox="1"/>
                      <wps:spPr>
                        <a:xfrm>
                          <a:off x="0" y="0"/>
                          <a:ext cx="3110230" cy="5342890"/>
                        </a:xfrm>
                        <a:prstGeom prst="rect"/>
                      </wps:spPr>
                      <wps:txbx>
                        <w:txbxContent>
                          <w:p>
                            <w:pPr>
                              <w:pStyle w:val="TextBody"/>
                              <w:spacing w:before="0" w:after="0"/>
                              <w:rPr>
                                <w:rFonts w:ascii="Times New Roman;Times;Serif" w:hAnsi="Times New Roman;Times;Serif"/>
                                <w:b w:val="false"/>
                                <w:i w:val="false"/>
                                <w:caps w:val="false"/>
                                <w:smallCaps w:val="false"/>
                                <w:sz w:val="20"/>
                              </w:rPr>
                            </w:pPr>
                            <w:bookmarkStart w:id="136" w:name="a081"/>
                            <w:bookmarkEnd w:id="136"/>
                            <w:r>
                              <w:rPr>
                                <w:rFonts w:ascii="Arial;Helvetica;Sans-Serif" w:hAnsi="Arial;Helvetica;Sans-Serif"/>
                                <w:b/>
                                <w:i w:val="false"/>
                                <w:caps w:val="false"/>
                                <w:smallCaps w:val="false"/>
                                <w:color w:val="231F20"/>
                                <w:sz w:val="20"/>
                              </w:rPr>
                              <w:t xml:space="preserve">11. </w:t>
                            </w:r>
                            <w:r>
                              <w:rPr>
                                <w:rFonts w:ascii="Arial;Helvetica;Sans-Serif" w:hAnsi="Arial;Helvetica;Sans-Serif"/>
                                <w:b w:val="false"/>
                                <w:i w:val="false"/>
                                <w:caps w:val="false"/>
                                <w:smallCaps w:val="false"/>
                                <w:color w:val="EE0027"/>
                                <w:sz w:val="20"/>
                              </w:rPr>
                              <w:t>PAY VERSUS PERFORMANCE DISCLOSURE</w:t>
                            </w:r>
                          </w:p>
                          <w:p>
                            <w:pPr>
                              <w:pStyle w:val="TextBody"/>
                              <w:spacing w:before="0" w:after="0"/>
                              <w:ind w:left="20" w:right="0" w:hanging="0"/>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required by pay versus performance rules adopted by the SEC on August 25, 2022 (“PVP Rules”) and in effect for the first time for this Proxy Statement, the below Pay Versus Performance table (“PVP Table”) provides information about compensation for this Proxy Statement’s NEOs, as well as NEOs from our 2022 and 2021 Proxy Statements (each of 2020, 2021, and 2022, a “Covered Year”). The PVP Table also provides information about the results for certain financial performance measures during those same Covered Years. In reviewing this information, there are a few important things to consider:</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38"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 name="Image215" descr=""/>
                                                <pic:cNvPicPr>
                                                  <a:picLocks noChangeAspect="1" noChangeArrowheads="1"/>
                                                </pic:cNvPicPr>
                                              </pic:nvPicPr>
                                              <pic:blipFill>
                                                <a:blip r:embed="rId21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As required by the PVP </w:t>
                                  </w:r>
                                  <w:r>
                                    <w:rPr>
                                      <w:rFonts w:ascii="Arial;Helvetica;Sans-Serif" w:hAnsi="Arial;Helvetica;Sans-Serif"/>
                                      <w:color w:val="58595B"/>
                                      <w:spacing w:val="-3"/>
                                      <w:sz w:val="18"/>
                                    </w:rPr>
                                    <w:t xml:space="preserve">Rules, </w:t>
                                  </w:r>
                                  <w:r>
                                    <w:rPr>
                                      <w:rFonts w:ascii="Arial;Helvetica;Sans-Serif" w:hAnsi="Arial;Helvetica;Sans-Serif"/>
                                      <w:color w:val="58595B"/>
                                      <w:sz w:val="18"/>
                                    </w:rPr>
                                    <w:t xml:space="preserve">we describe the information in columns </w:t>
                                  </w:r>
                                  <w:r>
                                    <w:rPr>
                                      <w:rFonts w:ascii="Arial;Helvetica;Sans-Serif" w:hAnsi="Arial;Helvetica;Sans-Serif"/>
                                      <w:color w:val="58595B"/>
                                      <w:spacing w:val="-4"/>
                                      <w:sz w:val="18"/>
                                    </w:rPr>
                                    <w:t xml:space="preserve">(c) </w:t>
                                  </w:r>
                                  <w:r>
                                    <w:rPr>
                                      <w:rFonts w:ascii="Arial;Helvetica;Sans-Serif" w:hAnsi="Arial;Helvetica;Sans-Serif"/>
                                      <w:color w:val="58595B"/>
                                      <w:sz w:val="18"/>
                                    </w:rPr>
                                    <w:t xml:space="preserve">and </w:t>
                                  </w:r>
                                  <w:r>
                                    <w:rPr>
                                      <w:rFonts w:ascii="Arial;Helvetica;Sans-Serif" w:hAnsi="Arial;Helvetica;Sans-Serif"/>
                                      <w:color w:val="58595B"/>
                                      <w:spacing w:val="-5"/>
                                      <w:sz w:val="18"/>
                                    </w:rPr>
                                    <w:t xml:space="preserve">(e) </w:t>
                                  </w:r>
                                  <w:r>
                                    <w:rPr>
                                      <w:rFonts w:ascii="Arial;Helvetica;Sans-Serif" w:hAnsi="Arial;Helvetica;Sans-Serif"/>
                                      <w:color w:val="58595B"/>
                                      <w:sz w:val="18"/>
                                    </w:rPr>
                                    <w:t xml:space="preserve">as “compensation actually paid” </w:t>
                                  </w:r>
                                  <w:r>
                                    <w:rPr>
                                      <w:rFonts w:ascii="Arial;Helvetica;Sans-Serif" w:hAnsi="Arial;Helvetica;Sans-Serif"/>
                                      <w:color w:val="58595B"/>
                                      <w:spacing w:val="-3"/>
                                      <w:sz w:val="18"/>
                                    </w:rPr>
                                    <w:t xml:space="preserve">(or </w:t>
                                  </w:r>
                                  <w:r>
                                    <w:rPr>
                                      <w:rFonts w:ascii="Arial;Helvetica;Sans-Serif" w:hAnsi="Arial;Helvetica;Sans-Serif"/>
                                      <w:color w:val="58595B"/>
                                      <w:sz w:val="18"/>
                                    </w:rPr>
                                    <w:t xml:space="preserve">“CAP”) to the applicable NEOs, but these CAP amounts do not entirely </w:t>
                                  </w:r>
                                  <w:r>
                                    <w:rPr>
                                      <w:rFonts w:ascii="Arial;Helvetica;Sans-Serif" w:hAnsi="Arial;Helvetica;Sans-Serif"/>
                                      <w:color w:val="58595B"/>
                                      <w:spacing w:val="-3"/>
                                      <w:sz w:val="18"/>
                                    </w:rPr>
                                    <w:t xml:space="preserve">reflect </w:t>
                                  </w:r>
                                  <w:r>
                                    <w:rPr>
                                      <w:rFonts w:ascii="Arial;Helvetica;Sans-Serif" w:hAnsi="Arial;Helvetica;Sans-Serif"/>
                                      <w:color w:val="58595B"/>
                                      <w:sz w:val="18"/>
                                    </w:rPr>
                                    <w:t xml:space="preserve">compensation that our NEOs actually earned for their service in the </w:t>
                                  </w:r>
                                  <w:r>
                                    <w:rPr>
                                      <w:rFonts w:ascii="Arial;Helvetica;Sans-Serif" w:hAnsi="Arial;Helvetica;Sans-Serif"/>
                                      <w:color w:val="58595B"/>
                                      <w:spacing w:val="-3"/>
                                      <w:sz w:val="18"/>
                                    </w:rPr>
                                    <w:t xml:space="preserve">Covered </w:t>
                                  </w:r>
                                  <w:r>
                                    <w:rPr>
                                      <w:rFonts w:ascii="Arial;Helvetica;Sans-Serif" w:hAnsi="Arial;Helvetica;Sans-Serif"/>
                                      <w:color w:val="58595B"/>
                                      <w:spacing w:val="-5"/>
                                      <w:sz w:val="18"/>
                                    </w:rPr>
                                    <w:t xml:space="preserve">Years. </w:t>
                                  </w:r>
                                  <w:r>
                                    <w:rPr>
                                      <w:rFonts w:ascii="Arial;Helvetica;Sans-Serif" w:hAnsi="Arial;Helvetica;Sans-Serif"/>
                                      <w:color w:val="58595B"/>
                                      <w:sz w:val="18"/>
                                    </w:rPr>
                                    <w:t xml:space="preserve">Instead, CAP </w:t>
                                  </w:r>
                                  <w:r>
                                    <w:rPr>
                                      <w:rFonts w:ascii="Arial;Helvetica;Sans-Serif" w:hAnsi="Arial;Helvetica;Sans-Serif"/>
                                      <w:color w:val="58595B"/>
                                      <w:spacing w:val="-3"/>
                                      <w:sz w:val="18"/>
                                    </w:rPr>
                                    <w:t xml:space="preserve">reflects </w:t>
                                  </w:r>
                                  <w:r>
                                    <w:rPr>
                                      <w:rFonts w:ascii="Arial;Helvetica;Sans-Serif" w:hAnsi="Arial;Helvetica;Sans-Serif"/>
                                      <w:color w:val="58595B"/>
                                      <w:sz w:val="18"/>
                                    </w:rPr>
                                    <w:t xml:space="preserve">a calculation involving a combination of realized pay (primarily for cash amounts) and realizable or accrued pay (primarily for pension benefits and equity </w:t>
                                  </w:r>
                                  <w:r>
                                    <w:rPr>
                                      <w:rFonts w:ascii="Arial;Helvetica;Sans-Serif" w:hAnsi="Arial;Helvetica;Sans-Serif"/>
                                      <w:color w:val="58595B"/>
                                      <w:spacing w:val="-3"/>
                                      <w:sz w:val="18"/>
                                    </w:rPr>
                                    <w:t xml:space="preserve">awards); </w:t>
                                  </w:r>
                                  <w:r>
                                    <w:rPr>
                                      <w:rFonts w:ascii="Arial;Helvetica;Sans-Serif" w:hAnsi="Arial;Helvetica;Sans-Serif"/>
                                      <w:color w:val="58595B"/>
                                      <w:sz w:val="18"/>
                                    </w:rPr>
                                    <w:t>and</w:t>
                                  </w:r>
                                </w:p>
                              </w:tc>
                            </w:tr>
                          </w:tbl>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39"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9" name="Image216" descr=""/>
                                                <pic:cNvPicPr>
                                                  <a:picLocks noChangeAspect="1" noChangeArrowheads="1"/>
                                                </pic:cNvPicPr>
                                              </pic:nvPicPr>
                                              <pic:blipFill>
                                                <a:blip r:embed="rId217"/>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As required by the PVP Rules, we provide information about our total shareholder return (“TSR”) results, PVP Peer Group (as defined below) TSR results and U.S. GAAP net income results (the “External Measures”) during the Covered Years in the PVP Table, but we did not actually base any compensation decisions for the NEOs on, or link any NEO pay to, these particular External Measures because the External Measures were not metrics used in our incentive plans during the Covered Years.</w:t>
                                  </w:r>
                                </w:p>
                              </w:tc>
                            </w:tr>
                          </w:tbl>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Due to the use of the Adjusted EPS in our incentive programs, the Company has determined that, pursuant to the PVP Rules, Adjusted EPS should be designated as the “Company-Selected </w:t>
                            </w:r>
                            <w:r>
                              <w:rPr>
                                <w:rFonts w:ascii="Arial;Helvetica;Sans-Serif" w:hAnsi="Arial;Helvetica;Sans-Serif"/>
                                <w:b w:val="false"/>
                                <w:i w:val="false"/>
                                <w:caps w:val="false"/>
                                <w:smallCaps w:val="false"/>
                                <w:color w:val="58595B"/>
                                <w:spacing w:val="-3"/>
                                <w:sz w:val="18"/>
                              </w:rPr>
                              <w:t>Measure”</w:t>
                            </w:r>
                            <w:r>
                              <w:rPr>
                                <w:rFonts w:ascii="Arial;Helvetica;Sans-Serif" w:hAnsi="Arial;Helvetica;Sans-Serif"/>
                                <w:b w:val="false"/>
                                <w:i w:val="false"/>
                                <w:caps w:val="false"/>
                                <w:smallCaps w:val="false"/>
                                <w:color w:val="58595B"/>
                                <w:sz w:val="18"/>
                              </w:rPr>
                              <w:t xml:space="preserve"> because we believe it is the most important financial measure that we used to link 2022 NEO pay to our performance.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0.7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rFonts w:ascii="Times New Roman;Times;Serif" w:hAnsi="Times New Roman;Times;Serif"/>
                          <w:b w:val="false"/>
                          <w:i w:val="false"/>
                          <w:caps w:val="false"/>
                          <w:smallCaps w:val="false"/>
                          <w:sz w:val="20"/>
                        </w:rPr>
                      </w:pPr>
                      <w:bookmarkStart w:id="137" w:name="a081"/>
                      <w:bookmarkEnd w:id="137"/>
                      <w:r>
                        <w:rPr>
                          <w:rFonts w:ascii="Arial;Helvetica;Sans-Serif" w:hAnsi="Arial;Helvetica;Sans-Serif"/>
                          <w:b/>
                          <w:i w:val="false"/>
                          <w:caps w:val="false"/>
                          <w:smallCaps w:val="false"/>
                          <w:color w:val="231F20"/>
                          <w:sz w:val="20"/>
                        </w:rPr>
                        <w:t xml:space="preserve">11. </w:t>
                      </w:r>
                      <w:r>
                        <w:rPr>
                          <w:rFonts w:ascii="Arial;Helvetica;Sans-Serif" w:hAnsi="Arial;Helvetica;Sans-Serif"/>
                          <w:b w:val="false"/>
                          <w:i w:val="false"/>
                          <w:caps w:val="false"/>
                          <w:smallCaps w:val="false"/>
                          <w:color w:val="EE0027"/>
                          <w:sz w:val="20"/>
                        </w:rPr>
                        <w:t>PAY VERSUS PERFORMANCE DISCLOSURE</w:t>
                      </w:r>
                    </w:p>
                    <w:p>
                      <w:pPr>
                        <w:pStyle w:val="TextBody"/>
                        <w:spacing w:before="0" w:after="0"/>
                        <w:ind w:left="20" w:right="0" w:hanging="0"/>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As required by pay versus performance rules adopted by the SEC on August 25, 2022 (“PVP Rules”) and in effect for the first time for this Proxy Statement, the below Pay Versus Performance table (“PVP Table”) provides information about compensation for this Proxy Statement’s NEOs, as well as NEOs from our 2022 and 2021 Proxy Statements (each of 2020, 2021, and 2022, a “Covered Year”). The PVP Table also provides information about the results for certain financial performance measures during those same Covered Years. In reviewing this information, there are a few important things to consider:</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40" name="Image2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 name="Image215" descr=""/>
                                          <pic:cNvPicPr>
                                            <a:picLocks noChangeAspect="1" noChangeArrowheads="1"/>
                                          </pic:cNvPicPr>
                                        </pic:nvPicPr>
                                        <pic:blipFill>
                                          <a:blip r:embed="rId216"/>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As required by the PVP </w:t>
                            </w:r>
                            <w:r>
                              <w:rPr>
                                <w:rFonts w:ascii="Arial;Helvetica;Sans-Serif" w:hAnsi="Arial;Helvetica;Sans-Serif"/>
                                <w:color w:val="58595B"/>
                                <w:spacing w:val="-3"/>
                                <w:sz w:val="18"/>
                              </w:rPr>
                              <w:t xml:space="preserve">Rules, </w:t>
                            </w:r>
                            <w:r>
                              <w:rPr>
                                <w:rFonts w:ascii="Arial;Helvetica;Sans-Serif" w:hAnsi="Arial;Helvetica;Sans-Serif"/>
                                <w:color w:val="58595B"/>
                                <w:sz w:val="18"/>
                              </w:rPr>
                              <w:t xml:space="preserve">we describe the information in columns </w:t>
                            </w:r>
                            <w:r>
                              <w:rPr>
                                <w:rFonts w:ascii="Arial;Helvetica;Sans-Serif" w:hAnsi="Arial;Helvetica;Sans-Serif"/>
                                <w:color w:val="58595B"/>
                                <w:spacing w:val="-4"/>
                                <w:sz w:val="18"/>
                              </w:rPr>
                              <w:t xml:space="preserve">(c) </w:t>
                            </w:r>
                            <w:r>
                              <w:rPr>
                                <w:rFonts w:ascii="Arial;Helvetica;Sans-Serif" w:hAnsi="Arial;Helvetica;Sans-Serif"/>
                                <w:color w:val="58595B"/>
                                <w:sz w:val="18"/>
                              </w:rPr>
                              <w:t xml:space="preserve">and </w:t>
                            </w:r>
                            <w:r>
                              <w:rPr>
                                <w:rFonts w:ascii="Arial;Helvetica;Sans-Serif" w:hAnsi="Arial;Helvetica;Sans-Serif"/>
                                <w:color w:val="58595B"/>
                                <w:spacing w:val="-5"/>
                                <w:sz w:val="18"/>
                              </w:rPr>
                              <w:t xml:space="preserve">(e) </w:t>
                            </w:r>
                            <w:r>
                              <w:rPr>
                                <w:rFonts w:ascii="Arial;Helvetica;Sans-Serif" w:hAnsi="Arial;Helvetica;Sans-Serif"/>
                                <w:color w:val="58595B"/>
                                <w:sz w:val="18"/>
                              </w:rPr>
                              <w:t xml:space="preserve">as “compensation actually paid” </w:t>
                            </w:r>
                            <w:r>
                              <w:rPr>
                                <w:rFonts w:ascii="Arial;Helvetica;Sans-Serif" w:hAnsi="Arial;Helvetica;Sans-Serif"/>
                                <w:color w:val="58595B"/>
                                <w:spacing w:val="-3"/>
                                <w:sz w:val="18"/>
                              </w:rPr>
                              <w:t xml:space="preserve">(or </w:t>
                            </w:r>
                            <w:r>
                              <w:rPr>
                                <w:rFonts w:ascii="Arial;Helvetica;Sans-Serif" w:hAnsi="Arial;Helvetica;Sans-Serif"/>
                                <w:color w:val="58595B"/>
                                <w:sz w:val="18"/>
                              </w:rPr>
                              <w:t xml:space="preserve">“CAP”) to the applicable NEOs, but these CAP amounts do not entirely </w:t>
                            </w:r>
                            <w:r>
                              <w:rPr>
                                <w:rFonts w:ascii="Arial;Helvetica;Sans-Serif" w:hAnsi="Arial;Helvetica;Sans-Serif"/>
                                <w:color w:val="58595B"/>
                                <w:spacing w:val="-3"/>
                                <w:sz w:val="18"/>
                              </w:rPr>
                              <w:t xml:space="preserve">reflect </w:t>
                            </w:r>
                            <w:r>
                              <w:rPr>
                                <w:rFonts w:ascii="Arial;Helvetica;Sans-Serif" w:hAnsi="Arial;Helvetica;Sans-Serif"/>
                                <w:color w:val="58595B"/>
                                <w:sz w:val="18"/>
                              </w:rPr>
                              <w:t xml:space="preserve">compensation that our NEOs actually earned for their service in the </w:t>
                            </w:r>
                            <w:r>
                              <w:rPr>
                                <w:rFonts w:ascii="Arial;Helvetica;Sans-Serif" w:hAnsi="Arial;Helvetica;Sans-Serif"/>
                                <w:color w:val="58595B"/>
                                <w:spacing w:val="-3"/>
                                <w:sz w:val="18"/>
                              </w:rPr>
                              <w:t xml:space="preserve">Covered </w:t>
                            </w:r>
                            <w:r>
                              <w:rPr>
                                <w:rFonts w:ascii="Arial;Helvetica;Sans-Serif" w:hAnsi="Arial;Helvetica;Sans-Serif"/>
                                <w:color w:val="58595B"/>
                                <w:spacing w:val="-5"/>
                                <w:sz w:val="18"/>
                              </w:rPr>
                              <w:t xml:space="preserve">Years. </w:t>
                            </w:r>
                            <w:r>
                              <w:rPr>
                                <w:rFonts w:ascii="Arial;Helvetica;Sans-Serif" w:hAnsi="Arial;Helvetica;Sans-Serif"/>
                                <w:color w:val="58595B"/>
                                <w:sz w:val="18"/>
                              </w:rPr>
                              <w:t xml:space="preserve">Instead, CAP </w:t>
                            </w:r>
                            <w:r>
                              <w:rPr>
                                <w:rFonts w:ascii="Arial;Helvetica;Sans-Serif" w:hAnsi="Arial;Helvetica;Sans-Serif"/>
                                <w:color w:val="58595B"/>
                                <w:spacing w:val="-3"/>
                                <w:sz w:val="18"/>
                              </w:rPr>
                              <w:t xml:space="preserve">reflects </w:t>
                            </w:r>
                            <w:r>
                              <w:rPr>
                                <w:rFonts w:ascii="Arial;Helvetica;Sans-Serif" w:hAnsi="Arial;Helvetica;Sans-Serif"/>
                                <w:color w:val="58595B"/>
                                <w:sz w:val="18"/>
                              </w:rPr>
                              <w:t xml:space="preserve">a calculation involving a combination of realized pay (primarily for cash amounts) and realizable or accrued pay (primarily for pension benefits and equity </w:t>
                            </w:r>
                            <w:r>
                              <w:rPr>
                                <w:rFonts w:ascii="Arial;Helvetica;Sans-Serif" w:hAnsi="Arial;Helvetica;Sans-Serif"/>
                                <w:color w:val="58595B"/>
                                <w:spacing w:val="-3"/>
                                <w:sz w:val="18"/>
                              </w:rPr>
                              <w:t xml:space="preserve">awards); </w:t>
                            </w:r>
                            <w:r>
                              <w:rPr>
                                <w:rFonts w:ascii="Arial;Helvetica;Sans-Serif" w:hAnsi="Arial;Helvetica;Sans-Serif"/>
                                <w:color w:val="58595B"/>
                                <w:sz w:val="18"/>
                              </w:rPr>
                              <w:t>and</w:t>
                            </w:r>
                          </w:p>
                        </w:tc>
                      </w:tr>
                    </w:tbl>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41" name="Image2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 name="Image216" descr=""/>
                                          <pic:cNvPicPr>
                                            <a:picLocks noChangeAspect="1" noChangeArrowheads="1"/>
                                          </pic:cNvPicPr>
                                        </pic:nvPicPr>
                                        <pic:blipFill>
                                          <a:blip r:embed="rId217"/>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As required by the PVP Rules, we provide information about our total shareholder return (“TSR”) results, PVP Peer Group (as defined below) TSR results and U.S. GAAP net income results (the “External Measures”) during the Covered Years in the PVP Table, but we did not actually base any compensation decisions for the NEOs on, or link any NEO pay to, these particular External Measures because the External Measures were not metrics used in our incentive plans during the Covered Years.</w:t>
                            </w:r>
                          </w:p>
                        </w:tc>
                      </w:tr>
                    </w:tbl>
                    <w:p>
                      <w:pPr>
                        <w:pStyle w:val="TextBody"/>
                        <w:rPr>
                          <w:caps w:val="false"/>
                          <w:smallCaps w:val="false"/>
                          <w:color w:val="58595B"/>
                        </w:rPr>
                      </w:pPr>
                      <w:r>
                        <w:rPr>
                          <w:caps w:val="false"/>
                          <w:smallCaps w:val="false"/>
                          <w:color w:val="58595B"/>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Due to the use of the Adjusted EPS in our incentive programs, the Company has determined that, pursuant to the PVP Rules, Adjusted EPS should be designated as the “Company-Selected </w:t>
                      </w:r>
                      <w:r>
                        <w:rPr>
                          <w:rFonts w:ascii="Arial;Helvetica;Sans-Serif" w:hAnsi="Arial;Helvetica;Sans-Serif"/>
                          <w:b w:val="false"/>
                          <w:i w:val="false"/>
                          <w:caps w:val="false"/>
                          <w:smallCaps w:val="false"/>
                          <w:color w:val="58595B"/>
                          <w:spacing w:val="-3"/>
                          <w:sz w:val="18"/>
                        </w:rPr>
                        <w:t>Measure”</w:t>
                      </w:r>
                      <w:r>
                        <w:rPr>
                          <w:rFonts w:ascii="Arial;Helvetica;Sans-Serif" w:hAnsi="Arial;Helvetica;Sans-Serif"/>
                          <w:b w:val="false"/>
                          <w:i w:val="false"/>
                          <w:caps w:val="false"/>
                          <w:smallCaps w:val="false"/>
                          <w:color w:val="58595B"/>
                          <w:sz w:val="18"/>
                        </w:rPr>
                        <w:t xml:space="preserve"> because we believe it is the most important financial measure that we used to link 2022 NEO pay to our performance.</w:t>
                      </w:r>
                    </w:p>
                  </w:txbxContent>
                </v:textbox>
                <w10:wrap type="square" side="left"/>
              </v:rect>
            </w:pict>
          </mc:Fallback>
        </mc:AlternateContent>
      </w:r>
      <w:r>
        <mc:AlternateContent>
          <mc:Choice Requires="wps">
            <w:drawing>
              <wp:anchor behindDoc="0" distT="0" distB="0" distL="0" distR="0" simplePos="0" locked="0" layoutInCell="1" allowOverlap="1" relativeHeight="209">
                <wp:simplePos x="0" y="0"/>
                <wp:positionH relativeFrom="column">
                  <wp:align>left</wp:align>
                </wp:positionH>
                <wp:positionV relativeFrom="line">
                  <wp:posOffset>635</wp:posOffset>
                </wp:positionV>
                <wp:extent cx="3110230" cy="8712200"/>
                <wp:effectExtent l="0" t="0" r="0" b="0"/>
                <wp:wrapSquare wrapText="largest"/>
                <wp:docPr id="442" name="Frame72"/>
                <a:graphic xmlns:a="http://schemas.openxmlformats.org/drawingml/2006/main">
                  <a:graphicData uri="http://schemas.microsoft.com/office/word/2010/wordprocessingShape">
                    <wps:wsp>
                      <wps:cNvSpPr txBox="1"/>
                      <wps:spPr>
                        <a:xfrm>
                          <a:off x="0" y="0"/>
                          <a:ext cx="3110230" cy="8712200"/>
                        </a:xfrm>
                        <a:prstGeom prst="rect"/>
                      </wps:spPr>
                      <wps:txbx>
                        <w:txbxContent>
                          <w:p>
                            <w:pPr>
                              <w:pStyle w:val="TextBody"/>
                              <w:spacing w:before="0" w:after="0"/>
                              <w:ind w:left="20" w:right="0" w:hanging="0"/>
                              <w:rPr>
                                <w:rFonts w:ascii="Times New Roman;Times;Serif" w:hAnsi="Times New Roman;Times;Serif"/>
                                <w:b w:val="false"/>
                                <w:i w:val="false"/>
                                <w:caps w:val="false"/>
                                <w:smallCaps w:val="false"/>
                                <w:sz w:val="20"/>
                              </w:rPr>
                            </w:pPr>
                            <w:bookmarkStart w:id="138" w:name="a080"/>
                            <w:bookmarkEnd w:id="138"/>
                            <w:r>
                              <w:rPr>
                                <w:rFonts w:ascii="Arial;Helvetica;Sans-Serif" w:hAnsi="Arial;Helvetica;Sans-Serif"/>
                                <w:b/>
                                <w:i w:val="false"/>
                                <w:caps w:val="false"/>
                                <w:smallCaps w:val="false"/>
                                <w:color w:val="231F20"/>
                                <w:sz w:val="20"/>
                              </w:rPr>
                              <w:t xml:space="preserve">10. </w:t>
                            </w:r>
                            <w:r>
                              <w:rPr>
                                <w:rFonts w:ascii="Arial;Helvetica;Sans-Serif" w:hAnsi="Arial;Helvetica;Sans-Serif"/>
                                <w:b w:val="false"/>
                                <w:i w:val="false"/>
                                <w:caps w:val="false"/>
                                <w:smallCaps w:val="false"/>
                                <w:color w:val="EE0027"/>
                                <w:sz w:val="20"/>
                              </w:rPr>
                              <w:t>CEO PAY RATIO</w:t>
                            </w:r>
                          </w:p>
                          <w:p>
                            <w:pPr>
                              <w:pStyle w:val="TextBody"/>
                              <w:spacing w:before="0" w:after="0"/>
                              <w:ind w:left="20" w:right="0" w:hanging="0"/>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As required by item 402(u) of Regulation S-K, the compensation committee reviewed a comparison of our </w:t>
                            </w:r>
                            <w:r>
                              <w:rPr>
                                <w:rFonts w:ascii="Arial;Helvetica;Sans-Serif" w:hAnsi="Arial;Helvetica;Sans-Serif"/>
                                <w:b w:val="false"/>
                                <w:i w:val="false"/>
                                <w:caps w:val="false"/>
                                <w:smallCaps w:val="false"/>
                                <w:color w:val="58595B"/>
                                <w:spacing w:val="-3"/>
                                <w:sz w:val="18"/>
                              </w:rPr>
                              <w:t xml:space="preserve">CEO’s </w:t>
                            </w:r>
                            <w:r>
                              <w:rPr>
                                <w:rFonts w:ascii="Arial;Helvetica;Sans-Serif" w:hAnsi="Arial;Helvetica;Sans-Serif"/>
                                <w:b w:val="false"/>
                                <w:i w:val="false"/>
                                <w:caps w:val="false"/>
                                <w:smallCaps w:val="false"/>
                                <w:color w:val="58595B"/>
                                <w:sz w:val="18"/>
                              </w:rPr>
                              <w:t xml:space="preserve">annual total compensation in fiscal year 2022 to that of all other Company employees for the same period.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identified our median employee by determining December 2022 pay </w:t>
                            </w:r>
                            <w:r>
                              <w:rPr>
                                <w:rFonts w:ascii="Arial;Helvetica;Sans-Serif" w:hAnsi="Arial;Helvetica;Sans-Serif"/>
                                <w:b w:val="false"/>
                                <w:i w:val="false"/>
                                <w:caps w:val="false"/>
                                <w:smallCaps w:val="false"/>
                                <w:color w:val="58595B"/>
                                <w:spacing w:val="-3"/>
                                <w:sz w:val="18"/>
                              </w:rPr>
                              <w:t xml:space="preserve">(which </w:t>
                            </w:r>
                            <w:r>
                              <w:rPr>
                                <w:rFonts w:ascii="Arial;Helvetica;Sans-Serif" w:hAnsi="Arial;Helvetica;Sans-Serif"/>
                                <w:b w:val="false"/>
                                <w:i w:val="false"/>
                                <w:caps w:val="false"/>
                                <w:smallCaps w:val="false"/>
                                <w:color w:val="58595B"/>
                                <w:sz w:val="18"/>
                              </w:rPr>
                              <w:t xml:space="preserve">was our consistently applied compensation measure for purposes of this disclosure) for all of our employees (as defined for purposes Item 402(u) of Regulation S-K), excluding our </w:t>
                            </w:r>
                            <w:r>
                              <w:rPr>
                                <w:rFonts w:ascii="Arial;Helvetica;Sans-Serif" w:hAnsi="Arial;Helvetica;Sans-Serif"/>
                                <w:b w:val="false"/>
                                <w:i w:val="false"/>
                                <w:caps w:val="false"/>
                                <w:smallCaps w:val="false"/>
                                <w:color w:val="58595B"/>
                                <w:spacing w:val="-3"/>
                                <w:sz w:val="18"/>
                              </w:rPr>
                              <w:t xml:space="preserve">CEO, </w:t>
                            </w:r>
                            <w:r>
                              <w:rPr>
                                <w:rFonts w:ascii="Arial;Helvetica;Sans-Serif" w:hAnsi="Arial;Helvetica;Sans-Serif"/>
                                <w:b w:val="false"/>
                                <w:i w:val="false"/>
                                <w:caps w:val="false"/>
                                <w:smallCaps w:val="false"/>
                                <w:color w:val="58595B"/>
                                <w:sz w:val="18"/>
                              </w:rPr>
                              <w:t xml:space="preserve">who </w:t>
                            </w:r>
                            <w:r>
                              <w:rPr>
                                <w:rFonts w:ascii="Arial;Helvetica;Sans-Serif" w:hAnsi="Arial;Helvetica;Sans-Serif"/>
                                <w:b w:val="false"/>
                                <w:i w:val="false"/>
                                <w:caps w:val="false"/>
                                <w:smallCaps w:val="false"/>
                                <w:color w:val="58595B"/>
                                <w:spacing w:val="-3"/>
                                <w:sz w:val="18"/>
                              </w:rPr>
                              <w:t xml:space="preserve">were </w:t>
                            </w:r>
                            <w:r>
                              <w:rPr>
                                <w:rFonts w:ascii="Arial;Helvetica;Sans-Serif" w:hAnsi="Arial;Helvetica;Sans-Serif"/>
                                <w:b w:val="false"/>
                                <w:i w:val="false"/>
                                <w:caps w:val="false"/>
                                <w:smallCaps w:val="false"/>
                                <w:color w:val="58595B"/>
                                <w:sz w:val="18"/>
                              </w:rPr>
                              <w:t xml:space="preserve">employed by us on December 31, 2022. </w:t>
                            </w:r>
                            <w:r>
                              <w:rPr>
                                <w:rFonts w:ascii="Arial;Helvetica;Sans-Serif" w:hAnsi="Arial;Helvetica;Sans-Serif"/>
                                <w:b w:val="false"/>
                                <w:i w:val="false"/>
                                <w:caps w:val="false"/>
                                <w:smallCaps w:val="false"/>
                                <w:color w:val="58595B"/>
                                <w:spacing w:val="-4"/>
                                <w:sz w:val="18"/>
                              </w:rPr>
                              <w:t>For</w:t>
                            </w:r>
                            <w:r>
                              <w:rPr>
                                <w:rFonts w:ascii="Arial;Helvetica;Sans-Serif" w:hAnsi="Arial;Helvetica;Sans-Serif"/>
                                <w:b w:val="false"/>
                                <w:i w:val="false"/>
                                <w:caps w:val="false"/>
                                <w:smallCaps w:val="false"/>
                                <w:color w:val="58595B"/>
                                <w:sz w:val="18"/>
                              </w:rPr>
                              <w:t xml:space="preserve"> this purpose, the total pay for each employee was determined by calculating such </w:t>
                            </w:r>
                            <w:r>
                              <w:rPr>
                                <w:rFonts w:ascii="Arial;Helvetica;Sans-Serif" w:hAnsi="Arial;Helvetica;Sans-Serif"/>
                                <w:b w:val="false"/>
                                <w:i w:val="false"/>
                                <w:caps w:val="false"/>
                                <w:smallCaps w:val="false"/>
                                <w:color w:val="58595B"/>
                                <w:spacing w:val="-3"/>
                                <w:sz w:val="18"/>
                              </w:rPr>
                              <w:t xml:space="preserve">employee’s </w:t>
                            </w:r>
                            <w:r>
                              <w:rPr>
                                <w:rFonts w:ascii="Arial;Helvetica;Sans-Serif" w:hAnsi="Arial;Helvetica;Sans-Serif"/>
                                <w:b w:val="false"/>
                                <w:i w:val="false"/>
                                <w:caps w:val="false"/>
                                <w:smallCaps w:val="false"/>
                                <w:color w:val="58595B"/>
                                <w:sz w:val="18"/>
                              </w:rPr>
                              <w:t xml:space="preserve">total December 2022 compensation using the same categories of compensation that are required to be included in the Summary Compensation </w:t>
                            </w:r>
                            <w:r>
                              <w:rPr>
                                <w:rFonts w:ascii="Arial;Helvetica;Sans-Serif" w:hAnsi="Arial;Helvetica;Sans-Serif"/>
                                <w:b w:val="false"/>
                                <w:i w:val="false"/>
                                <w:caps w:val="false"/>
                                <w:smallCaps w:val="false"/>
                                <w:color w:val="58595B"/>
                                <w:spacing w:val="-5"/>
                                <w:sz w:val="18"/>
                              </w:rPr>
                              <w:t xml:space="preserve">Table.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then annualized that total for each employee, but did not annualize the compensation for temporary or seasonal employees or </w:t>
                            </w:r>
                            <w:r>
                              <w:rPr>
                                <w:rFonts w:ascii="Arial;Helvetica;Sans-Serif" w:hAnsi="Arial;Helvetica;Sans-Serif"/>
                                <w:b w:val="false"/>
                                <w:i w:val="false"/>
                                <w:caps w:val="false"/>
                                <w:smallCaps w:val="false"/>
                                <w:color w:val="58595B"/>
                                <w:spacing w:val="-3"/>
                                <w:sz w:val="18"/>
                              </w:rPr>
                              <w:t xml:space="preserve">make </w:t>
                            </w:r>
                            <w:r>
                              <w:rPr>
                                <w:rFonts w:ascii="Arial;Helvetica;Sans-Serif" w:hAnsi="Arial;Helvetica;Sans-Serif"/>
                                <w:b w:val="false"/>
                                <w:i w:val="false"/>
                                <w:caps w:val="false"/>
                                <w:smallCaps w:val="false"/>
                                <w:color w:val="58595B"/>
                                <w:sz w:val="18"/>
                              </w:rPr>
                              <w:t xml:space="preserve">full-time equivalent adjustments.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did not </w:t>
                            </w:r>
                            <w:r>
                              <w:rPr>
                                <w:rFonts w:ascii="Arial;Helvetica;Sans-Serif" w:hAnsi="Arial;Helvetica;Sans-Serif"/>
                                <w:b w:val="false"/>
                                <w:i w:val="false"/>
                                <w:caps w:val="false"/>
                                <w:smallCaps w:val="false"/>
                                <w:color w:val="58595B"/>
                                <w:spacing w:val="-3"/>
                                <w:sz w:val="18"/>
                              </w:rPr>
                              <w:t xml:space="preserve">make </w:t>
                            </w:r>
                            <w:r>
                              <w:rPr>
                                <w:rFonts w:ascii="Arial;Helvetica;Sans-Serif" w:hAnsi="Arial;Helvetica;Sans-Serif"/>
                                <w:b w:val="false"/>
                                <w:i w:val="false"/>
                                <w:caps w:val="false"/>
                                <w:smallCaps w:val="false"/>
                                <w:color w:val="58595B"/>
                                <w:sz w:val="18"/>
                              </w:rPr>
                              <w:t>any cost-</w:t>
                            </w:r>
                            <w:r>
                              <w:rPr>
                                <w:rFonts w:ascii="Arial;Helvetica;Sans-Serif" w:hAnsi="Arial;Helvetica;Sans-Serif"/>
                                <w:b w:val="false"/>
                                <w:i w:val="false"/>
                                <w:caps w:val="false"/>
                                <w:smallCaps w:val="false"/>
                                <w:color w:val="58595B"/>
                                <w:spacing w:val="-3"/>
                                <w:sz w:val="18"/>
                              </w:rPr>
                              <w:t xml:space="preserve">of-living </w:t>
                            </w:r>
                            <w:r>
                              <w:rPr>
                                <w:rFonts w:ascii="Arial;Helvetica;Sans-Serif" w:hAnsi="Arial;Helvetica;Sans-Serif"/>
                                <w:b w:val="false"/>
                                <w:i w:val="false"/>
                                <w:caps w:val="false"/>
                                <w:smallCaps w:val="false"/>
                                <w:color w:val="58595B"/>
                                <w:sz w:val="18"/>
                              </w:rPr>
                              <w:t xml:space="preserve">adjustments when identifying our median employee.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applied a foreign currency to U.S. dollar exchange rate to the compensation paid in foreign currency based on rates as of December 31, 2022.</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annual total compensation for fiscal year 2022 for our CEO was $3,986,998, as set forth in the 2022 Summary Compensation Table for 2022 above, and for our median employee it was $42,985, making the resulting ratio approximately 93 to 1. This was calculated, in a manner consistent with Item 402(u) of SEC Regulation S-K, based on our payroll and employment records. The SEC rules for identifying the “median employee” and calculating the pay ratio based on that employee’s annual total compensation allow reporting companies to adopt a variety of methodologies, and to make reasonable estimates and assumptions that reflect their compensation practices. As such, the pay ratios 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Approximately 60% of our employees are located outside of the United States, in several different countries. In several of these countries the cost of living is much lower than in the United States, as is employee compensation. In light of this, we also conducted a review of compensation for our employees located only in the United States. We included all such employees, and calculated the median of such employees using the same definitions and methodology as described above with respect to our full employee group. We determined that the annual total compensation of the median compensated U.S.-based employee, other than our CEO, was $72,716. The ratio of our CEO’s annual total compensation to that of such U.S.-based employee was 55 to 1.</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8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20" w:right="0" w:hanging="0"/>
                        <w:rPr>
                          <w:rFonts w:ascii="Times New Roman;Times;Serif" w:hAnsi="Times New Roman;Times;Serif"/>
                          <w:b w:val="false"/>
                          <w:i w:val="false"/>
                          <w:caps w:val="false"/>
                          <w:smallCaps w:val="false"/>
                          <w:sz w:val="20"/>
                        </w:rPr>
                      </w:pPr>
                      <w:bookmarkStart w:id="139" w:name="a080"/>
                      <w:bookmarkEnd w:id="139"/>
                      <w:r>
                        <w:rPr>
                          <w:rFonts w:ascii="Arial;Helvetica;Sans-Serif" w:hAnsi="Arial;Helvetica;Sans-Serif"/>
                          <w:b/>
                          <w:i w:val="false"/>
                          <w:caps w:val="false"/>
                          <w:smallCaps w:val="false"/>
                          <w:color w:val="231F20"/>
                          <w:sz w:val="20"/>
                        </w:rPr>
                        <w:t xml:space="preserve">10. </w:t>
                      </w:r>
                      <w:r>
                        <w:rPr>
                          <w:rFonts w:ascii="Arial;Helvetica;Sans-Serif" w:hAnsi="Arial;Helvetica;Sans-Serif"/>
                          <w:b w:val="false"/>
                          <w:i w:val="false"/>
                          <w:caps w:val="false"/>
                          <w:smallCaps w:val="false"/>
                          <w:color w:val="EE0027"/>
                          <w:sz w:val="20"/>
                        </w:rPr>
                        <w:t>CEO PAY RATIO</w:t>
                      </w:r>
                    </w:p>
                    <w:p>
                      <w:pPr>
                        <w:pStyle w:val="TextBody"/>
                        <w:spacing w:before="0" w:after="0"/>
                        <w:ind w:left="20" w:right="0" w:hanging="0"/>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As required by item 402(u) of Regulation S-K, the compensation committee reviewed a comparison of our </w:t>
                      </w:r>
                      <w:r>
                        <w:rPr>
                          <w:rFonts w:ascii="Arial;Helvetica;Sans-Serif" w:hAnsi="Arial;Helvetica;Sans-Serif"/>
                          <w:b w:val="false"/>
                          <w:i w:val="false"/>
                          <w:caps w:val="false"/>
                          <w:smallCaps w:val="false"/>
                          <w:color w:val="58595B"/>
                          <w:spacing w:val="-3"/>
                          <w:sz w:val="18"/>
                        </w:rPr>
                        <w:t xml:space="preserve">CEO’s </w:t>
                      </w:r>
                      <w:r>
                        <w:rPr>
                          <w:rFonts w:ascii="Arial;Helvetica;Sans-Serif" w:hAnsi="Arial;Helvetica;Sans-Serif"/>
                          <w:b w:val="false"/>
                          <w:i w:val="false"/>
                          <w:caps w:val="false"/>
                          <w:smallCaps w:val="false"/>
                          <w:color w:val="58595B"/>
                          <w:sz w:val="18"/>
                        </w:rPr>
                        <w:t xml:space="preserve">annual total compensation in fiscal year 2022 to that of all other Company employees for the same period.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identified our median employee by determining December 2022 pay </w:t>
                      </w:r>
                      <w:r>
                        <w:rPr>
                          <w:rFonts w:ascii="Arial;Helvetica;Sans-Serif" w:hAnsi="Arial;Helvetica;Sans-Serif"/>
                          <w:b w:val="false"/>
                          <w:i w:val="false"/>
                          <w:caps w:val="false"/>
                          <w:smallCaps w:val="false"/>
                          <w:color w:val="58595B"/>
                          <w:spacing w:val="-3"/>
                          <w:sz w:val="18"/>
                        </w:rPr>
                        <w:t xml:space="preserve">(which </w:t>
                      </w:r>
                      <w:r>
                        <w:rPr>
                          <w:rFonts w:ascii="Arial;Helvetica;Sans-Serif" w:hAnsi="Arial;Helvetica;Sans-Serif"/>
                          <w:b w:val="false"/>
                          <w:i w:val="false"/>
                          <w:caps w:val="false"/>
                          <w:smallCaps w:val="false"/>
                          <w:color w:val="58595B"/>
                          <w:sz w:val="18"/>
                        </w:rPr>
                        <w:t xml:space="preserve">was our consistently applied compensation measure for purposes of this disclosure) for all of our employees (as defined for purposes Item 402(u) of Regulation S-K), excluding our </w:t>
                      </w:r>
                      <w:r>
                        <w:rPr>
                          <w:rFonts w:ascii="Arial;Helvetica;Sans-Serif" w:hAnsi="Arial;Helvetica;Sans-Serif"/>
                          <w:b w:val="false"/>
                          <w:i w:val="false"/>
                          <w:caps w:val="false"/>
                          <w:smallCaps w:val="false"/>
                          <w:color w:val="58595B"/>
                          <w:spacing w:val="-3"/>
                          <w:sz w:val="18"/>
                        </w:rPr>
                        <w:t xml:space="preserve">CEO, </w:t>
                      </w:r>
                      <w:r>
                        <w:rPr>
                          <w:rFonts w:ascii="Arial;Helvetica;Sans-Serif" w:hAnsi="Arial;Helvetica;Sans-Serif"/>
                          <w:b w:val="false"/>
                          <w:i w:val="false"/>
                          <w:caps w:val="false"/>
                          <w:smallCaps w:val="false"/>
                          <w:color w:val="58595B"/>
                          <w:sz w:val="18"/>
                        </w:rPr>
                        <w:t xml:space="preserve">who </w:t>
                      </w:r>
                      <w:r>
                        <w:rPr>
                          <w:rFonts w:ascii="Arial;Helvetica;Sans-Serif" w:hAnsi="Arial;Helvetica;Sans-Serif"/>
                          <w:b w:val="false"/>
                          <w:i w:val="false"/>
                          <w:caps w:val="false"/>
                          <w:smallCaps w:val="false"/>
                          <w:color w:val="58595B"/>
                          <w:spacing w:val="-3"/>
                          <w:sz w:val="18"/>
                        </w:rPr>
                        <w:t xml:space="preserve">were </w:t>
                      </w:r>
                      <w:r>
                        <w:rPr>
                          <w:rFonts w:ascii="Arial;Helvetica;Sans-Serif" w:hAnsi="Arial;Helvetica;Sans-Serif"/>
                          <w:b w:val="false"/>
                          <w:i w:val="false"/>
                          <w:caps w:val="false"/>
                          <w:smallCaps w:val="false"/>
                          <w:color w:val="58595B"/>
                          <w:sz w:val="18"/>
                        </w:rPr>
                        <w:t xml:space="preserve">employed by us on December 31, 2022. </w:t>
                      </w:r>
                      <w:r>
                        <w:rPr>
                          <w:rFonts w:ascii="Arial;Helvetica;Sans-Serif" w:hAnsi="Arial;Helvetica;Sans-Serif"/>
                          <w:b w:val="false"/>
                          <w:i w:val="false"/>
                          <w:caps w:val="false"/>
                          <w:smallCaps w:val="false"/>
                          <w:color w:val="58595B"/>
                          <w:spacing w:val="-4"/>
                          <w:sz w:val="18"/>
                        </w:rPr>
                        <w:t>For</w:t>
                      </w:r>
                      <w:r>
                        <w:rPr>
                          <w:rFonts w:ascii="Arial;Helvetica;Sans-Serif" w:hAnsi="Arial;Helvetica;Sans-Serif"/>
                          <w:b w:val="false"/>
                          <w:i w:val="false"/>
                          <w:caps w:val="false"/>
                          <w:smallCaps w:val="false"/>
                          <w:color w:val="58595B"/>
                          <w:sz w:val="18"/>
                        </w:rPr>
                        <w:t xml:space="preserve"> this purpose, the total pay for each employee was determined by calculating such </w:t>
                      </w:r>
                      <w:r>
                        <w:rPr>
                          <w:rFonts w:ascii="Arial;Helvetica;Sans-Serif" w:hAnsi="Arial;Helvetica;Sans-Serif"/>
                          <w:b w:val="false"/>
                          <w:i w:val="false"/>
                          <w:caps w:val="false"/>
                          <w:smallCaps w:val="false"/>
                          <w:color w:val="58595B"/>
                          <w:spacing w:val="-3"/>
                          <w:sz w:val="18"/>
                        </w:rPr>
                        <w:t xml:space="preserve">employee’s </w:t>
                      </w:r>
                      <w:r>
                        <w:rPr>
                          <w:rFonts w:ascii="Arial;Helvetica;Sans-Serif" w:hAnsi="Arial;Helvetica;Sans-Serif"/>
                          <w:b w:val="false"/>
                          <w:i w:val="false"/>
                          <w:caps w:val="false"/>
                          <w:smallCaps w:val="false"/>
                          <w:color w:val="58595B"/>
                          <w:sz w:val="18"/>
                        </w:rPr>
                        <w:t xml:space="preserve">total December 2022 compensation using the same categories of compensation that are required to be included in the Summary Compensation </w:t>
                      </w:r>
                      <w:r>
                        <w:rPr>
                          <w:rFonts w:ascii="Arial;Helvetica;Sans-Serif" w:hAnsi="Arial;Helvetica;Sans-Serif"/>
                          <w:b w:val="false"/>
                          <w:i w:val="false"/>
                          <w:caps w:val="false"/>
                          <w:smallCaps w:val="false"/>
                          <w:color w:val="58595B"/>
                          <w:spacing w:val="-5"/>
                          <w:sz w:val="18"/>
                        </w:rPr>
                        <w:t xml:space="preserve">Table.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then annualized that total for each employee, but did not annualize the compensation for temporary or seasonal employees or </w:t>
                      </w:r>
                      <w:r>
                        <w:rPr>
                          <w:rFonts w:ascii="Arial;Helvetica;Sans-Serif" w:hAnsi="Arial;Helvetica;Sans-Serif"/>
                          <w:b w:val="false"/>
                          <w:i w:val="false"/>
                          <w:caps w:val="false"/>
                          <w:smallCaps w:val="false"/>
                          <w:color w:val="58595B"/>
                          <w:spacing w:val="-3"/>
                          <w:sz w:val="18"/>
                        </w:rPr>
                        <w:t xml:space="preserve">make </w:t>
                      </w:r>
                      <w:r>
                        <w:rPr>
                          <w:rFonts w:ascii="Arial;Helvetica;Sans-Serif" w:hAnsi="Arial;Helvetica;Sans-Serif"/>
                          <w:b w:val="false"/>
                          <w:i w:val="false"/>
                          <w:caps w:val="false"/>
                          <w:smallCaps w:val="false"/>
                          <w:color w:val="58595B"/>
                          <w:sz w:val="18"/>
                        </w:rPr>
                        <w:t xml:space="preserve">full-time equivalent adjustments.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 xml:space="preserve">did not </w:t>
                      </w:r>
                      <w:r>
                        <w:rPr>
                          <w:rFonts w:ascii="Arial;Helvetica;Sans-Serif" w:hAnsi="Arial;Helvetica;Sans-Serif"/>
                          <w:b w:val="false"/>
                          <w:i w:val="false"/>
                          <w:caps w:val="false"/>
                          <w:smallCaps w:val="false"/>
                          <w:color w:val="58595B"/>
                          <w:spacing w:val="-3"/>
                          <w:sz w:val="18"/>
                        </w:rPr>
                        <w:t xml:space="preserve">make </w:t>
                      </w:r>
                      <w:r>
                        <w:rPr>
                          <w:rFonts w:ascii="Arial;Helvetica;Sans-Serif" w:hAnsi="Arial;Helvetica;Sans-Serif"/>
                          <w:b w:val="false"/>
                          <w:i w:val="false"/>
                          <w:caps w:val="false"/>
                          <w:smallCaps w:val="false"/>
                          <w:color w:val="58595B"/>
                          <w:sz w:val="18"/>
                        </w:rPr>
                        <w:t>any cost-</w:t>
                      </w:r>
                      <w:r>
                        <w:rPr>
                          <w:rFonts w:ascii="Arial;Helvetica;Sans-Serif" w:hAnsi="Arial;Helvetica;Sans-Serif"/>
                          <w:b w:val="false"/>
                          <w:i w:val="false"/>
                          <w:caps w:val="false"/>
                          <w:smallCaps w:val="false"/>
                          <w:color w:val="58595B"/>
                          <w:spacing w:val="-3"/>
                          <w:sz w:val="18"/>
                        </w:rPr>
                        <w:t xml:space="preserve">of-living </w:t>
                      </w:r>
                      <w:r>
                        <w:rPr>
                          <w:rFonts w:ascii="Arial;Helvetica;Sans-Serif" w:hAnsi="Arial;Helvetica;Sans-Serif"/>
                          <w:b w:val="false"/>
                          <w:i w:val="false"/>
                          <w:caps w:val="false"/>
                          <w:smallCaps w:val="false"/>
                          <w:color w:val="58595B"/>
                          <w:sz w:val="18"/>
                        </w:rPr>
                        <w:t xml:space="preserve">adjustments when identifying our median employee. </w:t>
                      </w:r>
                      <w:r>
                        <w:rPr>
                          <w:rFonts w:ascii="Arial;Helvetica;Sans-Serif" w:hAnsi="Arial;Helvetica;Sans-Serif"/>
                          <w:b w:val="false"/>
                          <w:i w:val="false"/>
                          <w:caps w:val="false"/>
                          <w:smallCaps w:val="false"/>
                          <w:color w:val="58595B"/>
                          <w:spacing w:val="-6"/>
                          <w:sz w:val="18"/>
                        </w:rPr>
                        <w:t xml:space="preserve">We </w:t>
                      </w:r>
                      <w:r>
                        <w:rPr>
                          <w:rFonts w:ascii="Arial;Helvetica;Sans-Serif" w:hAnsi="Arial;Helvetica;Sans-Serif"/>
                          <w:b w:val="false"/>
                          <w:i w:val="false"/>
                          <w:caps w:val="false"/>
                          <w:smallCaps w:val="false"/>
                          <w:color w:val="58595B"/>
                          <w:sz w:val="18"/>
                        </w:rPr>
                        <w:t>applied a foreign currency to U.S. dollar exchange rate to the compensation paid in foreign currency based on rates as of December 31, 2022.</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annual total compensation for fiscal year 2022 for our CEO was $3,986,998, as set forth in the 2022 Summary Compensation Table for 2022 above, and for our median employee it was $42,985, making the resulting ratio approximately 93 to 1. This was calculated, in a manner consistent with Item 402(u) of SEC Regulation S-K, based on our payroll and employment records. The SEC rules for identifying the “median employee” and calculating the pay ratio based on that employee’s annual total compensation allow reporting companies to adopt a variety of methodologies, and to make reasonable estimates and assumptions that reflect their compensation practices. As such, the pay ratios reported by other companies may not be comparable to the pay ratio set forth above, as other companies may have different employment and compensation practices and may utilize different methodologies, exclusions, estimates and assumptions in calculating their own pay ratios.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Approximately 60% of our employees are located outside of the United States, in several different countries. In several of these countries the cost of living is much lower than in the United States, as is employee compensation. In light of this, we also conducted a review of compensation for our employees located only in the United States. We included all such employees, and calculated the median of such employees using the same definitions and methodology as described above with respect to our full employee group. We determined that the annual total compensation of the median compensated U.S.-based employee, other than our CEO, was $72,716. The ratio of our CEO’s annual total compensation to that of such U.S.-based employee was 55 to 1.</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p>
    <w:p>
      <w:pPr>
        <w:pStyle w:val="TextBody"/>
        <w:rPr/>
      </w:pPr>
      <w:r>
        <w:rPr/>
      </w:r>
    </w:p>
    <w:p>
      <w:pPr>
        <w:pStyle w:val="TextBody"/>
        <w:rPr>
          <w:caps w:val="false"/>
          <w:smallCaps w:val="false"/>
          <w:color w:val="58595B"/>
        </w:rPr>
      </w:pPr>
      <w:r>
        <w:rPr>
          <w:caps w:val="false"/>
          <w:smallCaps w:val="false"/>
          <w:color w:val="58595B"/>
        </w:rPr>
        <w:t> </w:t>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54</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11. </w:t>
      </w:r>
      <w:r>
        <w:rPr>
          <w:rFonts w:ascii="Arial;Helvetica;Sans-Serif" w:hAnsi="Arial;Helvetica;Sans-Serif"/>
          <w:b w:val="false"/>
          <w:i w:val="false"/>
          <w:caps w:val="false"/>
          <w:smallCaps w:val="false"/>
          <w:color w:val="EE0027"/>
          <w:sz w:val="20"/>
        </w:rPr>
        <w:t>PAY VERSUS PERFORMANCE DISCLOSURE</w:t>
      </w:r>
    </w:p>
    <w:p>
      <w:pPr>
        <w:pStyle w:val="TextBody"/>
        <w:rPr>
          <w:caps w:val="false"/>
          <w:smallCaps w:val="false"/>
        </w:rPr>
      </w:pPr>
      <w:r>
        <w:rPr>
          <w:caps w:val="false"/>
          <w:smallCaps w:val="false"/>
        </w:rPr>
        <w:t> </w:t>
      </w:r>
    </w:p>
    <w:p>
      <w:pPr>
        <w:pStyle w:val="TextBody"/>
        <w:spacing w:lineRule="auto" w:line="240"/>
        <w:rPr>
          <w:rFonts w:ascii="Arial;Helvetica;Sans-Serif" w:hAnsi="Arial;Helvetica;Sans-Serif"/>
          <w:b/>
          <w:i w:val="false"/>
          <w:caps w:val="false"/>
          <w:smallCaps w:val="false"/>
          <w:color w:val="EE0027"/>
          <w:sz w:val="20"/>
        </w:rPr>
      </w:pPr>
      <w:bookmarkStart w:id="140" w:name="a082"/>
      <w:bookmarkEnd w:id="140"/>
      <w:r>
        <w:rPr>
          <w:rFonts w:ascii="Arial;Helvetica;Sans-Serif" w:hAnsi="Arial;Helvetica;Sans-Serif"/>
          <w:b/>
          <w:i w:val="false"/>
          <w:caps w:val="false"/>
          <w:smallCaps w:val="false"/>
          <w:color w:val="EE0027"/>
          <w:sz w:val="20"/>
        </w:rPr>
        <w:t>Pay Versus Performance Table(1)</w:t>
      </w:r>
    </w:p>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538"/>
        <w:gridCol w:w="1288"/>
        <w:gridCol w:w="1190"/>
        <w:gridCol w:w="1512"/>
        <w:gridCol w:w="1288"/>
        <w:gridCol w:w="1101"/>
        <w:gridCol w:w="1132"/>
        <w:gridCol w:w="864"/>
        <w:gridCol w:w="1292"/>
      </w:tblGrid>
      <w:tr>
        <w:trPr/>
        <w:tc>
          <w:tcPr>
            <w:tcW w:w="538" w:type="dxa"/>
            <w:vMerge w:val="restart"/>
            <w:tcBorders/>
            <w:shd w:fill="EE0027" w:val="clear"/>
            <w:vAlign w:val="center"/>
          </w:tcPr>
          <w:p>
            <w:pPr>
              <w:pStyle w:val="TableContents"/>
              <w:spacing w:lineRule="auto" w:line="240"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Year (a)</w:t>
            </w:r>
          </w:p>
        </w:tc>
        <w:tc>
          <w:tcPr>
            <w:tcW w:w="1288" w:type="dxa"/>
            <w:vMerge w:val="restart"/>
            <w:tcBorders/>
            <w:shd w:fill="EE0027" w:val="clear"/>
            <w:vAlign w:val="center"/>
          </w:tcPr>
          <w:p>
            <w:pPr>
              <w:pStyle w:val="TableContents"/>
              <w:spacing w:lineRule="auto" w:line="240" w:before="0" w:after="0"/>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Summary</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Compensation</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Table (“SCT”)</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Total for PEO (b)</w:t>
            </w:r>
          </w:p>
        </w:tc>
        <w:tc>
          <w:tcPr>
            <w:tcW w:w="1190" w:type="dxa"/>
            <w:vMerge w:val="restart"/>
            <w:tcBorders/>
            <w:shd w:fill="EE0027" w:val="clear"/>
            <w:vAlign w:val="center"/>
          </w:tcPr>
          <w:p>
            <w:pPr>
              <w:pStyle w:val="TableContents"/>
              <w:spacing w:lineRule="auto" w:line="240" w:before="0" w:after="0"/>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Compensation</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Actually Paid</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to PEO (c) (2)</w:t>
            </w:r>
          </w:p>
        </w:tc>
        <w:tc>
          <w:tcPr>
            <w:tcW w:w="1512" w:type="dxa"/>
            <w:vMerge w:val="restart"/>
            <w:tcBorders/>
            <w:shd w:fill="EE0027" w:val="clear"/>
            <w:vAlign w:val="center"/>
          </w:tcPr>
          <w:p>
            <w:pPr>
              <w:pStyle w:val="TableContents"/>
              <w:spacing w:before="0" w:after="0"/>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Average Summary</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Compensation</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Table Total for</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Non-PEO Named</w:t>
            </w:r>
          </w:p>
          <w:p>
            <w:pPr>
              <w:pStyle w:val="TableContents"/>
              <w:spacing w:lineRule="auto" w:line="240"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Executive Officers (d)</w:t>
            </w:r>
          </w:p>
        </w:tc>
        <w:tc>
          <w:tcPr>
            <w:tcW w:w="1288" w:type="dxa"/>
            <w:vMerge w:val="restart"/>
            <w:tcBorders/>
            <w:shd w:fill="EE0027" w:val="clear"/>
            <w:vAlign w:val="center"/>
          </w:tcPr>
          <w:p>
            <w:pPr>
              <w:pStyle w:val="TableContents"/>
              <w:spacing w:lineRule="auto" w:line="240" w:before="0" w:after="0"/>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Average</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Compensation</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Actually Paid to</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Non-PEO Named</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Executive</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Officers (e) (2)</w:t>
            </w:r>
          </w:p>
        </w:tc>
        <w:tc>
          <w:tcPr>
            <w:tcW w:w="2233" w:type="dxa"/>
            <w:gridSpan w:val="2"/>
            <w:tcBorders>
              <w:bottom w:val="single" w:sz="8" w:space="0" w:color="FFFFFF"/>
            </w:tcBorders>
            <w:shd w:fill="EE0027" w:val="clear"/>
            <w:tcMar>
              <w:bottom w:w="60" w:type="dxa"/>
            </w:tcMar>
            <w:vAlign w:val="center"/>
          </w:tcPr>
          <w:p>
            <w:pPr>
              <w:pStyle w:val="TableContents"/>
              <w:spacing w:before="0" w:after="0"/>
              <w:jc w:val="center"/>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VALUE OF INITIAL FIXED $100</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INVESTMENT BASED ON:</w:t>
            </w:r>
          </w:p>
        </w:tc>
        <w:tc>
          <w:tcPr>
            <w:tcW w:w="864" w:type="dxa"/>
            <w:vMerge w:val="restart"/>
            <w:tcBorders/>
            <w:shd w:fill="EE0027" w:val="clear"/>
            <w:vAlign w:val="center"/>
          </w:tcPr>
          <w:p>
            <w:pPr>
              <w:pStyle w:val="TableContents"/>
              <w:spacing w:before="0" w:after="0"/>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 xml:space="preserve">Net Income </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(in millions)</w:t>
            </w:r>
            <w:r>
              <w:rPr>
                <w:rFonts w:ascii="Arial;Helvetica;Sans-Serif" w:hAnsi="Arial;Helvetica;Sans-Serif"/>
                <w:b w:val="false"/>
                <w:i w:val="false"/>
                <w:caps w:val="false"/>
                <w:smallCaps w:val="false"/>
                <w:color w:val="FFFFFF"/>
                <w:sz w:val="16"/>
              </w:rPr>
              <w:t> </w:t>
            </w:r>
          </w:p>
          <w:p>
            <w:pPr>
              <w:pStyle w:val="TableContents"/>
              <w:spacing w:lineRule="auto" w:line="240"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(h) (5)</w:t>
            </w:r>
          </w:p>
        </w:tc>
        <w:tc>
          <w:tcPr>
            <w:tcW w:w="1292" w:type="dxa"/>
            <w:vMerge w:val="restart"/>
            <w:tcBorders/>
            <w:shd w:fill="EE0027" w:val="clear"/>
            <w:vAlign w:val="center"/>
          </w:tcPr>
          <w:p>
            <w:pPr>
              <w:pStyle w:val="TableContents"/>
              <w:spacing w:lineRule="auto" w:line="240" w:before="0" w:after="0"/>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Company-</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Selected Measure:</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Adjusted EPS (i) (6)</w:t>
            </w:r>
          </w:p>
        </w:tc>
      </w:tr>
      <w:tr>
        <w:trPr/>
        <w:tc>
          <w:tcPr>
            <w:tcW w:w="538" w:type="dxa"/>
            <w:vMerge w:val="continue"/>
            <w:tcBorders/>
            <w:shd w:fill="EE0027" w:val="clear"/>
            <w:vAlign w:val="center"/>
          </w:tcPr>
          <w:p>
            <w:pPr>
              <w:pStyle w:val="Normal"/>
              <w:rPr/>
            </w:pPr>
            <w:r>
              <w:rPr/>
            </w:r>
          </w:p>
        </w:tc>
        <w:tc>
          <w:tcPr>
            <w:tcW w:w="1288" w:type="dxa"/>
            <w:vMerge w:val="continue"/>
            <w:tcBorders/>
            <w:shd w:fill="EE0027" w:val="clear"/>
            <w:vAlign w:val="center"/>
          </w:tcPr>
          <w:p>
            <w:pPr>
              <w:pStyle w:val="Normal"/>
              <w:rPr/>
            </w:pPr>
            <w:r>
              <w:rPr/>
            </w:r>
          </w:p>
        </w:tc>
        <w:tc>
          <w:tcPr>
            <w:tcW w:w="1190" w:type="dxa"/>
            <w:vMerge w:val="continue"/>
            <w:tcBorders/>
            <w:shd w:fill="EE0027" w:val="clear"/>
            <w:vAlign w:val="center"/>
          </w:tcPr>
          <w:p>
            <w:pPr>
              <w:pStyle w:val="Normal"/>
              <w:rPr/>
            </w:pPr>
            <w:r>
              <w:rPr/>
            </w:r>
          </w:p>
        </w:tc>
        <w:tc>
          <w:tcPr>
            <w:tcW w:w="1512" w:type="dxa"/>
            <w:vMerge w:val="continue"/>
            <w:tcBorders/>
            <w:shd w:fill="EE0027" w:val="clear"/>
            <w:vAlign w:val="center"/>
          </w:tcPr>
          <w:p>
            <w:pPr>
              <w:pStyle w:val="Normal"/>
              <w:rPr/>
            </w:pPr>
            <w:r>
              <w:rPr/>
            </w:r>
          </w:p>
        </w:tc>
        <w:tc>
          <w:tcPr>
            <w:tcW w:w="1288" w:type="dxa"/>
            <w:vMerge w:val="continue"/>
            <w:tcBorders/>
            <w:shd w:fill="EE0027" w:val="clear"/>
            <w:vAlign w:val="center"/>
          </w:tcPr>
          <w:p>
            <w:pPr>
              <w:pStyle w:val="Normal"/>
              <w:rPr/>
            </w:pPr>
            <w:r>
              <w:rPr/>
            </w:r>
          </w:p>
        </w:tc>
        <w:tc>
          <w:tcPr>
            <w:tcW w:w="1101" w:type="dxa"/>
            <w:tcBorders/>
            <w:shd w:fill="EE0027" w:val="clear"/>
            <w:vAlign w:val="center"/>
          </w:tcPr>
          <w:p>
            <w:pPr>
              <w:pStyle w:val="TableContents"/>
              <w:spacing w:lineRule="auto" w:line="240" w:before="0" w:after="283"/>
              <w:rPr/>
            </w:pPr>
            <w:r>
              <w:rPr>
                <w:rFonts w:ascii="Arial;Helvetica;Sans-Serif" w:hAnsi="Arial;Helvetica;Sans-Serif"/>
                <w:b/>
                <w:color w:val="FFFFFF"/>
                <w:sz w:val="16"/>
              </w:rPr>
              <w:t xml:space="preserve">Total </w:t>
            </w:r>
            <w:r>
              <w:rPr>
                <w:rFonts w:ascii="Arial;Helvetica;Sans-Serif" w:hAnsi="Arial;Helvetica;Sans-Serif"/>
                <w:sz w:val="16"/>
              </w:rPr>
              <w:br/>
            </w:r>
            <w:r>
              <w:rPr>
                <w:rFonts w:ascii="Arial;Helvetica;Sans-Serif" w:hAnsi="Arial;Helvetica;Sans-Serif"/>
                <w:b/>
                <w:color w:val="FFFFFF"/>
                <w:sz w:val="16"/>
              </w:rPr>
              <w:t xml:space="preserve">Shareholder </w:t>
            </w:r>
            <w:r>
              <w:rPr>
                <w:rFonts w:ascii="Arial;Helvetica;Sans-Serif" w:hAnsi="Arial;Helvetica;Sans-Serif"/>
                <w:sz w:val="16"/>
              </w:rPr>
              <w:br/>
            </w:r>
            <w:r>
              <w:rPr>
                <w:rFonts w:ascii="Arial;Helvetica;Sans-Serif" w:hAnsi="Arial;Helvetica;Sans-Serif"/>
                <w:b/>
                <w:color w:val="FFFFFF"/>
                <w:sz w:val="16"/>
              </w:rPr>
              <w:t>Return (f) (3)</w:t>
            </w:r>
          </w:p>
        </w:tc>
        <w:tc>
          <w:tcPr>
            <w:tcW w:w="1132" w:type="dxa"/>
            <w:tcBorders/>
            <w:shd w:fill="EE0027" w:val="clear"/>
            <w:vAlign w:val="center"/>
          </w:tcPr>
          <w:p>
            <w:pPr>
              <w:pStyle w:val="TableContents"/>
              <w:spacing w:lineRule="auto" w:line="240" w:before="0" w:after="0"/>
              <w:rPr>
                <w:rFonts w:ascii="Times New Roman;Times;Serif" w:hAnsi="Times New Roman;Times;Serif"/>
                <w:b w:val="false"/>
                <w:i w:val="false"/>
                <w:caps w:val="false"/>
                <w:smallCaps w:val="false"/>
                <w:color w:val="FFFFFF"/>
                <w:sz w:val="20"/>
              </w:rPr>
            </w:pPr>
            <w:r>
              <w:rPr>
                <w:rFonts w:ascii="Arial;Helvetica;Sans-Serif" w:hAnsi="Arial;Helvetica;Sans-Serif"/>
                <w:b/>
                <w:i w:val="false"/>
                <w:caps w:val="false"/>
                <w:smallCaps w:val="false"/>
                <w:color w:val="FFFFFF"/>
                <w:sz w:val="16"/>
              </w:rPr>
              <w:t>Peer Group</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Total</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Shareholder</w:t>
            </w:r>
            <w:r>
              <w:rPr>
                <w:rFonts w:ascii="Times New Roman;Times;Serif" w:hAnsi="Times New Roman;Times;Serif"/>
                <w:b w:val="false"/>
                <w:i w:val="false"/>
                <w:caps w:val="false"/>
                <w:smallCaps w:val="false"/>
                <w:color w:val="FFFFFF"/>
                <w:sz w:val="20"/>
              </w:rPr>
              <w:br/>
            </w:r>
            <w:r>
              <w:rPr>
                <w:rFonts w:ascii="Arial;Helvetica;Sans-Serif" w:hAnsi="Arial;Helvetica;Sans-Serif"/>
                <w:b/>
                <w:i w:val="false"/>
                <w:caps w:val="false"/>
                <w:smallCaps w:val="false"/>
                <w:color w:val="FFFFFF"/>
                <w:sz w:val="16"/>
              </w:rPr>
              <w:t>Return (g) (4)</w:t>
            </w:r>
          </w:p>
        </w:tc>
        <w:tc>
          <w:tcPr>
            <w:tcW w:w="864" w:type="dxa"/>
            <w:vMerge w:val="continue"/>
            <w:tcBorders/>
            <w:shd w:fill="EE0027" w:val="clear"/>
            <w:vAlign w:val="center"/>
          </w:tcPr>
          <w:p>
            <w:pPr>
              <w:pStyle w:val="Normal"/>
              <w:rPr/>
            </w:pPr>
            <w:r>
              <w:rPr/>
            </w:r>
          </w:p>
        </w:tc>
        <w:tc>
          <w:tcPr>
            <w:tcW w:w="1292" w:type="dxa"/>
            <w:vMerge w:val="continue"/>
            <w:tcBorders/>
            <w:shd w:fill="EE0027" w:val="clear"/>
            <w:vAlign w:val="center"/>
          </w:tcPr>
          <w:p>
            <w:pPr>
              <w:pStyle w:val="Normal"/>
              <w:rPr/>
            </w:pPr>
            <w:r>
              <w:rPr/>
            </w:r>
          </w:p>
        </w:tc>
      </w:tr>
      <w:tr>
        <w:trPr/>
        <w:tc>
          <w:tcPr>
            <w:tcW w:w="538"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2022</w:t>
            </w:r>
          </w:p>
        </w:tc>
        <w:tc>
          <w:tcPr>
            <w:tcW w:w="1288"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$3,986,998</w:t>
            </w:r>
          </w:p>
        </w:tc>
        <w:tc>
          <w:tcPr>
            <w:tcW w:w="119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($24,347,434)</w:t>
            </w:r>
          </w:p>
        </w:tc>
        <w:tc>
          <w:tcPr>
            <w:tcW w:w="1512"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$3,883,399</w:t>
            </w:r>
          </w:p>
        </w:tc>
        <w:tc>
          <w:tcPr>
            <w:tcW w:w="1288"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$208,386</w:t>
            </w:r>
          </w:p>
        </w:tc>
        <w:tc>
          <w:tcPr>
            <w:tcW w:w="1101"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$63.84</w:t>
            </w:r>
          </w:p>
        </w:tc>
        <w:tc>
          <w:tcPr>
            <w:tcW w:w="1132"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$98.20</w:t>
            </w:r>
          </w:p>
        </w:tc>
        <w:tc>
          <w:tcPr>
            <w:tcW w:w="864"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$954</w:t>
            </w:r>
          </w:p>
        </w:tc>
        <w:tc>
          <w:tcPr>
            <w:tcW w:w="1292"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$16.10</w:t>
            </w:r>
          </w:p>
        </w:tc>
      </w:tr>
      <w:tr>
        <w:trPr/>
        <w:tc>
          <w:tcPr>
            <w:tcW w:w="538"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2021</w:t>
            </w:r>
          </w:p>
        </w:tc>
        <w:tc>
          <w:tcPr>
            <w:tcW w:w="1288"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$57,923,473</w:t>
            </w:r>
          </w:p>
        </w:tc>
        <w:tc>
          <w:tcPr>
            <w:tcW w:w="119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$31,186,881</w:t>
            </w:r>
          </w:p>
        </w:tc>
        <w:tc>
          <w:tcPr>
            <w:tcW w:w="1512"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$4,524,830</w:t>
            </w:r>
          </w:p>
        </w:tc>
        <w:tc>
          <w:tcPr>
            <w:tcW w:w="1288"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$2,515,971</w:t>
            </w:r>
          </w:p>
        </w:tc>
        <w:tc>
          <w:tcPr>
            <w:tcW w:w="1101"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$77.80</w:t>
            </w:r>
          </w:p>
        </w:tc>
        <w:tc>
          <w:tcPr>
            <w:tcW w:w="1132"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$118.74</w:t>
            </w:r>
          </w:p>
        </w:tc>
        <w:tc>
          <w:tcPr>
            <w:tcW w:w="864"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$839</w:t>
            </w:r>
          </w:p>
        </w:tc>
        <w:tc>
          <w:tcPr>
            <w:tcW w:w="1292"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$13.21</w:t>
            </w:r>
          </w:p>
        </w:tc>
      </w:tr>
      <w:tr>
        <w:trPr/>
        <w:tc>
          <w:tcPr>
            <w:tcW w:w="538"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2020</w:t>
            </w:r>
          </w:p>
        </w:tc>
        <w:tc>
          <w:tcPr>
            <w:tcW w:w="1288"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$1,311,225</w:t>
            </w:r>
          </w:p>
        </w:tc>
        <w:tc>
          <w:tcPr>
            <w:tcW w:w="119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($325,275)</w:t>
            </w:r>
          </w:p>
        </w:tc>
        <w:tc>
          <w:tcPr>
            <w:tcW w:w="1512"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$2,179,759</w:t>
            </w:r>
          </w:p>
        </w:tc>
        <w:tc>
          <w:tcPr>
            <w:tcW w:w="1288"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$2,244,485</w:t>
            </w:r>
          </w:p>
        </w:tc>
        <w:tc>
          <w:tcPr>
            <w:tcW w:w="1101"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$94.82</w:t>
            </w:r>
          </w:p>
        </w:tc>
        <w:tc>
          <w:tcPr>
            <w:tcW w:w="1132"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$124.60</w:t>
            </w:r>
          </w:p>
        </w:tc>
        <w:tc>
          <w:tcPr>
            <w:tcW w:w="864"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$704</w:t>
            </w:r>
          </w:p>
        </w:tc>
        <w:tc>
          <w:tcPr>
            <w:tcW w:w="1292"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$11.09</w:t>
            </w:r>
          </w:p>
        </w:tc>
      </w:tr>
    </w:tbl>
    <w:p>
      <w:pPr>
        <w:pStyle w:val="TextBody"/>
        <w:rPr>
          <w:caps w:val="false"/>
          <w:smallCaps w:val="false"/>
        </w:rPr>
      </w:pPr>
      <w:r>
        <w:rPr>
          <w:caps w:val="false"/>
          <w:smallCaps w:val="false"/>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(1)</w:t>
      </w:r>
      <w:r>
        <w:rPr>
          <w:rFonts w:ascii="Times New Roman;Times;Serif" w:hAnsi="Times New Roman;Times;Serif"/>
          <w:b w:val="false"/>
          <w:i w:val="false"/>
          <w:caps w:val="false"/>
          <w:smallCaps w:val="false"/>
          <w:color w:val="58595B"/>
          <w:spacing w:val="-3"/>
          <w:sz w:val="20"/>
        </w:rPr>
        <w:t xml:space="preserve"> </w:t>
      </w:r>
      <w:r>
        <w:rPr>
          <w:rFonts w:ascii="Arial;Helvetica;Sans-Serif" w:hAnsi="Arial;Helvetica;Sans-Serif"/>
          <w:b w:val="false"/>
          <w:i/>
          <w:caps w:val="false"/>
          <w:smallCaps w:val="false"/>
          <w:color w:val="58595B"/>
          <w:spacing w:val="-3"/>
          <w:sz w:val="16"/>
        </w:rPr>
        <w:t>Mr. Clarke</w:t>
      </w:r>
      <w:r>
        <w:rPr>
          <w:rFonts w:ascii="Times New Roman;Times;Serif" w:hAnsi="Times New Roman;Times;Serif"/>
          <w:b w:val="false"/>
          <w:i w:val="false"/>
          <w:caps w:val="false"/>
          <w:smallCaps w:val="false"/>
          <w:color w:val="58595B"/>
          <w:sz w:val="20"/>
        </w:rPr>
        <w:t xml:space="preserve"> </w:t>
      </w:r>
      <w:r>
        <w:rPr>
          <w:rFonts w:ascii="Arial;Helvetica;Sans-Serif" w:hAnsi="Arial;Helvetica;Sans-Serif"/>
          <w:b w:val="false"/>
          <w:i/>
          <w:caps w:val="false"/>
          <w:smallCaps w:val="false"/>
          <w:color w:val="58595B"/>
          <w:sz w:val="16"/>
        </w:rPr>
        <w:t xml:space="preserve">was our principal executive officer (“PEO”) for the full year for each of 2022, 2021 and 2020. </w:t>
      </w:r>
      <w:r>
        <w:rPr>
          <w:rFonts w:ascii="Arial;Helvetica;Sans-Serif" w:hAnsi="Arial;Helvetica;Sans-Serif"/>
          <w:b w:val="false"/>
          <w:i/>
          <w:caps w:val="false"/>
          <w:smallCaps w:val="false"/>
          <w:color w:val="58595B"/>
          <w:spacing w:val="-3"/>
          <w:sz w:val="16"/>
        </w:rPr>
        <w:t xml:space="preserve">For </w:t>
      </w:r>
      <w:r>
        <w:rPr>
          <w:rFonts w:ascii="Arial;Helvetica;Sans-Serif" w:hAnsi="Arial;Helvetica;Sans-Serif"/>
          <w:b w:val="false"/>
          <w:i/>
          <w:caps w:val="false"/>
          <w:smallCaps w:val="false"/>
          <w:color w:val="58595B"/>
          <w:sz w:val="16"/>
        </w:rPr>
        <w:t xml:space="preserve">2022, our non-PEO NEOs were Ms. </w:t>
      </w:r>
      <w:r>
        <w:rPr>
          <w:rFonts w:ascii="Arial;Helvetica;Sans-Serif" w:hAnsi="Arial;Helvetica;Sans-Serif"/>
          <w:b w:val="false"/>
          <w:i/>
          <w:caps w:val="false"/>
          <w:smallCaps w:val="false"/>
          <w:color w:val="58595B"/>
          <w:spacing w:val="-3"/>
          <w:sz w:val="16"/>
        </w:rPr>
        <w:t>Vickery, Mr. Freund, Mr.</w:t>
      </w:r>
      <w:r>
        <w:rPr>
          <w:rFonts w:ascii="Arial;Helvetica;Sans-Serif" w:hAnsi="Arial;Helvetica;Sans-Serif"/>
          <w:b w:val="false"/>
          <w:i/>
          <w:caps w:val="false"/>
          <w:smallCaps w:val="false"/>
          <w:color w:val="58595B"/>
          <w:sz w:val="16"/>
        </w:rPr>
        <w:t xml:space="preserve"> Netto, </w:t>
      </w:r>
      <w:r>
        <w:rPr>
          <w:rFonts w:ascii="Arial;Helvetica;Sans-Serif" w:hAnsi="Arial;Helvetica;Sans-Serif"/>
          <w:b w:val="false"/>
          <w:i/>
          <w:caps w:val="false"/>
          <w:smallCaps w:val="false"/>
          <w:color w:val="58595B"/>
          <w:spacing w:val="-3"/>
          <w:sz w:val="16"/>
        </w:rPr>
        <w:t xml:space="preserve">Mr. </w:t>
      </w:r>
      <w:r>
        <w:rPr>
          <w:rFonts w:ascii="Arial;Helvetica;Sans-Serif" w:hAnsi="Arial;Helvetica;Sans-Serif"/>
          <w:b w:val="false"/>
          <w:i/>
          <w:caps w:val="false"/>
          <w:smallCaps w:val="false"/>
          <w:color w:val="58595B"/>
          <w:sz w:val="16"/>
        </w:rPr>
        <w:t xml:space="preserve">King, </w:t>
      </w:r>
      <w:r>
        <w:rPr>
          <w:rFonts w:ascii="Arial;Helvetica;Sans-Serif" w:hAnsi="Arial;Helvetica;Sans-Serif"/>
          <w:b w:val="false"/>
          <w:i/>
          <w:caps w:val="false"/>
          <w:smallCaps w:val="false"/>
          <w:color w:val="58595B"/>
          <w:spacing w:val="-3"/>
          <w:sz w:val="16"/>
        </w:rPr>
        <w:t>Mr.</w:t>
      </w:r>
      <w:r>
        <w:rPr>
          <w:rFonts w:ascii="Arial;Helvetica;Sans-Serif" w:hAnsi="Arial;Helvetica;Sans-Serif"/>
          <w:b w:val="false"/>
          <w:i/>
          <w:caps w:val="false"/>
          <w:smallCaps w:val="false"/>
          <w:color w:val="58595B"/>
          <w:sz w:val="16"/>
        </w:rPr>
        <w:t xml:space="preserve"> Gavrilenya and </w:t>
      </w:r>
      <w:r>
        <w:rPr>
          <w:rFonts w:ascii="Arial;Helvetica;Sans-Serif" w:hAnsi="Arial;Helvetica;Sans-Serif"/>
          <w:b w:val="false"/>
          <w:i/>
          <w:caps w:val="false"/>
          <w:smallCaps w:val="false"/>
          <w:color w:val="58595B"/>
          <w:spacing w:val="-3"/>
          <w:sz w:val="16"/>
        </w:rPr>
        <w:t>Mr.</w:t>
      </w:r>
      <w:r>
        <w:rPr>
          <w:rFonts w:ascii="Arial;Helvetica;Sans-Serif" w:hAnsi="Arial;Helvetica;Sans-Serif"/>
          <w:b w:val="false"/>
          <w:i/>
          <w:caps w:val="false"/>
          <w:smallCaps w:val="false"/>
          <w:color w:val="58595B"/>
          <w:sz w:val="16"/>
        </w:rPr>
        <w:t xml:space="preserve"> Coughlin. </w:t>
      </w:r>
      <w:r>
        <w:rPr>
          <w:rFonts w:ascii="Arial;Helvetica;Sans-Serif" w:hAnsi="Arial;Helvetica;Sans-Serif"/>
          <w:b w:val="false"/>
          <w:i/>
          <w:caps w:val="false"/>
          <w:smallCaps w:val="false"/>
          <w:color w:val="58595B"/>
          <w:spacing w:val="-3"/>
          <w:sz w:val="16"/>
        </w:rPr>
        <w:t>For</w:t>
      </w:r>
      <w:r>
        <w:rPr>
          <w:rFonts w:ascii="Arial;Helvetica;Sans-Serif" w:hAnsi="Arial;Helvetica;Sans-Serif"/>
          <w:b w:val="false"/>
          <w:i/>
          <w:caps w:val="false"/>
          <w:smallCaps w:val="false"/>
          <w:color w:val="58595B"/>
          <w:sz w:val="16"/>
        </w:rPr>
        <w:t xml:space="preserve"> 2021, our non-PEO NEOs were </w:t>
      </w:r>
      <w:r>
        <w:rPr>
          <w:rFonts w:ascii="Arial;Helvetica;Sans-Serif" w:hAnsi="Arial;Helvetica;Sans-Serif"/>
          <w:b w:val="false"/>
          <w:i/>
          <w:caps w:val="false"/>
          <w:smallCaps w:val="false"/>
          <w:color w:val="58595B"/>
          <w:spacing w:val="-3"/>
          <w:sz w:val="16"/>
        </w:rPr>
        <w:t>Mr. Freund, Mr.</w:t>
      </w:r>
      <w:r>
        <w:rPr>
          <w:rFonts w:ascii="Arial;Helvetica;Sans-Serif" w:hAnsi="Arial;Helvetica;Sans-Serif"/>
          <w:b w:val="false"/>
          <w:i/>
          <w:caps w:val="false"/>
          <w:smallCaps w:val="false"/>
          <w:color w:val="58595B"/>
          <w:sz w:val="16"/>
        </w:rPr>
        <w:t xml:space="preserve"> Coughlin, </w:t>
      </w:r>
      <w:r>
        <w:rPr>
          <w:rFonts w:ascii="Arial;Helvetica;Sans-Serif" w:hAnsi="Arial;Helvetica;Sans-Serif"/>
          <w:b w:val="false"/>
          <w:i/>
          <w:caps w:val="false"/>
          <w:smallCaps w:val="false"/>
          <w:color w:val="58595B"/>
          <w:spacing w:val="-3"/>
          <w:sz w:val="16"/>
        </w:rPr>
        <w:t>Mr.</w:t>
      </w:r>
      <w:r>
        <w:rPr>
          <w:rFonts w:ascii="Arial;Helvetica;Sans-Serif" w:hAnsi="Arial;Helvetica;Sans-Serif"/>
          <w:b w:val="false"/>
          <w:i/>
          <w:caps w:val="false"/>
          <w:smallCaps w:val="false"/>
          <w:color w:val="58595B"/>
          <w:sz w:val="16"/>
        </w:rPr>
        <w:t xml:space="preserve"> Gavrilenya, and </w:t>
      </w:r>
      <w:r>
        <w:rPr>
          <w:rFonts w:ascii="Arial;Helvetica;Sans-Serif" w:hAnsi="Arial;Helvetica;Sans-Serif"/>
          <w:b w:val="false"/>
          <w:i/>
          <w:caps w:val="false"/>
          <w:smallCaps w:val="false"/>
          <w:color w:val="58595B"/>
          <w:spacing w:val="-3"/>
          <w:sz w:val="16"/>
        </w:rPr>
        <w:t xml:space="preserve">Mr. </w:t>
      </w:r>
      <w:r>
        <w:rPr>
          <w:rFonts w:ascii="Arial;Helvetica;Sans-Serif" w:hAnsi="Arial;Helvetica;Sans-Serif"/>
          <w:b w:val="false"/>
          <w:i/>
          <w:caps w:val="false"/>
          <w:smallCaps w:val="false"/>
          <w:color w:val="58595B"/>
          <w:sz w:val="16"/>
        </w:rPr>
        <w:t xml:space="preserve">Netto. </w:t>
      </w:r>
      <w:r>
        <w:rPr>
          <w:rFonts w:ascii="Arial;Helvetica;Sans-Serif" w:hAnsi="Arial;Helvetica;Sans-Serif"/>
          <w:b w:val="false"/>
          <w:i/>
          <w:caps w:val="false"/>
          <w:smallCaps w:val="false"/>
          <w:color w:val="58595B"/>
          <w:spacing w:val="-3"/>
          <w:sz w:val="16"/>
        </w:rPr>
        <w:t>For</w:t>
      </w:r>
      <w:r>
        <w:rPr>
          <w:rFonts w:ascii="Arial;Helvetica;Sans-Serif" w:hAnsi="Arial;Helvetica;Sans-Serif"/>
          <w:b w:val="false"/>
          <w:i/>
          <w:caps w:val="false"/>
          <w:smallCaps w:val="false"/>
          <w:color w:val="58595B"/>
          <w:sz w:val="16"/>
        </w:rPr>
        <w:t xml:space="preserve"> 2020, our non-PEO NEOs were </w:t>
      </w:r>
      <w:r>
        <w:rPr>
          <w:rFonts w:ascii="Arial;Helvetica;Sans-Serif" w:hAnsi="Arial;Helvetica;Sans-Serif"/>
          <w:b w:val="false"/>
          <w:i/>
          <w:caps w:val="false"/>
          <w:smallCaps w:val="false"/>
          <w:color w:val="58595B"/>
          <w:spacing w:val="-3"/>
          <w:sz w:val="16"/>
        </w:rPr>
        <w:t xml:space="preserve">Mr. Freund, </w:t>
      </w:r>
      <w:r>
        <w:rPr>
          <w:rFonts w:ascii="Arial;Helvetica;Sans-Serif" w:hAnsi="Arial;Helvetica;Sans-Serif"/>
          <w:b w:val="false"/>
          <w:i/>
          <w:caps w:val="false"/>
          <w:smallCaps w:val="false"/>
          <w:color w:val="58595B"/>
          <w:sz w:val="16"/>
        </w:rPr>
        <w:t xml:space="preserve">Eric R. </w:t>
      </w:r>
      <w:r>
        <w:rPr>
          <w:rFonts w:ascii="Arial;Helvetica;Sans-Serif" w:hAnsi="Arial;Helvetica;Sans-Serif"/>
          <w:b w:val="false"/>
          <w:i/>
          <w:caps w:val="false"/>
          <w:smallCaps w:val="false"/>
          <w:color w:val="58595B"/>
          <w:spacing w:val="-3"/>
          <w:sz w:val="16"/>
        </w:rPr>
        <w:t xml:space="preserve">Dey, Mr. </w:t>
      </w:r>
      <w:r>
        <w:rPr>
          <w:rFonts w:ascii="Arial;Helvetica;Sans-Serif" w:hAnsi="Arial;Helvetica;Sans-Serif"/>
          <w:b w:val="false"/>
          <w:i/>
          <w:caps w:val="false"/>
          <w:smallCaps w:val="false"/>
          <w:color w:val="58595B"/>
          <w:sz w:val="16"/>
        </w:rPr>
        <w:t xml:space="preserve">Coughlin, </w:t>
      </w:r>
      <w:r>
        <w:rPr>
          <w:rFonts w:ascii="Arial;Helvetica;Sans-Serif" w:hAnsi="Arial;Helvetica;Sans-Serif"/>
          <w:b w:val="false"/>
          <w:i/>
          <w:caps w:val="false"/>
          <w:smallCaps w:val="false"/>
          <w:color w:val="58595B"/>
          <w:spacing w:val="-3"/>
          <w:sz w:val="16"/>
        </w:rPr>
        <w:t xml:space="preserve">Mr. </w:t>
      </w:r>
      <w:r>
        <w:rPr>
          <w:rFonts w:ascii="Arial;Helvetica;Sans-Serif" w:hAnsi="Arial;Helvetica;Sans-Serif"/>
          <w:b w:val="false"/>
          <w:i/>
          <w:caps w:val="false"/>
          <w:smallCaps w:val="false"/>
          <w:color w:val="58595B"/>
          <w:sz w:val="16"/>
        </w:rPr>
        <w:t xml:space="preserve">Gavrilenya, and </w:t>
      </w:r>
      <w:r>
        <w:rPr>
          <w:rFonts w:ascii="Arial;Helvetica;Sans-Serif" w:hAnsi="Arial;Helvetica;Sans-Serif"/>
          <w:b w:val="false"/>
          <w:i/>
          <w:caps w:val="false"/>
          <w:smallCaps w:val="false"/>
          <w:color w:val="58595B"/>
          <w:spacing w:val="-3"/>
          <w:sz w:val="16"/>
        </w:rPr>
        <w:t>Mr.</w:t>
      </w:r>
      <w:r>
        <w:rPr>
          <w:rFonts w:ascii="Arial;Helvetica;Sans-Serif" w:hAnsi="Arial;Helvetica;Sans-Serif"/>
          <w:b w:val="false"/>
          <w:i/>
          <w:caps w:val="false"/>
          <w:smallCaps w:val="false"/>
          <w:color w:val="58595B"/>
          <w:sz w:val="16"/>
        </w:rPr>
        <w:t xml:space="preserve"> Netto.</w:t>
      </w:r>
    </w:p>
    <w:p>
      <w:pPr>
        <w:pStyle w:val="TextBody"/>
        <w:rPr>
          <w:rFonts w:ascii="Times New Roman;Times;Serif" w:hAnsi="Times New Roman;Times;Serif"/>
          <w:b w:val="false"/>
          <w:i w:val="false"/>
          <w:caps w:val="false"/>
          <w:smallCaps w:val="false"/>
          <w:sz w:val="20"/>
        </w:rPr>
      </w:pPr>
      <w:r>
        <w:rPr>
          <w:rFonts w:ascii="Arial;Helvetica;Sans-Serif" w:hAnsi="Arial;Helvetica;Sans-Serif"/>
          <w:b w:val="false"/>
          <w:i/>
          <w:caps w:val="false"/>
          <w:smallCaps w:val="false"/>
          <w:color w:val="58595B"/>
          <w:spacing w:val="-1"/>
          <w:sz w:val="16"/>
        </w:rPr>
        <w:t>(2)</w:t>
      </w:r>
      <w:r>
        <w:rPr>
          <w:rFonts w:ascii="Times New Roman;Times;Serif" w:hAnsi="Times New Roman;Times;Serif"/>
          <w:b w:val="false"/>
          <w:i w:val="false"/>
          <w:caps w:val="false"/>
          <w:smallCaps w:val="false"/>
          <w:color w:val="58595B"/>
          <w:spacing w:val="-3"/>
          <w:sz w:val="20"/>
        </w:rPr>
        <w:t xml:space="preserve"> </w:t>
      </w:r>
      <w:r>
        <w:rPr>
          <w:rFonts w:ascii="Arial;Helvetica;Sans-Serif" w:hAnsi="Arial;Helvetica;Sans-Serif"/>
          <w:b w:val="false"/>
          <w:i/>
          <w:caps w:val="false"/>
          <w:smallCaps w:val="false"/>
          <w:color w:val="58595B"/>
          <w:spacing w:val="-3"/>
          <w:sz w:val="16"/>
        </w:rPr>
        <w:t xml:space="preserve">For </w:t>
      </w:r>
      <w:r>
        <w:rPr>
          <w:rFonts w:ascii="Arial;Helvetica;Sans-Serif" w:hAnsi="Arial;Helvetica;Sans-Serif"/>
          <w:b w:val="false"/>
          <w:i/>
          <w:caps w:val="false"/>
          <w:smallCaps w:val="false"/>
          <w:color w:val="58595B"/>
          <w:sz w:val="16"/>
        </w:rPr>
        <w:t xml:space="preserve">each of </w:t>
      </w:r>
      <w:r>
        <w:rPr>
          <w:rFonts w:ascii="Arial;Helvetica;Sans-Serif" w:hAnsi="Arial;Helvetica;Sans-Serif"/>
          <w:b w:val="false"/>
          <w:i/>
          <w:caps w:val="false"/>
          <w:smallCaps w:val="false"/>
          <w:color w:val="58595B"/>
          <w:spacing w:val="-3"/>
          <w:sz w:val="16"/>
        </w:rPr>
        <w:t xml:space="preserve">Covered </w:t>
      </w:r>
      <w:r>
        <w:rPr>
          <w:rFonts w:ascii="Arial;Helvetica;Sans-Serif" w:hAnsi="Arial;Helvetica;Sans-Serif"/>
          <w:b w:val="false"/>
          <w:i/>
          <w:caps w:val="false"/>
          <w:smallCaps w:val="false"/>
          <w:color w:val="58595B"/>
          <w:spacing w:val="-5"/>
          <w:sz w:val="16"/>
        </w:rPr>
        <w:t xml:space="preserve">Year, </w:t>
      </w:r>
      <w:r>
        <w:rPr>
          <w:rFonts w:ascii="Arial;Helvetica;Sans-Serif" w:hAnsi="Arial;Helvetica;Sans-Serif"/>
          <w:b w:val="false"/>
          <w:i/>
          <w:caps w:val="false"/>
          <w:smallCaps w:val="false"/>
          <w:color w:val="58595B"/>
          <w:sz w:val="16"/>
        </w:rPr>
        <w:t xml:space="preserve">in determining both the CAP to our PEO and the average CAP to our non-PEO NEOs for purposes of this PVP </w:t>
      </w:r>
      <w:r>
        <w:rPr>
          <w:rFonts w:ascii="Arial;Helvetica;Sans-Serif" w:hAnsi="Arial;Helvetica;Sans-Serif"/>
          <w:b w:val="false"/>
          <w:i/>
          <w:caps w:val="false"/>
          <w:smallCaps w:val="false"/>
          <w:color w:val="58595B"/>
          <w:spacing w:val="-4"/>
          <w:sz w:val="16"/>
        </w:rPr>
        <w:t>Table,</w:t>
      </w:r>
      <w:r>
        <w:rPr>
          <w:rFonts w:ascii="Arial;Helvetica;Sans-Serif" w:hAnsi="Arial;Helvetica;Sans-Serif"/>
          <w:b w:val="false"/>
          <w:i/>
          <w:caps w:val="false"/>
          <w:smallCaps w:val="false"/>
          <w:color w:val="58595B"/>
          <w:sz w:val="16"/>
        </w:rPr>
        <w:t xml:space="preserve"> we deducted from or added back to the total amounts of compensation reported in column (b) or column (d) (as applicable) for such </w:t>
      </w:r>
      <w:r>
        <w:rPr>
          <w:rFonts w:ascii="Arial;Helvetica;Sans-Serif" w:hAnsi="Arial;Helvetica;Sans-Serif"/>
          <w:b w:val="false"/>
          <w:i/>
          <w:caps w:val="false"/>
          <w:smallCaps w:val="false"/>
          <w:color w:val="58595B"/>
          <w:spacing w:val="-3"/>
          <w:sz w:val="16"/>
        </w:rPr>
        <w:t>Covered</w:t>
      </w:r>
      <w:r>
        <w:rPr>
          <w:rFonts w:ascii="Arial;Helvetica;Sans-Serif" w:hAnsi="Arial;Helvetica;Sans-Serif"/>
          <w:b w:val="false"/>
          <w:i/>
          <w:caps w:val="false"/>
          <w:smallCaps w:val="false"/>
          <w:color w:val="58595B"/>
          <w:sz w:val="16"/>
        </w:rPr>
        <w:t xml:space="preserve"> </w:t>
      </w:r>
      <w:r>
        <w:rPr>
          <w:rFonts w:ascii="Arial;Helvetica;Sans-Serif" w:hAnsi="Arial;Helvetica;Sans-Serif"/>
          <w:b w:val="false"/>
          <w:i/>
          <w:caps w:val="false"/>
          <w:smallCaps w:val="false"/>
          <w:color w:val="58595B"/>
          <w:spacing w:val="-5"/>
          <w:sz w:val="16"/>
        </w:rPr>
        <w:t>Year</w:t>
      </w:r>
      <w:r>
        <w:rPr>
          <w:rFonts w:ascii="Arial;Helvetica;Sans-Serif" w:hAnsi="Arial;Helvetica;Sans-Serif"/>
          <w:b w:val="false"/>
          <w:i/>
          <w:caps w:val="false"/>
          <w:smallCaps w:val="false"/>
          <w:color w:val="58595B"/>
          <w:sz w:val="16"/>
        </w:rPr>
        <w:t xml:space="preserve"> the following amounts:</w:t>
      </w:r>
    </w:p>
    <w:p>
      <w:pPr>
        <w:pStyle w:val="TextBody"/>
        <w:rPr>
          <w:caps w:val="false"/>
          <w:smallCaps w:val="false"/>
        </w:rPr>
      </w:pPr>
      <w:r>
        <w:rPr>
          <w:caps w:val="false"/>
          <w:smallCaps w:val="false"/>
        </w:rPr>
        <w:t> </w:t>
      </w:r>
    </w:p>
    <w:tbl>
      <w:tblPr>
        <w:tblW w:w="8671" w:type="dxa"/>
        <w:jc w:val="left"/>
        <w:tblInd w:w="0" w:type="dxa"/>
        <w:tblCellMar>
          <w:top w:w="0" w:type="dxa"/>
          <w:left w:w="0" w:type="dxa"/>
          <w:bottom w:w="60" w:type="dxa"/>
          <w:right w:w="0" w:type="dxa"/>
        </w:tblCellMar>
      </w:tblPr>
      <w:tblGrid>
        <w:gridCol w:w="5626"/>
        <w:gridCol w:w="1040"/>
        <w:gridCol w:w="1040"/>
        <w:gridCol w:w="965"/>
      </w:tblGrid>
      <w:tr>
        <w:trPr/>
        <w:tc>
          <w:tcPr>
            <w:tcW w:w="5626" w:type="dxa"/>
            <w:tcBorders>
              <w:bottom w:val="single" w:sz="8" w:space="0" w:color="FFFFFF"/>
            </w:tcBorders>
            <w:shd w:fill="EE0027" w:val="cle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Item and Value Added (Deducted)</w:t>
            </w:r>
          </w:p>
        </w:tc>
        <w:tc>
          <w:tcPr>
            <w:tcW w:w="1040" w:type="dxa"/>
            <w:tcBorders/>
            <w:shd w:fill="EE0027" w:val="clear"/>
            <w:tcMar>
              <w:bottom w:w="0" w:type="dxa"/>
            </w:tcM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2022</w:t>
            </w:r>
          </w:p>
        </w:tc>
        <w:tc>
          <w:tcPr>
            <w:tcW w:w="1040" w:type="dxa"/>
            <w:tcBorders/>
            <w:shd w:fill="EE0027" w:val="clear"/>
            <w:tcMar>
              <w:bottom w:w="0" w:type="dxa"/>
            </w:tcM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2021</w:t>
            </w:r>
          </w:p>
        </w:tc>
        <w:tc>
          <w:tcPr>
            <w:tcW w:w="965" w:type="dxa"/>
            <w:tcBorders/>
            <w:shd w:fill="EE0027" w:val="clear"/>
            <w:tcMar>
              <w:bottom w:w="0" w:type="dxa"/>
            </w:tcM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2020</w:t>
            </w:r>
          </w:p>
        </w:tc>
      </w:tr>
      <w:tr>
        <w:trPr/>
        <w:tc>
          <w:tcPr>
            <w:tcW w:w="5626" w:type="dxa"/>
            <w:tcBorders/>
            <w:shd w:fill="EE0027" w:val="clear"/>
            <w:tcMar>
              <w:bottom w:w="0" w:type="dxa"/>
            </w:tcMar>
            <w:vAlign w:val="center"/>
          </w:tcPr>
          <w:p>
            <w:pPr>
              <w:pStyle w:val="TableContents"/>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For Mr. Clarke:</w:t>
            </w:r>
          </w:p>
          <w:p>
            <w:pPr>
              <w:pStyle w:val="TableContents"/>
              <w:spacing w:before="0" w:after="283"/>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Summary Compensation Table Total:</w:t>
            </w:r>
          </w:p>
        </w:tc>
        <w:tc>
          <w:tcPr>
            <w:tcW w:w="1040" w:type="dxa"/>
            <w:tcBorders/>
            <w:shd w:fill="EE0027" w:val="clear"/>
            <w:tcMar>
              <w:bottom w:w="0" w:type="dxa"/>
            </w:tcMar>
            <w:vAlign w:val="center"/>
          </w:tcPr>
          <w:p>
            <w:pPr>
              <w:pStyle w:val="TableContents"/>
              <w:spacing w:before="0" w:after="283"/>
              <w:ind w:left="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$3,986,998</w:t>
            </w:r>
          </w:p>
        </w:tc>
        <w:tc>
          <w:tcPr>
            <w:tcW w:w="1040" w:type="dxa"/>
            <w:tcBorders/>
            <w:shd w:fill="EE0027" w:val="clear"/>
            <w:tcMar>
              <w:bottom w:w="0" w:type="dxa"/>
            </w:tcMar>
            <w:vAlign w:val="center"/>
          </w:tcPr>
          <w:p>
            <w:pPr>
              <w:pStyle w:val="TableContents"/>
              <w:spacing w:before="0" w:after="283"/>
              <w:ind w:left="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$57,923,473</w:t>
            </w:r>
          </w:p>
        </w:tc>
        <w:tc>
          <w:tcPr>
            <w:tcW w:w="965" w:type="dxa"/>
            <w:tcBorders/>
            <w:shd w:fill="EE0027" w:val="clear"/>
            <w:tcMar>
              <w:bottom w:w="0" w:type="dxa"/>
            </w:tcMar>
            <w:vAlign w:val="center"/>
          </w:tcPr>
          <w:p>
            <w:pPr>
              <w:pStyle w:val="TableContents"/>
              <w:spacing w:before="0" w:after="283"/>
              <w:ind w:left="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$1,311,225</w:t>
            </w:r>
          </w:p>
        </w:tc>
      </w:tr>
      <w:tr>
        <w:trPr/>
        <w:tc>
          <w:tcPr>
            <w:tcW w:w="5626" w:type="dxa"/>
            <w:tcBorders/>
            <w:shd w:fill="auto"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change in actuarial present value of pension benefits</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965" w:type="dxa"/>
            <w:tcBorders/>
            <w:shd w:fill="auto"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DCDDDE"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service cost of pension benefits</w:t>
            </w:r>
          </w:p>
        </w:tc>
        <w:tc>
          <w:tcPr>
            <w:tcW w:w="1040"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c>
          <w:tcPr>
            <w:tcW w:w="965"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auto"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prior service cost of pension benefits</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965" w:type="dxa"/>
            <w:tcBorders/>
            <w:shd w:fill="auto"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DCDDDE"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SCT “Stock Awards” column value</w:t>
            </w:r>
          </w:p>
        </w:tc>
        <w:tc>
          <w:tcPr>
            <w:tcW w:w="1040"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c>
          <w:tcPr>
            <w:tcW w:w="965"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auto"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SCT “Option Awards” column value</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auto" w:val="clear"/>
            <w:tcMar>
              <w:bottom w:w="0" w:type="dxa"/>
            </w:tcMar>
            <w:vAlign w:val="center"/>
          </w:tcPr>
          <w:p>
            <w:pPr>
              <w:pStyle w:val="TableContents"/>
              <w:spacing w:before="0" w:after="283"/>
              <w:ind w:left="0" w:right="0" w:hanging="0"/>
              <w:rPr>
                <w:rFonts w:ascii="Arial;Helvetica;Sans-Serif" w:hAnsi="Arial;Helvetica;Sans-Serif"/>
                <w:color w:val="58595B"/>
                <w:sz w:val="16"/>
              </w:rPr>
            </w:pPr>
            <w:r>
              <w:rPr>
                <w:rFonts w:ascii="Arial;Helvetica;Sans-Serif" w:hAnsi="Arial;Helvetica;Sans-Serif"/>
                <w:color w:val="58595B"/>
                <w:sz w:val="16"/>
              </w:rPr>
              <w:t>($55,556,000)</w:t>
            </w:r>
          </w:p>
        </w:tc>
        <w:tc>
          <w:tcPr>
            <w:tcW w:w="965" w:type="dxa"/>
            <w:tcBorders/>
            <w:shd w:fill="auto"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DCDDDE"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year-end fair value of outstanding equity awards granted in Covered Year</w:t>
            </w:r>
          </w:p>
        </w:tc>
        <w:tc>
          <w:tcPr>
            <w:tcW w:w="1040"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DCDDDE" w:val="clear"/>
            <w:tcMar>
              <w:bottom w:w="0" w:type="dxa"/>
            </w:tcMar>
            <w:vAlign w:val="center"/>
          </w:tcPr>
          <w:p>
            <w:pPr>
              <w:pStyle w:val="TableContents"/>
              <w:spacing w:before="0" w:after="283"/>
              <w:ind w:left="0" w:right="0" w:hanging="0"/>
              <w:rPr>
                <w:rFonts w:ascii="Arial;Helvetica;Sans-Serif" w:hAnsi="Arial;Helvetica;Sans-Serif"/>
                <w:color w:val="58595B"/>
                <w:sz w:val="16"/>
              </w:rPr>
            </w:pPr>
            <w:r>
              <w:rPr>
                <w:rFonts w:ascii="Arial;Helvetica;Sans-Serif" w:hAnsi="Arial;Helvetica;Sans-Serif"/>
                <w:color w:val="58595B"/>
                <w:sz w:val="16"/>
              </w:rPr>
              <w:t>$36,577,408</w:t>
            </w:r>
          </w:p>
        </w:tc>
        <w:tc>
          <w:tcPr>
            <w:tcW w:w="965"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auto"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change in fair value of outstanding equity awards granted in prior years</w:t>
            </w:r>
          </w:p>
        </w:tc>
        <w:tc>
          <w:tcPr>
            <w:tcW w:w="1040" w:type="dxa"/>
            <w:tcBorders/>
            <w:shd w:fill="auto" w:val="clear"/>
            <w:tcMar>
              <w:bottom w:w="0" w:type="dxa"/>
            </w:tcMar>
            <w:vAlign w:val="center"/>
          </w:tcPr>
          <w:p>
            <w:pPr>
              <w:pStyle w:val="TableContents"/>
              <w:spacing w:before="0" w:after="283"/>
              <w:ind w:left="0" w:right="0" w:hanging="0"/>
              <w:rPr>
                <w:rFonts w:ascii="Arial;Helvetica;Sans-Serif" w:hAnsi="Arial;Helvetica;Sans-Serif"/>
                <w:color w:val="58595B"/>
                <w:sz w:val="16"/>
              </w:rPr>
            </w:pPr>
            <w:r>
              <w:rPr>
                <w:rFonts w:ascii="Arial;Helvetica;Sans-Serif" w:hAnsi="Arial;Helvetica;Sans-Serif"/>
                <w:color w:val="58595B"/>
                <w:sz w:val="16"/>
              </w:rPr>
              <w:t>($28,334,433)</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965" w:type="dxa"/>
            <w:tcBorders/>
            <w:shd w:fill="auto" w:val="clear"/>
            <w:tcMar>
              <w:bottom w:w="0" w:type="dxa"/>
            </w:tcMar>
            <w:vAlign w:val="center"/>
          </w:tcPr>
          <w:p>
            <w:pPr>
              <w:pStyle w:val="TableContents"/>
              <w:spacing w:before="0" w:after="283"/>
              <w:ind w:left="0" w:right="0" w:hanging="0"/>
              <w:rPr>
                <w:rFonts w:ascii="Arial;Helvetica;Sans-Serif" w:hAnsi="Arial;Helvetica;Sans-Serif"/>
                <w:color w:val="58595B"/>
                <w:sz w:val="16"/>
              </w:rPr>
            </w:pPr>
            <w:r>
              <w:rPr>
                <w:rFonts w:ascii="Arial;Helvetica;Sans-Serif" w:hAnsi="Arial;Helvetica;Sans-Serif"/>
                <w:color w:val="58595B"/>
                <w:sz w:val="16"/>
              </w:rPr>
              <w:t>($1,636,500)</w:t>
            </w:r>
          </w:p>
        </w:tc>
      </w:tr>
      <w:tr>
        <w:trPr/>
        <w:tc>
          <w:tcPr>
            <w:tcW w:w="5626" w:type="dxa"/>
            <w:tcBorders/>
            <w:shd w:fill="DCDDDE"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xml:space="preserve">+ vesting date fair value of equity </w:t>
            </w:r>
            <w:r>
              <w:rPr>
                <w:rFonts w:ascii="Arial;Helvetica;Sans-Serif" w:hAnsi="Arial;Helvetica;Sans-Serif"/>
                <w:color w:val="58595B"/>
                <w:spacing w:val="-3"/>
                <w:sz w:val="16"/>
              </w:rPr>
              <w:t>awards</w:t>
            </w:r>
            <w:r>
              <w:rPr>
                <w:rFonts w:ascii="Arial;Helvetica;Sans-Serif" w:hAnsi="Arial;Helvetica;Sans-Serif"/>
                <w:color w:val="58595B"/>
                <w:sz w:val="16"/>
              </w:rPr>
              <w:t xml:space="preserve"> granted and </w:t>
            </w:r>
            <w:r>
              <w:rPr>
                <w:rFonts w:ascii="Arial;Helvetica;Sans-Serif" w:hAnsi="Arial;Helvetica;Sans-Serif"/>
                <w:color w:val="58595B"/>
                <w:spacing w:val="-2"/>
                <w:sz w:val="16"/>
              </w:rPr>
              <w:t xml:space="preserve">vested </w:t>
            </w:r>
            <w:r>
              <w:rPr>
                <w:rFonts w:ascii="Arial;Helvetica;Sans-Serif" w:hAnsi="Arial;Helvetica;Sans-Serif"/>
                <w:color w:val="58595B"/>
                <w:sz w:val="16"/>
              </w:rPr>
              <w:t xml:space="preserve">in </w:t>
            </w:r>
            <w:r>
              <w:rPr>
                <w:rFonts w:ascii="Arial;Helvetica;Sans-Serif" w:hAnsi="Arial;Helvetica;Sans-Serif"/>
                <w:color w:val="58595B"/>
                <w:spacing w:val="-3"/>
                <w:sz w:val="16"/>
              </w:rPr>
              <w:t>Covered</w:t>
            </w:r>
            <w:r>
              <w:rPr>
                <w:rFonts w:ascii="Arial;Helvetica;Sans-Serif" w:hAnsi="Arial;Helvetica;Sans-Serif"/>
                <w:color w:val="58595B"/>
                <w:sz w:val="16"/>
              </w:rPr>
              <w:t xml:space="preserve"> </w:t>
            </w:r>
            <w:r>
              <w:rPr>
                <w:rFonts w:ascii="Arial;Helvetica;Sans-Serif" w:hAnsi="Arial;Helvetica;Sans-Serif"/>
                <w:color w:val="58595B"/>
                <w:spacing w:val="-7"/>
                <w:sz w:val="16"/>
              </w:rPr>
              <w:t>Year</w:t>
            </w:r>
          </w:p>
        </w:tc>
        <w:tc>
          <w:tcPr>
            <w:tcW w:w="1040"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c>
          <w:tcPr>
            <w:tcW w:w="965"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auto"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change in fair value of prior-year equity awards vested in Covered Year</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965" w:type="dxa"/>
            <w:tcBorders/>
            <w:shd w:fill="auto"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DCDDDE"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xml:space="preserve">- prior </w:t>
            </w:r>
            <w:r>
              <w:rPr>
                <w:rFonts w:ascii="Arial;Helvetica;Sans-Serif" w:hAnsi="Arial;Helvetica;Sans-Serif"/>
                <w:color w:val="58595B"/>
                <w:spacing w:val="-3"/>
                <w:sz w:val="16"/>
              </w:rPr>
              <w:t>year-end</w:t>
            </w:r>
            <w:r>
              <w:rPr>
                <w:rFonts w:ascii="Arial;Helvetica;Sans-Serif" w:hAnsi="Arial;Helvetica;Sans-Serif"/>
                <w:color w:val="58595B"/>
                <w:sz w:val="16"/>
              </w:rPr>
              <w:t xml:space="preserve"> fair value of </w:t>
            </w:r>
            <w:r>
              <w:rPr>
                <w:rFonts w:ascii="Arial;Helvetica;Sans-Serif" w:hAnsi="Arial;Helvetica;Sans-Serif"/>
                <w:color w:val="58595B"/>
                <w:spacing w:val="-3"/>
                <w:sz w:val="16"/>
              </w:rPr>
              <w:t xml:space="preserve">prior-year </w:t>
            </w:r>
            <w:r>
              <w:rPr>
                <w:rFonts w:ascii="Arial;Helvetica;Sans-Serif" w:hAnsi="Arial;Helvetica;Sans-Serif"/>
                <w:color w:val="58595B"/>
                <w:sz w:val="16"/>
              </w:rPr>
              <w:t xml:space="preserve">equity </w:t>
            </w:r>
            <w:r>
              <w:rPr>
                <w:rFonts w:ascii="Arial;Helvetica;Sans-Serif" w:hAnsi="Arial;Helvetica;Sans-Serif"/>
                <w:color w:val="58595B"/>
                <w:spacing w:val="-3"/>
                <w:sz w:val="16"/>
              </w:rPr>
              <w:t>awards forfeited</w:t>
            </w:r>
            <w:r>
              <w:rPr>
                <w:rFonts w:ascii="Arial;Helvetica;Sans-Serif" w:hAnsi="Arial;Helvetica;Sans-Serif"/>
                <w:color w:val="58595B"/>
                <w:sz w:val="16"/>
              </w:rPr>
              <w:t xml:space="preserve"> in </w:t>
            </w:r>
            <w:r>
              <w:rPr>
                <w:rFonts w:ascii="Arial;Helvetica;Sans-Serif" w:hAnsi="Arial;Helvetica;Sans-Serif"/>
                <w:color w:val="58595B"/>
                <w:spacing w:val="-3"/>
                <w:sz w:val="16"/>
              </w:rPr>
              <w:t xml:space="preserve">Covered </w:t>
            </w:r>
            <w:r>
              <w:rPr>
                <w:rFonts w:ascii="Arial;Helvetica;Sans-Serif" w:hAnsi="Arial;Helvetica;Sans-Serif"/>
                <w:color w:val="58595B"/>
                <w:spacing w:val="-7"/>
                <w:sz w:val="16"/>
              </w:rPr>
              <w:t>Year</w:t>
            </w:r>
          </w:p>
        </w:tc>
        <w:tc>
          <w:tcPr>
            <w:tcW w:w="1040"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DCDDDE" w:val="clear"/>
            <w:tcMar>
              <w:bottom w:w="0" w:type="dxa"/>
            </w:tcMar>
            <w:vAlign w:val="center"/>
          </w:tcPr>
          <w:p>
            <w:pPr>
              <w:pStyle w:val="TableContents"/>
              <w:spacing w:before="0" w:after="283"/>
              <w:ind w:left="0" w:right="0" w:hanging="0"/>
              <w:rPr>
                <w:rFonts w:ascii="Arial;Helvetica;Sans-Serif" w:hAnsi="Arial;Helvetica;Sans-Serif"/>
                <w:color w:val="58595B"/>
                <w:sz w:val="16"/>
              </w:rPr>
            </w:pPr>
            <w:r>
              <w:rPr>
                <w:rFonts w:ascii="Arial;Helvetica;Sans-Serif" w:hAnsi="Arial;Helvetica;Sans-Serif"/>
                <w:color w:val="58595B"/>
                <w:sz w:val="16"/>
              </w:rPr>
              <w:t>($7,758,000)</w:t>
            </w:r>
          </w:p>
        </w:tc>
        <w:tc>
          <w:tcPr>
            <w:tcW w:w="965" w:type="dxa"/>
            <w:tcBorders/>
            <w:shd w:fill="DCDDDE"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auto" w:val="clear"/>
            <w:tcMar>
              <w:bottom w:w="0" w:type="dxa"/>
            </w:tcM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includable dividends/earnings on equity awards during Covered Year</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1040" w:type="dxa"/>
            <w:tcBorders/>
            <w:shd w:fill="auto" w:val="clear"/>
            <w:tcMar>
              <w:bottom w:w="0" w:type="dxa"/>
            </w:tcMar>
            <w:vAlign w:val="center"/>
          </w:tcPr>
          <w:p>
            <w:pPr>
              <w:pStyle w:val="TableContents"/>
              <w:spacing w:before="0" w:after="283"/>
              <w:ind w:left="0" w:right="0" w:hanging="0"/>
              <w:rPr>
                <w:color w:val="58595B"/>
              </w:rPr>
            </w:pPr>
            <w:r>
              <w:rPr>
                <w:color w:val="58595B"/>
              </w:rPr>
              <w:t>—</w:t>
            </w:r>
          </w:p>
        </w:tc>
        <w:tc>
          <w:tcPr>
            <w:tcW w:w="965" w:type="dxa"/>
            <w:tcBorders/>
            <w:shd w:fill="auto" w:val="clear"/>
            <w:tcMar>
              <w:bottom w:w="0" w:type="dxa"/>
            </w:tcMar>
            <w:vAlign w:val="center"/>
          </w:tcPr>
          <w:p>
            <w:pPr>
              <w:pStyle w:val="TableContents"/>
              <w:spacing w:before="0" w:after="283"/>
              <w:ind w:left="0" w:right="0" w:hanging="0"/>
              <w:rPr>
                <w:color w:val="58595B"/>
              </w:rPr>
            </w:pPr>
            <w:r>
              <w:rPr>
                <w:color w:val="58595B"/>
              </w:rPr>
              <w:t>—</w:t>
            </w:r>
          </w:p>
        </w:tc>
      </w:tr>
      <w:tr>
        <w:trPr/>
        <w:tc>
          <w:tcPr>
            <w:tcW w:w="5626" w:type="dxa"/>
            <w:tcBorders/>
            <w:shd w:fill="939598" w:val="clear"/>
            <w:tcMar>
              <w:bottom w:w="0" w:type="dxa"/>
            </w:tcM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Compensation Actually Paid:</w:t>
            </w:r>
          </w:p>
        </w:tc>
        <w:tc>
          <w:tcPr>
            <w:tcW w:w="1040" w:type="dxa"/>
            <w:tcBorders/>
            <w:shd w:fill="939598" w:val="clear"/>
            <w:tcMar>
              <w:bottom w:w="0" w:type="dxa"/>
            </w:tcMar>
            <w:vAlign w:val="center"/>
          </w:tcPr>
          <w:p>
            <w:pPr>
              <w:pStyle w:val="TableContents"/>
              <w:spacing w:before="0" w:after="283"/>
              <w:ind w:left="0" w:right="0" w:hanging="0"/>
              <w:rPr>
                <w:rFonts w:ascii="Arial;Helvetica;Sans-Serif" w:hAnsi="Arial;Helvetica;Sans-Serif"/>
                <w:b/>
                <w:color w:val="FFFFFF"/>
                <w:sz w:val="16"/>
              </w:rPr>
            </w:pPr>
            <w:r>
              <w:rPr>
                <w:rFonts w:ascii="Arial;Helvetica;Sans-Serif" w:hAnsi="Arial;Helvetica;Sans-Serif"/>
                <w:b/>
                <w:color w:val="FFFFFF"/>
                <w:sz w:val="16"/>
              </w:rPr>
              <w:t>($24,347,434)</w:t>
            </w:r>
          </w:p>
        </w:tc>
        <w:tc>
          <w:tcPr>
            <w:tcW w:w="1040" w:type="dxa"/>
            <w:tcBorders/>
            <w:shd w:fill="939598" w:val="clear"/>
            <w:tcMar>
              <w:bottom w:w="0" w:type="dxa"/>
            </w:tcMar>
            <w:vAlign w:val="center"/>
          </w:tcPr>
          <w:p>
            <w:pPr>
              <w:pStyle w:val="TableContents"/>
              <w:spacing w:before="0" w:after="283"/>
              <w:ind w:left="0" w:right="0" w:hanging="0"/>
              <w:rPr>
                <w:rFonts w:ascii="Arial;Helvetica;Sans-Serif" w:hAnsi="Arial;Helvetica;Sans-Serif"/>
                <w:b/>
                <w:color w:val="FFFFFF"/>
                <w:sz w:val="16"/>
              </w:rPr>
            </w:pPr>
            <w:r>
              <w:rPr>
                <w:rFonts w:ascii="Arial;Helvetica;Sans-Serif" w:hAnsi="Arial;Helvetica;Sans-Serif"/>
                <w:b/>
                <w:color w:val="FFFFFF"/>
                <w:sz w:val="16"/>
              </w:rPr>
              <w:t>$31,186,881</w:t>
            </w:r>
          </w:p>
        </w:tc>
        <w:tc>
          <w:tcPr>
            <w:tcW w:w="965" w:type="dxa"/>
            <w:tcBorders/>
            <w:shd w:fill="939598" w:val="clear"/>
            <w:tcMar>
              <w:bottom w:w="0" w:type="dxa"/>
            </w:tcMar>
            <w:vAlign w:val="center"/>
          </w:tcPr>
          <w:p>
            <w:pPr>
              <w:pStyle w:val="TableContents"/>
              <w:spacing w:before="0" w:after="283"/>
              <w:ind w:left="0" w:right="0" w:hanging="0"/>
              <w:rPr>
                <w:rFonts w:ascii="Arial;Helvetica;Sans-Serif" w:hAnsi="Arial;Helvetica;Sans-Serif"/>
                <w:b/>
                <w:color w:val="FFFFFF"/>
                <w:sz w:val="16"/>
              </w:rPr>
            </w:pPr>
            <w:r>
              <w:rPr>
                <w:rFonts w:ascii="Arial;Helvetica;Sans-Serif" w:hAnsi="Arial;Helvetica;Sans-Serif"/>
                <w:b/>
                <w:color w:val="FFFFFF"/>
                <w:sz w:val="16"/>
              </w:rPr>
              <w:t>($325,275)</w:t>
            </w:r>
          </w:p>
        </w:tc>
      </w:tr>
    </w:tbl>
    <w:p>
      <w:pPr>
        <w:pStyle w:val="TextBody"/>
        <w:rPr>
          <w:caps w:val="false"/>
          <w:smallCaps w:val="false"/>
        </w:rPr>
      </w:pPr>
      <w:r>
        <w:rPr>
          <w:caps w:val="false"/>
          <w:smallCaps w:val="false"/>
        </w:rPr>
        <w:t> </w:t>
      </w:r>
    </w:p>
    <w:tbl>
      <w:tblPr>
        <w:tblW w:w="8855" w:type="dxa"/>
        <w:jc w:val="left"/>
        <w:tblInd w:w="0" w:type="dxa"/>
        <w:tblCellMar>
          <w:top w:w="0" w:type="dxa"/>
          <w:left w:w="0" w:type="dxa"/>
          <w:bottom w:w="0" w:type="dxa"/>
          <w:right w:w="0" w:type="dxa"/>
        </w:tblCellMar>
      </w:tblPr>
      <w:tblGrid>
        <w:gridCol w:w="5750"/>
        <w:gridCol w:w="1070"/>
        <w:gridCol w:w="1070"/>
        <w:gridCol w:w="965"/>
      </w:tblGrid>
      <w:tr>
        <w:trPr/>
        <w:tc>
          <w:tcPr>
            <w:tcW w:w="5750" w:type="dxa"/>
            <w:tcBorders/>
            <w:shd w:fill="EE0027" w:val="clear"/>
            <w:vAlign w:val="center"/>
          </w:tcPr>
          <w:p>
            <w:pPr>
              <w:pStyle w:val="TableContents"/>
              <w:spacing w:before="0" w:after="283"/>
              <w:jc w:val="left"/>
              <w:rPr/>
            </w:pPr>
            <w:r>
              <w:rPr>
                <w:rFonts w:ascii="Arial;Helvetica;Sans-Serif" w:hAnsi="Arial;Helvetica;Sans-Serif"/>
                <w:b/>
                <w:color w:val="FFFFFF"/>
                <w:sz w:val="16"/>
              </w:rPr>
              <w:t xml:space="preserve">For Non-PEO NEOs (Average): </w:t>
            </w:r>
            <w:r>
              <w:rPr>
                <w:rFonts w:ascii="Arial;Helvetica;Sans-Serif" w:hAnsi="Arial;Helvetica;Sans-Serif"/>
                <w:sz w:val="16"/>
              </w:rPr>
              <w:br/>
            </w:r>
            <w:r>
              <w:rPr>
                <w:rFonts w:ascii="Arial;Helvetica;Sans-Serif" w:hAnsi="Arial;Helvetica;Sans-Serif"/>
                <w:b/>
                <w:color w:val="FFFFFF"/>
                <w:sz w:val="16"/>
              </w:rPr>
              <w:t>Summary Compensation Table Total:</w:t>
            </w:r>
          </w:p>
        </w:tc>
        <w:tc>
          <w:tcPr>
            <w:tcW w:w="1070" w:type="dxa"/>
            <w:tcBorders/>
            <w:shd w:fill="EE0027" w:val="clear"/>
            <w:vAlign w:val="center"/>
          </w:tcPr>
          <w:p>
            <w:pPr>
              <w:pStyle w:val="TableContents"/>
              <w:spacing w:before="0" w:after="283"/>
              <w:ind w:left="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$3,883,399</w:t>
            </w:r>
          </w:p>
        </w:tc>
        <w:tc>
          <w:tcPr>
            <w:tcW w:w="1070" w:type="dxa"/>
            <w:tcBorders/>
            <w:shd w:fill="EE0027" w:val="clear"/>
            <w:vAlign w:val="center"/>
          </w:tcPr>
          <w:p>
            <w:pPr>
              <w:pStyle w:val="TableContents"/>
              <w:spacing w:before="0" w:after="283"/>
              <w:ind w:left="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$4,524,830</w:t>
            </w:r>
          </w:p>
        </w:tc>
        <w:tc>
          <w:tcPr>
            <w:tcW w:w="965" w:type="dxa"/>
            <w:tcBorders/>
            <w:shd w:fill="EE0027" w:val="clear"/>
            <w:vAlign w:val="center"/>
          </w:tcPr>
          <w:p>
            <w:pPr>
              <w:pStyle w:val="TableContents"/>
              <w:spacing w:before="0" w:after="283"/>
              <w:ind w:left="0" w:right="0" w:hanging="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$2,179,759</w:t>
            </w:r>
          </w:p>
        </w:tc>
      </w:tr>
      <w:tr>
        <w:trPr/>
        <w:tc>
          <w:tcPr>
            <w:tcW w:w="575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change in actuarial present value of pension benefits</w:t>
            </w:r>
          </w:p>
        </w:tc>
        <w:tc>
          <w:tcPr>
            <w:tcW w:w="1070" w:type="dxa"/>
            <w:tcBorders/>
            <w:shd w:fill="auto" w:val="clear"/>
            <w:vAlign w:val="center"/>
          </w:tcPr>
          <w:p>
            <w:pPr>
              <w:pStyle w:val="TableContents"/>
              <w:spacing w:before="0" w:after="283"/>
              <w:ind w:left="0" w:right="0" w:hanging="0"/>
              <w:rPr>
                <w:color w:val="58595B"/>
              </w:rPr>
            </w:pPr>
            <w:r>
              <w:rPr>
                <w:color w:val="58595B"/>
              </w:rPr>
              <w:t>—</w:t>
            </w:r>
          </w:p>
        </w:tc>
        <w:tc>
          <w:tcPr>
            <w:tcW w:w="1070" w:type="dxa"/>
            <w:tcBorders/>
            <w:shd w:fill="auto" w:val="clear"/>
            <w:vAlign w:val="center"/>
          </w:tcPr>
          <w:p>
            <w:pPr>
              <w:pStyle w:val="TableContents"/>
              <w:spacing w:before="0" w:after="283"/>
              <w:ind w:left="0" w:right="0" w:hanging="0"/>
              <w:rPr>
                <w:color w:val="58595B"/>
              </w:rPr>
            </w:pPr>
            <w:r>
              <w:rPr>
                <w:color w:val="58595B"/>
              </w:rPr>
              <w:t>—</w:t>
            </w:r>
          </w:p>
        </w:tc>
        <w:tc>
          <w:tcPr>
            <w:tcW w:w="965" w:type="dxa"/>
            <w:tcBorders/>
            <w:shd w:fill="auto" w:val="clear"/>
            <w:vAlign w:val="center"/>
          </w:tcPr>
          <w:p>
            <w:pPr>
              <w:pStyle w:val="TableContents"/>
              <w:spacing w:before="0" w:after="283"/>
              <w:ind w:left="0" w:right="0" w:hanging="0"/>
              <w:rPr>
                <w:color w:val="58595B"/>
              </w:rPr>
            </w:pPr>
            <w:r>
              <w:rPr>
                <w:color w:val="58595B"/>
              </w:rPr>
              <w:t>—</w:t>
            </w:r>
          </w:p>
        </w:tc>
      </w:tr>
      <w:tr>
        <w:trPr/>
        <w:tc>
          <w:tcPr>
            <w:tcW w:w="575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service cost of pension benefits</w:t>
            </w:r>
          </w:p>
        </w:tc>
        <w:tc>
          <w:tcPr>
            <w:tcW w:w="1070" w:type="dxa"/>
            <w:tcBorders/>
            <w:shd w:fill="DCDDDE" w:val="clear"/>
            <w:vAlign w:val="center"/>
          </w:tcPr>
          <w:p>
            <w:pPr>
              <w:pStyle w:val="TableContents"/>
              <w:spacing w:before="0" w:after="283"/>
              <w:ind w:left="0" w:right="0" w:hanging="0"/>
              <w:rPr>
                <w:color w:val="58595B"/>
              </w:rPr>
            </w:pPr>
            <w:r>
              <w:rPr>
                <w:color w:val="58595B"/>
              </w:rPr>
              <w:t>—</w:t>
            </w:r>
          </w:p>
        </w:tc>
        <w:tc>
          <w:tcPr>
            <w:tcW w:w="1070" w:type="dxa"/>
            <w:tcBorders/>
            <w:shd w:fill="DCDDDE" w:val="clear"/>
            <w:vAlign w:val="center"/>
          </w:tcPr>
          <w:p>
            <w:pPr>
              <w:pStyle w:val="TableContents"/>
              <w:spacing w:before="0" w:after="283"/>
              <w:ind w:left="0" w:right="0" w:hanging="0"/>
              <w:rPr>
                <w:color w:val="58595B"/>
              </w:rPr>
            </w:pPr>
            <w:r>
              <w:rPr>
                <w:color w:val="58595B"/>
              </w:rPr>
              <w:t>—</w:t>
            </w:r>
          </w:p>
        </w:tc>
        <w:tc>
          <w:tcPr>
            <w:tcW w:w="965" w:type="dxa"/>
            <w:tcBorders/>
            <w:shd w:fill="DCDDDE" w:val="clear"/>
            <w:vAlign w:val="center"/>
          </w:tcPr>
          <w:p>
            <w:pPr>
              <w:pStyle w:val="TableContents"/>
              <w:spacing w:before="0" w:after="283"/>
              <w:ind w:left="0" w:right="0" w:hanging="0"/>
              <w:rPr>
                <w:color w:val="58595B"/>
              </w:rPr>
            </w:pPr>
            <w:r>
              <w:rPr>
                <w:color w:val="58595B"/>
              </w:rPr>
              <w:t>—</w:t>
            </w:r>
          </w:p>
        </w:tc>
      </w:tr>
      <w:tr>
        <w:trPr/>
        <w:tc>
          <w:tcPr>
            <w:tcW w:w="575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prior service cost of pension benefits</w:t>
            </w:r>
          </w:p>
        </w:tc>
        <w:tc>
          <w:tcPr>
            <w:tcW w:w="1070" w:type="dxa"/>
            <w:tcBorders/>
            <w:shd w:fill="auto" w:val="clear"/>
            <w:vAlign w:val="center"/>
          </w:tcPr>
          <w:p>
            <w:pPr>
              <w:pStyle w:val="TableContents"/>
              <w:spacing w:before="0" w:after="283"/>
              <w:ind w:left="0" w:right="0" w:hanging="0"/>
              <w:rPr>
                <w:color w:val="58595B"/>
              </w:rPr>
            </w:pPr>
            <w:r>
              <w:rPr>
                <w:color w:val="58595B"/>
              </w:rPr>
              <w:t>—</w:t>
            </w:r>
          </w:p>
        </w:tc>
        <w:tc>
          <w:tcPr>
            <w:tcW w:w="1070" w:type="dxa"/>
            <w:tcBorders/>
            <w:shd w:fill="auto" w:val="clear"/>
            <w:vAlign w:val="center"/>
          </w:tcPr>
          <w:p>
            <w:pPr>
              <w:pStyle w:val="TableContents"/>
              <w:spacing w:before="0" w:after="283"/>
              <w:ind w:left="0" w:right="0" w:hanging="0"/>
              <w:rPr>
                <w:color w:val="58595B"/>
              </w:rPr>
            </w:pPr>
            <w:r>
              <w:rPr>
                <w:color w:val="58595B"/>
              </w:rPr>
              <w:t>—</w:t>
            </w:r>
          </w:p>
        </w:tc>
        <w:tc>
          <w:tcPr>
            <w:tcW w:w="965" w:type="dxa"/>
            <w:tcBorders/>
            <w:shd w:fill="auto" w:val="clear"/>
            <w:vAlign w:val="center"/>
          </w:tcPr>
          <w:p>
            <w:pPr>
              <w:pStyle w:val="TableContents"/>
              <w:spacing w:before="0" w:after="283"/>
              <w:ind w:left="0" w:right="0" w:hanging="0"/>
              <w:rPr>
                <w:color w:val="58595B"/>
              </w:rPr>
            </w:pPr>
            <w:r>
              <w:rPr>
                <w:color w:val="58595B"/>
              </w:rPr>
              <w:t>—</w:t>
            </w:r>
          </w:p>
        </w:tc>
      </w:tr>
      <w:tr>
        <w:trPr/>
        <w:tc>
          <w:tcPr>
            <w:tcW w:w="575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SCT “Stock Awards” column value</w:t>
            </w:r>
          </w:p>
        </w:tc>
        <w:tc>
          <w:tcPr>
            <w:tcW w:w="1070" w:type="dxa"/>
            <w:tcBorders/>
            <w:shd w:fill="DCDDDE"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($1,320,911)</w:t>
            </w:r>
          </w:p>
        </w:tc>
        <w:tc>
          <w:tcPr>
            <w:tcW w:w="1070" w:type="dxa"/>
            <w:tcBorders/>
            <w:shd w:fill="DCDDDE"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($1,535,353)</w:t>
            </w:r>
          </w:p>
        </w:tc>
        <w:tc>
          <w:tcPr>
            <w:tcW w:w="965" w:type="dxa"/>
            <w:tcBorders/>
            <w:shd w:fill="DCDDDE"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($751,891)</w:t>
            </w:r>
          </w:p>
        </w:tc>
      </w:tr>
      <w:tr>
        <w:trPr/>
        <w:tc>
          <w:tcPr>
            <w:tcW w:w="575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SCT “Option Awards” column value</w:t>
            </w:r>
          </w:p>
        </w:tc>
        <w:tc>
          <w:tcPr>
            <w:tcW w:w="1070"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($2,050,064)</w:t>
            </w:r>
          </w:p>
        </w:tc>
        <w:tc>
          <w:tcPr>
            <w:tcW w:w="1070"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($2,215,289)</w:t>
            </w:r>
          </w:p>
        </w:tc>
        <w:tc>
          <w:tcPr>
            <w:tcW w:w="965"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($920,014)</w:t>
            </w:r>
          </w:p>
        </w:tc>
      </w:tr>
      <w:tr>
        <w:trPr/>
        <w:tc>
          <w:tcPr>
            <w:tcW w:w="575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year-end fair value of outstanding equity awards granted in Covered Year</w:t>
            </w:r>
          </w:p>
        </w:tc>
        <w:tc>
          <w:tcPr>
            <w:tcW w:w="1070" w:type="dxa"/>
            <w:tcBorders/>
            <w:shd w:fill="DCDDDE"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$1,147,042</w:t>
            </w:r>
          </w:p>
        </w:tc>
        <w:tc>
          <w:tcPr>
            <w:tcW w:w="1070" w:type="dxa"/>
            <w:tcBorders/>
            <w:shd w:fill="DCDDDE"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$2,757,866</w:t>
            </w:r>
          </w:p>
        </w:tc>
        <w:tc>
          <w:tcPr>
            <w:tcW w:w="965" w:type="dxa"/>
            <w:tcBorders/>
            <w:shd w:fill="DCDDDE"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$2,918,190</w:t>
            </w:r>
          </w:p>
        </w:tc>
      </w:tr>
      <w:tr>
        <w:trPr/>
        <w:tc>
          <w:tcPr>
            <w:tcW w:w="575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change in fair value of outstanding equity awards granted in prior years</w:t>
            </w:r>
          </w:p>
        </w:tc>
        <w:tc>
          <w:tcPr>
            <w:tcW w:w="1070"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($786,777)</w:t>
            </w:r>
          </w:p>
        </w:tc>
        <w:tc>
          <w:tcPr>
            <w:tcW w:w="1070"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($1,011,487)</w:t>
            </w:r>
          </w:p>
        </w:tc>
        <w:tc>
          <w:tcPr>
            <w:tcW w:w="965"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($39,397)</w:t>
            </w:r>
          </w:p>
        </w:tc>
      </w:tr>
      <w:tr>
        <w:trPr/>
        <w:tc>
          <w:tcPr>
            <w:tcW w:w="575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vesting date fair value of equity awards granted and vested in Covered Year</w:t>
            </w:r>
          </w:p>
        </w:tc>
        <w:tc>
          <w:tcPr>
            <w:tcW w:w="1070" w:type="dxa"/>
            <w:tcBorders/>
            <w:shd w:fill="DCDDDE" w:val="clear"/>
            <w:vAlign w:val="center"/>
          </w:tcPr>
          <w:p>
            <w:pPr>
              <w:pStyle w:val="TableContents"/>
              <w:spacing w:before="0" w:after="283"/>
              <w:ind w:left="0" w:right="0" w:hanging="0"/>
              <w:rPr>
                <w:color w:val="58595B"/>
              </w:rPr>
            </w:pPr>
            <w:r>
              <w:rPr>
                <w:color w:val="58595B"/>
              </w:rPr>
              <w:t>—</w:t>
            </w:r>
          </w:p>
        </w:tc>
        <w:tc>
          <w:tcPr>
            <w:tcW w:w="1070" w:type="dxa"/>
            <w:tcBorders/>
            <w:shd w:fill="DCDDDE" w:val="clear"/>
            <w:vAlign w:val="center"/>
          </w:tcPr>
          <w:p>
            <w:pPr>
              <w:pStyle w:val="TableContents"/>
              <w:spacing w:before="0" w:after="283"/>
              <w:ind w:left="0" w:right="0" w:hanging="0"/>
              <w:rPr>
                <w:color w:val="58595B"/>
              </w:rPr>
            </w:pPr>
            <w:r>
              <w:rPr>
                <w:color w:val="58595B"/>
              </w:rPr>
              <w:t>—</w:t>
            </w:r>
          </w:p>
        </w:tc>
        <w:tc>
          <w:tcPr>
            <w:tcW w:w="965" w:type="dxa"/>
            <w:tcBorders/>
            <w:shd w:fill="DCDDDE" w:val="clear"/>
            <w:vAlign w:val="center"/>
          </w:tcPr>
          <w:p>
            <w:pPr>
              <w:pStyle w:val="TableContents"/>
              <w:spacing w:before="0" w:after="283"/>
              <w:ind w:left="0" w:right="0" w:hanging="0"/>
              <w:rPr>
                <w:color w:val="58595B"/>
              </w:rPr>
            </w:pPr>
            <w:r>
              <w:rPr>
                <w:color w:val="58595B"/>
              </w:rPr>
              <w:t>—</w:t>
            </w:r>
          </w:p>
        </w:tc>
      </w:tr>
      <w:tr>
        <w:trPr/>
        <w:tc>
          <w:tcPr>
            <w:tcW w:w="575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change in fair value of prior-year equity awards vested in Covered Year</w:t>
            </w:r>
          </w:p>
        </w:tc>
        <w:tc>
          <w:tcPr>
            <w:tcW w:w="1070"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$172,355</w:t>
            </w:r>
          </w:p>
        </w:tc>
        <w:tc>
          <w:tcPr>
            <w:tcW w:w="1070"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($4,596)</w:t>
            </w:r>
          </w:p>
        </w:tc>
        <w:tc>
          <w:tcPr>
            <w:tcW w:w="965" w:type="dxa"/>
            <w:tcBorders/>
            <w:shd w:fill="auto"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($642,836)</w:t>
            </w:r>
          </w:p>
        </w:tc>
      </w:tr>
      <w:tr>
        <w:trPr/>
        <w:tc>
          <w:tcPr>
            <w:tcW w:w="5750" w:type="dxa"/>
            <w:tcBorders/>
            <w:shd w:fill="DCDDDE"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prior year-end fair value of prior-year equity awards forfeited in Covered Year</w:t>
            </w:r>
          </w:p>
        </w:tc>
        <w:tc>
          <w:tcPr>
            <w:tcW w:w="1070" w:type="dxa"/>
            <w:tcBorders/>
            <w:shd w:fill="DCDDDE"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($836,658)</w:t>
            </w:r>
          </w:p>
        </w:tc>
        <w:tc>
          <w:tcPr>
            <w:tcW w:w="1070" w:type="dxa"/>
            <w:tcBorders/>
            <w:shd w:fill="DCDDDE" w:val="clear"/>
            <w:vAlign w:val="center"/>
          </w:tcPr>
          <w:p>
            <w:pPr>
              <w:pStyle w:val="TableContents"/>
              <w:spacing w:before="0" w:after="283"/>
              <w:ind w:left="0" w:right="0" w:hanging="0"/>
              <w:rPr>
                <w:color w:val="58595B"/>
              </w:rPr>
            </w:pPr>
            <w:r>
              <w:rPr>
                <w:color w:val="58595B"/>
              </w:rPr>
              <w:t>—</w:t>
            </w:r>
          </w:p>
        </w:tc>
        <w:tc>
          <w:tcPr>
            <w:tcW w:w="965" w:type="dxa"/>
            <w:tcBorders/>
            <w:shd w:fill="DCDDDE" w:val="clear"/>
            <w:vAlign w:val="center"/>
          </w:tcPr>
          <w:p>
            <w:pPr>
              <w:pStyle w:val="TableContents"/>
              <w:spacing w:before="0" w:after="283"/>
              <w:ind w:left="0" w:right="0" w:hanging="0"/>
              <w:rPr>
                <w:rFonts w:ascii="Arial;Helvetica;Sans-Serif" w:hAnsi="Arial;Helvetica;Sans-Serif"/>
                <w:color w:val="58595B"/>
                <w:sz w:val="18"/>
              </w:rPr>
            </w:pPr>
            <w:r>
              <w:rPr>
                <w:rFonts w:ascii="Arial;Helvetica;Sans-Serif" w:hAnsi="Arial;Helvetica;Sans-Serif"/>
                <w:color w:val="58595B"/>
                <w:sz w:val="18"/>
              </w:rPr>
              <w:t>($499,325)</w:t>
            </w:r>
          </w:p>
        </w:tc>
      </w:tr>
      <w:tr>
        <w:trPr/>
        <w:tc>
          <w:tcPr>
            <w:tcW w:w="5750" w:type="dxa"/>
            <w:tcBorders/>
            <w:shd w:fill="auto" w:val="clear"/>
            <w:vAlign w:val="center"/>
          </w:tcPr>
          <w:p>
            <w:pPr>
              <w:pStyle w:val="TableContents"/>
              <w:spacing w:before="0" w:after="283"/>
              <w:rPr>
                <w:rFonts w:ascii="Arial;Helvetica;Sans-Serif" w:hAnsi="Arial;Helvetica;Sans-Serif"/>
                <w:color w:val="58595B"/>
                <w:sz w:val="16"/>
              </w:rPr>
            </w:pPr>
            <w:r>
              <w:rPr>
                <w:rFonts w:ascii="Arial;Helvetica;Sans-Serif" w:hAnsi="Arial;Helvetica;Sans-Serif"/>
                <w:color w:val="58595B"/>
                <w:sz w:val="16"/>
              </w:rPr>
              <w:t>+ includable dividends/earnings on equity awards during Covered Year</w:t>
            </w:r>
          </w:p>
        </w:tc>
        <w:tc>
          <w:tcPr>
            <w:tcW w:w="1070" w:type="dxa"/>
            <w:tcBorders/>
            <w:shd w:fill="auto" w:val="clear"/>
            <w:vAlign w:val="center"/>
          </w:tcPr>
          <w:p>
            <w:pPr>
              <w:pStyle w:val="TableContents"/>
              <w:spacing w:before="0" w:after="283"/>
              <w:ind w:left="0" w:right="0" w:hanging="0"/>
              <w:rPr>
                <w:color w:val="58595B"/>
              </w:rPr>
            </w:pPr>
            <w:r>
              <w:rPr>
                <w:color w:val="58595B"/>
              </w:rPr>
              <w:t>—</w:t>
            </w:r>
          </w:p>
        </w:tc>
        <w:tc>
          <w:tcPr>
            <w:tcW w:w="1070" w:type="dxa"/>
            <w:tcBorders/>
            <w:shd w:fill="auto" w:val="clear"/>
            <w:vAlign w:val="center"/>
          </w:tcPr>
          <w:p>
            <w:pPr>
              <w:pStyle w:val="TableContents"/>
              <w:spacing w:before="0" w:after="283"/>
              <w:ind w:left="0" w:right="0" w:hanging="0"/>
              <w:rPr>
                <w:color w:val="58595B"/>
              </w:rPr>
            </w:pPr>
            <w:r>
              <w:rPr>
                <w:color w:val="58595B"/>
              </w:rPr>
              <w:t>—</w:t>
            </w:r>
          </w:p>
        </w:tc>
        <w:tc>
          <w:tcPr>
            <w:tcW w:w="965" w:type="dxa"/>
            <w:tcBorders/>
            <w:shd w:fill="auto" w:val="clear"/>
            <w:vAlign w:val="center"/>
          </w:tcPr>
          <w:p>
            <w:pPr>
              <w:pStyle w:val="TableContents"/>
              <w:spacing w:before="0" w:after="283"/>
              <w:ind w:left="0" w:right="0" w:hanging="0"/>
              <w:rPr>
                <w:color w:val="58595B"/>
              </w:rPr>
            </w:pPr>
            <w:r>
              <w:rPr>
                <w:color w:val="58595B"/>
              </w:rPr>
              <w:t>—</w:t>
            </w:r>
          </w:p>
        </w:tc>
      </w:tr>
      <w:tr>
        <w:trPr/>
        <w:tc>
          <w:tcPr>
            <w:tcW w:w="5750" w:type="dxa"/>
            <w:tcBorders/>
            <w:shd w:fill="939598" w:val="clear"/>
            <w:vAlign w:val="center"/>
          </w:tcPr>
          <w:p>
            <w:pPr>
              <w:pStyle w:val="TableContents"/>
              <w:spacing w:before="0" w:after="283"/>
              <w:rPr>
                <w:rFonts w:ascii="Arial;Helvetica;Sans-Serif" w:hAnsi="Arial;Helvetica;Sans-Serif"/>
                <w:b/>
                <w:color w:val="FFFFFF"/>
                <w:sz w:val="16"/>
              </w:rPr>
            </w:pPr>
            <w:r>
              <w:rPr>
                <w:rFonts w:ascii="Arial;Helvetica;Sans-Serif" w:hAnsi="Arial;Helvetica;Sans-Serif"/>
                <w:b/>
                <w:color w:val="FFFFFF"/>
                <w:sz w:val="16"/>
              </w:rPr>
              <w:t>Compensation Actually Paid:</w:t>
            </w:r>
          </w:p>
        </w:tc>
        <w:tc>
          <w:tcPr>
            <w:tcW w:w="1070" w:type="dxa"/>
            <w:tcBorders/>
            <w:shd w:fill="939598" w:val="clear"/>
            <w:vAlign w:val="center"/>
          </w:tcPr>
          <w:p>
            <w:pPr>
              <w:pStyle w:val="TableContents"/>
              <w:spacing w:before="0" w:after="283"/>
              <w:ind w:left="0" w:right="0" w:hanging="0"/>
              <w:rPr>
                <w:rFonts w:ascii="Arial;Helvetica;Sans-Serif" w:hAnsi="Arial;Helvetica;Sans-Serif"/>
                <w:b/>
                <w:color w:val="FFFFFF"/>
                <w:sz w:val="18"/>
              </w:rPr>
            </w:pPr>
            <w:r>
              <w:rPr>
                <w:rFonts w:ascii="Arial;Helvetica;Sans-Serif" w:hAnsi="Arial;Helvetica;Sans-Serif"/>
                <w:b/>
                <w:color w:val="FFFFFF"/>
                <w:sz w:val="18"/>
              </w:rPr>
              <w:t>$208,386</w:t>
            </w:r>
          </w:p>
        </w:tc>
        <w:tc>
          <w:tcPr>
            <w:tcW w:w="1070" w:type="dxa"/>
            <w:tcBorders/>
            <w:shd w:fill="939598" w:val="clear"/>
            <w:vAlign w:val="center"/>
          </w:tcPr>
          <w:p>
            <w:pPr>
              <w:pStyle w:val="TableContents"/>
              <w:spacing w:before="0" w:after="283"/>
              <w:ind w:left="0" w:right="0" w:hanging="0"/>
              <w:rPr>
                <w:rFonts w:ascii="Arial;Helvetica;Sans-Serif" w:hAnsi="Arial;Helvetica;Sans-Serif"/>
                <w:b/>
                <w:color w:val="FFFFFF"/>
                <w:sz w:val="18"/>
              </w:rPr>
            </w:pPr>
            <w:r>
              <w:rPr>
                <w:rFonts w:ascii="Arial;Helvetica;Sans-Serif" w:hAnsi="Arial;Helvetica;Sans-Serif"/>
                <w:b/>
                <w:color w:val="FFFFFF"/>
                <w:sz w:val="18"/>
              </w:rPr>
              <w:t>$2,515,971</w:t>
            </w:r>
          </w:p>
        </w:tc>
        <w:tc>
          <w:tcPr>
            <w:tcW w:w="965" w:type="dxa"/>
            <w:tcBorders/>
            <w:shd w:fill="939598" w:val="clear"/>
            <w:vAlign w:val="center"/>
          </w:tcPr>
          <w:p>
            <w:pPr>
              <w:pStyle w:val="TableContents"/>
              <w:spacing w:before="0" w:after="283"/>
              <w:ind w:left="0" w:right="0" w:hanging="0"/>
              <w:rPr>
                <w:rFonts w:ascii="Arial;Helvetica;Sans-Serif" w:hAnsi="Arial;Helvetica;Sans-Serif"/>
                <w:b/>
                <w:color w:val="FFFFFF"/>
                <w:sz w:val="18"/>
              </w:rPr>
            </w:pPr>
            <w:r>
              <w:rPr>
                <w:rFonts w:ascii="Arial;Helvetica;Sans-Serif" w:hAnsi="Arial;Helvetica;Sans-Serif"/>
                <w:b/>
                <w:color w:val="FFFFFF"/>
                <w:sz w:val="18"/>
              </w:rPr>
              <w:t>$2,244,485</w:t>
            </w:r>
          </w:p>
        </w:tc>
      </w:tr>
    </w:tbl>
    <w:p>
      <w:pPr>
        <w:pStyle w:val="TextBody"/>
        <w:jc w:val="right"/>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55</w:t>
            </w:r>
          </w:p>
        </w:tc>
      </w:tr>
    </w:tbl>
    <w:p>
      <w:pPr>
        <w:pStyle w:val="TextBody"/>
        <w:jc w:val="right"/>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11. </w:t>
      </w:r>
      <w:r>
        <w:rPr>
          <w:rFonts w:ascii="Arial;Helvetica;Sans-Serif" w:hAnsi="Arial;Helvetica;Sans-Serif"/>
          <w:b w:val="false"/>
          <w:i w:val="false"/>
          <w:caps w:val="false"/>
          <w:smallCaps w:val="false"/>
          <w:color w:val="EE0027"/>
          <w:sz w:val="20"/>
        </w:rPr>
        <w:t>PAY VERSUS PERFORMANCE DISCLOSURE</w:t>
      </w:r>
    </w:p>
    <w:p>
      <w:pPr>
        <w:pStyle w:val="TextBody"/>
        <w:jc w:val="left"/>
        <w:rPr>
          <w:caps w:val="false"/>
          <w:smallCaps w:val="false"/>
          <w:color w:val="58595B"/>
        </w:rPr>
      </w:pPr>
      <w:r>
        <w:rPr>
          <w:caps w:val="false"/>
          <w:smallCaps w:val="false"/>
          <w:color w:val="58595B"/>
        </w:rPr>
        <w:t> </w:t>
      </w:r>
    </w:p>
    <w:p>
      <w:pPr>
        <w:pStyle w:val="TextBody"/>
        <w:jc w:val="left"/>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(3) </w:t>
      </w:r>
      <w:r>
        <w:rPr>
          <w:rFonts w:ascii="Arial;Helvetica;Sans-Serif" w:hAnsi="Arial;Helvetica;Sans-Serif"/>
          <w:b w:val="false"/>
          <w:i/>
          <w:caps w:val="false"/>
          <w:smallCaps w:val="false"/>
          <w:color w:val="58595B"/>
          <w:spacing w:val="-3"/>
          <w:sz w:val="16"/>
        </w:rPr>
        <w:t xml:space="preserve">For </w:t>
      </w:r>
      <w:r>
        <w:rPr>
          <w:rFonts w:ascii="Arial;Helvetica;Sans-Serif" w:hAnsi="Arial;Helvetica;Sans-Serif"/>
          <w:b w:val="false"/>
          <w:i/>
          <w:caps w:val="false"/>
          <w:smallCaps w:val="false"/>
          <w:color w:val="58595B"/>
          <w:sz w:val="16"/>
        </w:rPr>
        <w:t xml:space="preserve">each </w:t>
      </w:r>
      <w:r>
        <w:rPr>
          <w:rFonts w:ascii="Arial;Helvetica;Sans-Serif" w:hAnsi="Arial;Helvetica;Sans-Serif"/>
          <w:b w:val="false"/>
          <w:i/>
          <w:caps w:val="false"/>
          <w:smallCaps w:val="false"/>
          <w:color w:val="58595B"/>
          <w:spacing w:val="-3"/>
          <w:sz w:val="16"/>
        </w:rPr>
        <w:t xml:space="preserve">Covered </w:t>
      </w:r>
      <w:r>
        <w:rPr>
          <w:rFonts w:ascii="Arial;Helvetica;Sans-Serif" w:hAnsi="Arial;Helvetica;Sans-Serif"/>
          <w:b w:val="false"/>
          <w:i/>
          <w:caps w:val="false"/>
          <w:smallCaps w:val="false"/>
          <w:color w:val="58595B"/>
          <w:spacing w:val="-5"/>
          <w:sz w:val="16"/>
        </w:rPr>
        <w:t>Year,</w:t>
      </w:r>
      <w:r>
        <w:rPr>
          <w:rFonts w:ascii="Arial;Helvetica;Sans-Serif" w:hAnsi="Arial;Helvetica;Sans-Serif"/>
          <w:b w:val="false"/>
          <w:i/>
          <w:caps w:val="false"/>
          <w:smallCaps w:val="false"/>
          <w:color w:val="58595B"/>
          <w:sz w:val="16"/>
        </w:rPr>
        <w:t xml:space="preserve"> our TSR was calculated as the yearly percentage change in our cumulative total shareholder return on our common stock, par value $0.001 per share, measured as the quotient of (a) the sum of (i) the cumulative amount of dividends for a period beginning with our closing price on the NYSE on December 31, 2019 through and including the last day of the fiscal year </w:t>
      </w:r>
      <w:r>
        <w:rPr>
          <w:rFonts w:ascii="Arial;Helvetica;Sans-Serif" w:hAnsi="Arial;Helvetica;Sans-Serif"/>
          <w:b w:val="false"/>
          <w:i/>
          <w:caps w:val="false"/>
          <w:smallCaps w:val="false"/>
          <w:color w:val="58595B"/>
          <w:spacing w:val="-3"/>
          <w:sz w:val="16"/>
        </w:rPr>
        <w:t xml:space="preserve">covered </w:t>
      </w:r>
      <w:r>
        <w:rPr>
          <w:rFonts w:ascii="Arial;Helvetica;Sans-Serif" w:hAnsi="Arial;Helvetica;Sans-Serif"/>
          <w:b w:val="false"/>
          <w:i/>
          <w:caps w:val="false"/>
          <w:smallCaps w:val="false"/>
          <w:color w:val="58595B"/>
          <w:sz w:val="16"/>
        </w:rPr>
        <w:t xml:space="preserve">(each one-year, two-year and three-year period, the “Measurement Period”), assuming dividend reinvestment, plus (ii) the difference between our closing stock price at the end versus the beginning of the Measurement Period, divided by (b) our closing share price at the beginning of the Measurement Period. Each of these yearly percentage changes was then applied to a deemed fixed investment of $100 at the beginning of the Measurement Period to produce the </w:t>
      </w:r>
      <w:r>
        <w:rPr>
          <w:rFonts w:ascii="Arial;Helvetica;Sans-Serif" w:hAnsi="Arial;Helvetica;Sans-Serif"/>
          <w:b w:val="false"/>
          <w:i/>
          <w:caps w:val="false"/>
          <w:smallCaps w:val="false"/>
          <w:color w:val="58595B"/>
          <w:spacing w:val="-3"/>
          <w:sz w:val="16"/>
        </w:rPr>
        <w:t>Covered Year-end</w:t>
      </w:r>
      <w:r>
        <w:rPr>
          <w:rFonts w:ascii="Arial;Helvetica;Sans-Serif" w:hAnsi="Arial;Helvetica;Sans-Serif"/>
          <w:b w:val="false"/>
          <w:i/>
          <w:caps w:val="false"/>
          <w:smallCaps w:val="false"/>
          <w:color w:val="58595B"/>
          <w:sz w:val="16"/>
        </w:rPr>
        <w:t xml:space="preserve"> values of such investment as of the end of 2022, 2021 and 2020, as applicable. Because </w:t>
      </w:r>
      <w:r>
        <w:rPr>
          <w:rFonts w:ascii="Arial;Helvetica;Sans-Serif" w:hAnsi="Arial;Helvetica;Sans-Serif"/>
          <w:b w:val="false"/>
          <w:i/>
          <w:caps w:val="false"/>
          <w:smallCaps w:val="false"/>
          <w:color w:val="58595B"/>
          <w:spacing w:val="-3"/>
          <w:sz w:val="16"/>
        </w:rPr>
        <w:t xml:space="preserve">Covered </w:t>
      </w:r>
      <w:r>
        <w:rPr>
          <w:rFonts w:ascii="Arial;Helvetica;Sans-Serif" w:hAnsi="Arial;Helvetica;Sans-Serif"/>
          <w:b w:val="false"/>
          <w:i/>
          <w:caps w:val="false"/>
          <w:smallCaps w:val="false"/>
          <w:color w:val="58595B"/>
          <w:spacing w:val="-4"/>
          <w:sz w:val="16"/>
        </w:rPr>
        <w:t xml:space="preserve">Years </w:t>
      </w:r>
      <w:r>
        <w:rPr>
          <w:rFonts w:ascii="Arial;Helvetica;Sans-Serif" w:hAnsi="Arial;Helvetica;Sans-Serif"/>
          <w:b w:val="false"/>
          <w:i/>
          <w:caps w:val="false"/>
          <w:smallCaps w:val="false"/>
          <w:color w:val="58595B"/>
          <w:sz w:val="16"/>
        </w:rPr>
        <w:t>are presented in the table in reverse chronological order (from top to bottom), the table should be read from bottom to top for purposes of understanding cumulative returns over time.</w:t>
      </w:r>
    </w:p>
    <w:p>
      <w:pPr>
        <w:pStyle w:val="TextBody"/>
        <w:jc w:val="left"/>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(4) </w:t>
      </w:r>
      <w:r>
        <w:rPr>
          <w:rFonts w:ascii="Arial;Helvetica;Sans-Serif" w:hAnsi="Arial;Helvetica;Sans-Serif"/>
          <w:b w:val="false"/>
          <w:i/>
          <w:caps w:val="false"/>
          <w:smallCaps w:val="false"/>
          <w:color w:val="58595B"/>
          <w:spacing w:val="-3"/>
          <w:sz w:val="16"/>
        </w:rPr>
        <w:t xml:space="preserve">For </w:t>
      </w:r>
      <w:r>
        <w:rPr>
          <w:rFonts w:ascii="Arial;Helvetica;Sans-Serif" w:hAnsi="Arial;Helvetica;Sans-Serif"/>
          <w:b w:val="false"/>
          <w:i/>
          <w:caps w:val="false"/>
          <w:smallCaps w:val="false"/>
          <w:color w:val="58595B"/>
          <w:sz w:val="16"/>
        </w:rPr>
        <w:t xml:space="preserve">purposes of this pay versus performance disclosure, our peer group is the S&amp;P 500® Data Processing &amp; Outsourced Services Sub Industry Index (the “PVP Peer </w:t>
      </w:r>
      <w:r>
        <w:rPr>
          <w:rFonts w:ascii="Arial;Helvetica;Sans-Serif" w:hAnsi="Arial;Helvetica;Sans-Serif"/>
          <w:b w:val="false"/>
          <w:i/>
          <w:caps w:val="false"/>
          <w:smallCaps w:val="false"/>
          <w:color w:val="58595B"/>
          <w:spacing w:val="-3"/>
          <w:sz w:val="16"/>
        </w:rPr>
        <w:t xml:space="preserve">Group”). For </w:t>
      </w:r>
      <w:r>
        <w:rPr>
          <w:rFonts w:ascii="Arial;Helvetica;Sans-Serif" w:hAnsi="Arial;Helvetica;Sans-Serif"/>
          <w:b w:val="false"/>
          <w:i/>
          <w:caps w:val="false"/>
          <w:smallCaps w:val="false"/>
          <w:color w:val="58595B"/>
          <w:sz w:val="16"/>
        </w:rPr>
        <w:t xml:space="preserve">each </w:t>
      </w:r>
      <w:r>
        <w:rPr>
          <w:rFonts w:ascii="Arial;Helvetica;Sans-Serif" w:hAnsi="Arial;Helvetica;Sans-Serif"/>
          <w:b w:val="false"/>
          <w:i/>
          <w:caps w:val="false"/>
          <w:smallCaps w:val="false"/>
          <w:color w:val="58595B"/>
          <w:spacing w:val="-3"/>
          <w:sz w:val="16"/>
        </w:rPr>
        <w:t xml:space="preserve">Covered </w:t>
      </w:r>
      <w:r>
        <w:rPr>
          <w:rFonts w:ascii="Arial;Helvetica;Sans-Serif" w:hAnsi="Arial;Helvetica;Sans-Serif"/>
          <w:b w:val="false"/>
          <w:i/>
          <w:caps w:val="false"/>
          <w:smallCaps w:val="false"/>
          <w:color w:val="58595B"/>
          <w:spacing w:val="-5"/>
          <w:sz w:val="16"/>
        </w:rPr>
        <w:t xml:space="preserve">Year, </w:t>
      </w:r>
      <w:r>
        <w:rPr>
          <w:rFonts w:ascii="Arial;Helvetica;Sans-Serif" w:hAnsi="Arial;Helvetica;Sans-Serif"/>
          <w:b w:val="false"/>
          <w:i/>
          <w:caps w:val="false"/>
          <w:smallCaps w:val="false"/>
          <w:color w:val="58595B"/>
          <w:sz w:val="16"/>
        </w:rPr>
        <w:t>our peer group cumulative total shareholder return was calculated based on a deemed fixed investment of $100 through the Measurement Period, assuming dividend reinvestment, in the PVP Peer Group</w:t>
      </w:r>
    </w:p>
    <w:p>
      <w:pPr>
        <w:pStyle w:val="TextBody"/>
        <w:spacing w:before="0" w:after="0"/>
        <w:jc w:val="left"/>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(5) </w:t>
      </w:r>
      <w:r>
        <w:rPr>
          <w:rFonts w:ascii="Arial;Helvetica;Sans-Serif" w:hAnsi="Arial;Helvetica;Sans-Serif"/>
          <w:b w:val="false"/>
          <w:i/>
          <w:caps w:val="false"/>
          <w:smallCaps w:val="false"/>
          <w:color w:val="58595B"/>
          <w:sz w:val="16"/>
        </w:rPr>
        <w:t>Net income is calculated in accordance with United States Generally Accepted Accounting Principles.</w:t>
      </w:r>
    </w:p>
    <w:p>
      <w:pPr>
        <w:pStyle w:val="TextBody"/>
        <w:spacing w:before="0" w:after="0"/>
        <w:jc w:val="left"/>
        <w:rPr>
          <w:rFonts w:ascii="Times New Roman;Times;Serif" w:hAnsi="Times New Roman;Times;Serif"/>
          <w:b w:val="false"/>
          <w:i w:val="false"/>
          <w:caps w:val="false"/>
          <w:smallCaps w:val="false"/>
          <w:color w:val="58595B"/>
          <w:sz w:val="20"/>
        </w:rPr>
      </w:pPr>
      <w:r>
        <w:rPr>
          <w:rFonts w:ascii="Arial;Helvetica;Sans-Serif" w:hAnsi="Arial;Helvetica;Sans-Serif"/>
          <w:b w:val="false"/>
          <w:i/>
          <w:caps w:val="false"/>
          <w:smallCaps w:val="false"/>
          <w:color w:val="58595B"/>
          <w:spacing w:val="-1"/>
          <w:sz w:val="16"/>
        </w:rPr>
        <w:t xml:space="preserve">(6) </w:t>
      </w:r>
      <w:r>
        <w:rPr>
          <w:rFonts w:ascii="Arial;Helvetica;Sans-Serif" w:hAnsi="Arial;Helvetica;Sans-Serif"/>
          <w:b w:val="false"/>
          <w:i/>
          <w:caps w:val="false"/>
          <w:smallCaps w:val="false"/>
          <w:color w:val="58595B"/>
          <w:sz w:val="16"/>
        </w:rPr>
        <w:t>Adjusted EPS (or adjusted net income per diluted share) is calculated as set forth on Appendix A.</w:t>
      </w:r>
    </w:p>
    <w:p>
      <w:pPr>
        <w:pStyle w:val="TextBody"/>
        <w:rPr>
          <w:caps w:val="false"/>
          <w:smallCaps w:val="false"/>
        </w:rPr>
      </w:pPr>
      <w:r>
        <w:rPr>
          <w:caps w:val="false"/>
          <w:smallCaps w:val="false"/>
        </w:rPr>
        <w:t> </w:t>
      </w:r>
    </w:p>
    <w:p>
      <w:pPr>
        <w:pStyle w:val="TextBody"/>
        <w:spacing w:before="0" w:after="0"/>
        <w:rPr/>
      </w:pPr>
      <w:r>
        <w:rPr/>
      </w:r>
      <w:r>
        <mc:AlternateContent>
          <mc:Choice Requires="wps">
            <w:drawing>
              <wp:anchor behindDoc="0" distT="0" distB="0" distL="0" distR="0" simplePos="0" locked="0" layoutInCell="1" allowOverlap="1" relativeHeight="82">
                <wp:simplePos x="0" y="0"/>
                <wp:positionH relativeFrom="column">
                  <wp:align>right</wp:align>
                </wp:positionH>
                <wp:positionV relativeFrom="line">
                  <wp:posOffset>635</wp:posOffset>
                </wp:positionV>
                <wp:extent cx="3110230" cy="5452745"/>
                <wp:effectExtent l="0" t="0" r="0" b="0"/>
                <wp:wrapSquare wrapText="largest"/>
                <wp:docPr id="443" name="Frame75"/>
                <a:graphic xmlns:a="http://schemas.openxmlformats.org/drawingml/2006/main">
                  <a:graphicData uri="http://schemas.microsoft.com/office/word/2010/wordprocessingShape">
                    <wps:wsp>
                      <wps:cNvSpPr txBox="1"/>
                      <wps:spPr>
                        <a:xfrm>
                          <a:off x="0" y="0"/>
                          <a:ext cx="3110230" cy="5452745"/>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of outstanding equity awards for purposes of 2022 CAP (including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Clarke’s </w:t>
                            </w:r>
                            <w:r>
                              <w:rPr>
                                <w:rFonts w:ascii="Arial;Helvetica;Sans-Serif" w:hAnsi="Arial;Helvetica;Sans-Serif"/>
                                <w:b w:val="false"/>
                                <w:i w:val="false"/>
                                <w:caps w:val="false"/>
                                <w:smallCaps w:val="false"/>
                                <w:color w:val="58595B"/>
                                <w:sz w:val="18"/>
                              </w:rPr>
                              <w:t>performance stock option award) resulted in a significantly lower CAP for both the PEO and non-PEO NEOs for 2022 as compared to 2021.</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4"/>
                                <w:sz w:val="18"/>
                              </w:rPr>
                              <w:t xml:space="preserve">For </w:t>
                            </w:r>
                            <w:r>
                              <w:rPr>
                                <w:rFonts w:ascii="Arial;Helvetica;Sans-Serif" w:hAnsi="Arial;Helvetica;Sans-Serif"/>
                                <w:b w:val="false"/>
                                <w:i w:val="false"/>
                                <w:caps w:val="false"/>
                                <w:smallCaps w:val="false"/>
                                <w:color w:val="58595B"/>
                                <w:sz w:val="18"/>
                              </w:rPr>
                              <w:t xml:space="preserve">a discussion of how our Compensation Committee assessed “pay-for-performance” and how our executive compensation program is designed to link executive compensation with the achievement of our financial and strategic objectives as well as stockholder value creation each </w:t>
                            </w:r>
                            <w:r>
                              <w:rPr>
                                <w:rFonts w:ascii="Arial;Helvetica;Sans-Serif" w:hAnsi="Arial;Helvetica;Sans-Serif"/>
                                <w:b w:val="false"/>
                                <w:i w:val="false"/>
                                <w:caps w:val="false"/>
                                <w:smallCaps w:val="false"/>
                                <w:color w:val="58595B"/>
                                <w:spacing w:val="-3"/>
                                <w:sz w:val="18"/>
                              </w:rPr>
                              <w:t xml:space="preserve">year, </w:t>
                            </w:r>
                            <w:r>
                              <w:rPr>
                                <w:rFonts w:ascii="Arial;Helvetica;Sans-Serif" w:hAnsi="Arial;Helvetica;Sans-Serif"/>
                                <w:b w:val="false"/>
                                <w:i w:val="false"/>
                                <w:caps w:val="false"/>
                                <w:smallCaps w:val="false"/>
                                <w:color w:val="58595B"/>
                                <w:sz w:val="18"/>
                              </w:rPr>
                              <w:t xml:space="preserve">see the “Compensation Discussion and Analysis” in this </w:t>
                            </w:r>
                            <w:r>
                              <w:rPr>
                                <w:rFonts w:ascii="Arial;Helvetica;Sans-Serif" w:hAnsi="Arial;Helvetica;Sans-Serif"/>
                                <w:b w:val="false"/>
                                <w:i w:val="false"/>
                                <w:caps w:val="false"/>
                                <w:smallCaps w:val="false"/>
                                <w:color w:val="58595B"/>
                                <w:spacing w:val="-3"/>
                                <w:sz w:val="18"/>
                              </w:rPr>
                              <w:t xml:space="preserve">Proxy </w:t>
                            </w:r>
                            <w:r>
                              <w:rPr>
                                <w:rFonts w:ascii="Arial;Helvetica;Sans-Serif" w:hAnsi="Arial;Helvetica;Sans-Serif"/>
                                <w:b w:val="false"/>
                                <w:i w:val="false"/>
                                <w:caps w:val="false"/>
                                <w:smallCaps w:val="false"/>
                                <w:color w:val="58595B"/>
                                <w:sz w:val="18"/>
                              </w:rPr>
                              <w:t>Statement.</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000000"/>
                                <w:sz w:val="18"/>
                              </w:rPr>
                            </w:pPr>
                            <w:bookmarkStart w:id="141" w:name="a084"/>
                            <w:bookmarkEnd w:id="141"/>
                            <w:r>
                              <w:rPr>
                                <w:rFonts w:ascii="Arial;Helvetica;Sans-Serif" w:hAnsi="Arial;Helvetica;Sans-Serif"/>
                                <w:b/>
                                <w:i w:val="false"/>
                                <w:caps w:val="false"/>
                                <w:smallCaps w:val="false"/>
                                <w:color w:val="000000"/>
                                <w:sz w:val="18"/>
                              </w:rPr>
                              <w:t>Net Income vs. Compensation Actually Paid</w:t>
                            </w:r>
                          </w:p>
                          <w:p>
                            <w:pPr>
                              <w:pStyle w:val="TextBody"/>
                              <w:rPr>
                                <w:caps w:val="false"/>
                                <w:smallCaps w:val="false"/>
                                <w:color w:val="58595B"/>
                              </w:rPr>
                            </w:pPr>
                            <w:r>
                              <w:rPr>
                                <w:caps w:val="false"/>
                                <w:smallCaps w:val="false"/>
                                <w:color w:val="58595B"/>
                              </w:rPr>
                              <w:t> </w:t>
                            </w:r>
                          </w:p>
                          <w:p>
                            <w:pPr>
                              <w:pStyle w:val="TextBody"/>
                              <w:spacing w:before="0" w:after="283"/>
                              <w:rPr>
                                <w:caps w:val="false"/>
                                <w:smallCaps w:val="false"/>
                                <w:color w:val="58595B"/>
                              </w:rPr>
                            </w:pPr>
                            <w:r>
                              <w:rPr>
                                <w:caps w:val="false"/>
                                <w:smallCaps w:val="false"/>
                                <w:color w:val="58595B"/>
                              </w:rPr>
                              <w:drawing>
                                <wp:inline distT="0" distB="0" distL="0" distR="0">
                                  <wp:extent cx="3333750" cy="2238375"/>
                                  <wp:effectExtent l="0" t="0" r="0" b="0"/>
                                  <wp:docPr id="444"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 name="Image217" descr=""/>
                                          <pic:cNvPicPr>
                                            <a:picLocks noChangeAspect="1" noChangeArrowheads="1"/>
                                          </pic:cNvPicPr>
                                        </pic:nvPicPr>
                                        <pic:blipFill>
                                          <a:blip r:embed="rId218"/>
                                          <a:stretch>
                                            <a:fillRect/>
                                          </a:stretch>
                                        </pic:blipFill>
                                        <pic:spPr bwMode="auto">
                                          <a:xfrm>
                                            <a:off x="0" y="0"/>
                                            <a:ext cx="3333750" cy="2238375"/>
                                          </a:xfrm>
                                          <a:prstGeom prst="rect">
                                            <a:avLst/>
                                          </a:prstGeom>
                                        </pic:spPr>
                                      </pic:pic>
                                    </a:graphicData>
                                  </a:graphic>
                                </wp:inline>
                              </w:drawing>
                            </w: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9.3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of outstanding equity awards for purposes of 2022 CAP (including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pacing w:val="-3"/>
                          <w:sz w:val="18"/>
                        </w:rPr>
                        <w:t xml:space="preserve">Clarke’s </w:t>
                      </w:r>
                      <w:r>
                        <w:rPr>
                          <w:rFonts w:ascii="Arial;Helvetica;Sans-Serif" w:hAnsi="Arial;Helvetica;Sans-Serif"/>
                          <w:b w:val="false"/>
                          <w:i w:val="false"/>
                          <w:caps w:val="false"/>
                          <w:smallCaps w:val="false"/>
                          <w:color w:val="58595B"/>
                          <w:sz w:val="18"/>
                        </w:rPr>
                        <w:t>performance stock option award) resulted in a significantly lower CAP for both the PEO and non-PEO NEOs for 2022 as compared to 2021.</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4"/>
                          <w:sz w:val="18"/>
                        </w:rPr>
                        <w:t xml:space="preserve">For </w:t>
                      </w:r>
                      <w:r>
                        <w:rPr>
                          <w:rFonts w:ascii="Arial;Helvetica;Sans-Serif" w:hAnsi="Arial;Helvetica;Sans-Serif"/>
                          <w:b w:val="false"/>
                          <w:i w:val="false"/>
                          <w:caps w:val="false"/>
                          <w:smallCaps w:val="false"/>
                          <w:color w:val="58595B"/>
                          <w:sz w:val="18"/>
                        </w:rPr>
                        <w:t xml:space="preserve">a discussion of how our Compensation Committee assessed “pay-for-performance” and how our executive compensation program is designed to link executive compensation with the achievement of our financial and strategic objectives as well as stockholder value creation each </w:t>
                      </w:r>
                      <w:r>
                        <w:rPr>
                          <w:rFonts w:ascii="Arial;Helvetica;Sans-Serif" w:hAnsi="Arial;Helvetica;Sans-Serif"/>
                          <w:b w:val="false"/>
                          <w:i w:val="false"/>
                          <w:caps w:val="false"/>
                          <w:smallCaps w:val="false"/>
                          <w:color w:val="58595B"/>
                          <w:spacing w:val="-3"/>
                          <w:sz w:val="18"/>
                        </w:rPr>
                        <w:t xml:space="preserve">year, </w:t>
                      </w:r>
                      <w:r>
                        <w:rPr>
                          <w:rFonts w:ascii="Arial;Helvetica;Sans-Serif" w:hAnsi="Arial;Helvetica;Sans-Serif"/>
                          <w:b w:val="false"/>
                          <w:i w:val="false"/>
                          <w:caps w:val="false"/>
                          <w:smallCaps w:val="false"/>
                          <w:color w:val="58595B"/>
                          <w:sz w:val="18"/>
                        </w:rPr>
                        <w:t xml:space="preserve">see the “Compensation Discussion and Analysis” in this </w:t>
                      </w:r>
                      <w:r>
                        <w:rPr>
                          <w:rFonts w:ascii="Arial;Helvetica;Sans-Serif" w:hAnsi="Arial;Helvetica;Sans-Serif"/>
                          <w:b w:val="false"/>
                          <w:i w:val="false"/>
                          <w:caps w:val="false"/>
                          <w:smallCaps w:val="false"/>
                          <w:color w:val="58595B"/>
                          <w:spacing w:val="-3"/>
                          <w:sz w:val="18"/>
                        </w:rPr>
                        <w:t xml:space="preserve">Proxy </w:t>
                      </w:r>
                      <w:r>
                        <w:rPr>
                          <w:rFonts w:ascii="Arial;Helvetica;Sans-Serif" w:hAnsi="Arial;Helvetica;Sans-Serif"/>
                          <w:b w:val="false"/>
                          <w:i w:val="false"/>
                          <w:caps w:val="false"/>
                          <w:smallCaps w:val="false"/>
                          <w:color w:val="58595B"/>
                          <w:sz w:val="18"/>
                        </w:rPr>
                        <w:t>Statement.</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000000"/>
                          <w:sz w:val="18"/>
                        </w:rPr>
                      </w:pPr>
                      <w:bookmarkStart w:id="142" w:name="a084"/>
                      <w:bookmarkEnd w:id="142"/>
                      <w:r>
                        <w:rPr>
                          <w:rFonts w:ascii="Arial;Helvetica;Sans-Serif" w:hAnsi="Arial;Helvetica;Sans-Serif"/>
                          <w:b/>
                          <w:i w:val="false"/>
                          <w:caps w:val="false"/>
                          <w:smallCaps w:val="false"/>
                          <w:color w:val="000000"/>
                          <w:sz w:val="18"/>
                        </w:rPr>
                        <w:t>Net Income vs. Compensation Actually Paid</w:t>
                      </w:r>
                    </w:p>
                    <w:p>
                      <w:pPr>
                        <w:pStyle w:val="TextBody"/>
                        <w:rPr>
                          <w:caps w:val="false"/>
                          <w:smallCaps w:val="false"/>
                          <w:color w:val="58595B"/>
                        </w:rPr>
                      </w:pPr>
                      <w:r>
                        <w:rPr>
                          <w:caps w:val="false"/>
                          <w:smallCaps w:val="false"/>
                          <w:color w:val="58595B"/>
                        </w:rPr>
                        <w:t> </w:t>
                      </w:r>
                    </w:p>
                    <w:p>
                      <w:pPr>
                        <w:pStyle w:val="TextBody"/>
                        <w:spacing w:before="0" w:after="283"/>
                        <w:rPr>
                          <w:caps w:val="false"/>
                          <w:smallCaps w:val="false"/>
                          <w:color w:val="58595B"/>
                        </w:rPr>
                      </w:pPr>
                      <w:r>
                        <w:rPr>
                          <w:caps w:val="false"/>
                          <w:smallCaps w:val="false"/>
                          <w:color w:val="58595B"/>
                        </w:rPr>
                        <w:drawing>
                          <wp:inline distT="0" distB="0" distL="0" distR="0">
                            <wp:extent cx="3333750" cy="2238375"/>
                            <wp:effectExtent l="0" t="0" r="0" b="0"/>
                            <wp:docPr id="445" name="Image2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 name="Image217" descr=""/>
                                    <pic:cNvPicPr>
                                      <a:picLocks noChangeAspect="1" noChangeArrowheads="1"/>
                                    </pic:cNvPicPr>
                                  </pic:nvPicPr>
                                  <pic:blipFill>
                                    <a:blip r:embed="rId218"/>
                                    <a:stretch>
                                      <a:fillRect/>
                                    </a:stretch>
                                  </pic:blipFill>
                                  <pic:spPr bwMode="auto">
                                    <a:xfrm>
                                      <a:off x="0" y="0"/>
                                      <a:ext cx="3333750" cy="2238375"/>
                                    </a:xfrm>
                                    <a:prstGeom prst="rect">
                                      <a:avLst/>
                                    </a:prstGeom>
                                  </pic:spPr>
                                </pic:pic>
                              </a:graphicData>
                            </a:graphic>
                          </wp:inline>
                        </w:drawing>
                      </w:r>
                      <w:r>
                        <w:rPr>
                          <w:caps w:val="false"/>
                          <w:smallCaps w:val="false"/>
                          <w:color w:val="58595B"/>
                        </w:rPr>
                        <w:t> </w:t>
                      </w:r>
                    </w:p>
                  </w:txbxContent>
                </v:textbox>
                <w10:wrap type="square" side="left"/>
              </v:rect>
            </w:pict>
          </mc:Fallback>
        </mc:AlternateContent>
      </w:r>
      <w:r>
        <mc:AlternateContent>
          <mc:Choice Requires="wps">
            <w:drawing>
              <wp:anchor behindDoc="0" distT="0" distB="0" distL="0" distR="0" simplePos="0" locked="0" layoutInCell="1" allowOverlap="1" relativeHeight="210">
                <wp:simplePos x="0" y="0"/>
                <wp:positionH relativeFrom="column">
                  <wp:align>left</wp:align>
                </wp:positionH>
                <wp:positionV relativeFrom="line">
                  <wp:posOffset>635</wp:posOffset>
                </wp:positionV>
                <wp:extent cx="3110230" cy="4292600"/>
                <wp:effectExtent l="0" t="0" r="0" b="0"/>
                <wp:wrapSquare wrapText="largest"/>
                <wp:docPr id="446" name="Frame74"/>
                <a:graphic xmlns:a="http://schemas.openxmlformats.org/drawingml/2006/main">
                  <a:graphicData uri="http://schemas.microsoft.com/office/word/2010/wordprocessingShape">
                    <wps:wsp>
                      <wps:cNvSpPr txBox="1"/>
                      <wps:spPr>
                        <a:xfrm>
                          <a:off x="0" y="0"/>
                          <a:ext cx="3110230" cy="4292600"/>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following charts provide, across the </w:t>
                            </w:r>
                            <w:r>
                              <w:rPr>
                                <w:rFonts w:ascii="Arial;Helvetica;Sans-Serif" w:hAnsi="Arial;Helvetica;Sans-Serif"/>
                                <w:b w:val="false"/>
                                <w:i w:val="false"/>
                                <w:caps w:val="false"/>
                                <w:smallCaps w:val="false"/>
                                <w:color w:val="58595B"/>
                                <w:spacing w:val="-3"/>
                                <w:sz w:val="18"/>
                              </w:rPr>
                              <w:t xml:space="preserve">Covered </w:t>
                            </w:r>
                            <w:r>
                              <w:rPr>
                                <w:rFonts w:ascii="Arial;Helvetica;Sans-Serif" w:hAnsi="Arial;Helvetica;Sans-Serif"/>
                                <w:b w:val="false"/>
                                <w:i w:val="false"/>
                                <w:caps w:val="false"/>
                                <w:smallCaps w:val="false"/>
                                <w:color w:val="58595B"/>
                                <w:spacing w:val="-5"/>
                                <w:sz w:val="18"/>
                              </w:rPr>
                              <w:t xml:space="preserve">Years, </w:t>
                            </w:r>
                            <w:r>
                              <w:rPr>
                                <w:rFonts w:ascii="Arial;Helvetica;Sans-Serif" w:hAnsi="Arial;Helvetica;Sans-Serif"/>
                                <w:b w:val="false"/>
                                <w:i w:val="false"/>
                                <w:caps w:val="false"/>
                                <w:smallCaps w:val="false"/>
                                <w:color w:val="58595B"/>
                                <w:sz w:val="18"/>
                              </w:rPr>
                              <w:t xml:space="preserve">(1) a comparison between our cumulative TSR and the cumulative TSR of the PVP Peer Group, and (2) illustrations of the relationships between (A) the CAP to the PEO and the </w:t>
                            </w:r>
                            <w:r>
                              <w:rPr>
                                <w:rFonts w:ascii="Arial;Helvetica;Sans-Serif" w:hAnsi="Arial;Helvetica;Sans-Serif"/>
                                <w:b w:val="false"/>
                                <w:i w:val="false"/>
                                <w:caps w:val="false"/>
                                <w:smallCaps w:val="false"/>
                                <w:color w:val="58595B"/>
                                <w:spacing w:val="-3"/>
                                <w:sz w:val="18"/>
                              </w:rPr>
                              <w:t>average</w:t>
                            </w:r>
                            <w:r>
                              <w:rPr>
                                <w:rFonts w:ascii="Arial;Helvetica;Sans-Serif" w:hAnsi="Arial;Helvetica;Sans-Serif"/>
                                <w:b w:val="false"/>
                                <w:i w:val="false"/>
                                <w:caps w:val="false"/>
                                <w:smallCaps w:val="false"/>
                                <w:color w:val="58595B"/>
                                <w:sz w:val="18"/>
                              </w:rPr>
                              <w:t xml:space="preserve"> CAP to our non-PEO NEOs (in each case as set forth in the PVP </w:t>
                            </w:r>
                            <w:r>
                              <w:rPr>
                                <w:rFonts w:ascii="Arial;Helvetica;Sans-Serif" w:hAnsi="Arial;Helvetica;Sans-Serif"/>
                                <w:b w:val="false"/>
                                <w:i w:val="false"/>
                                <w:caps w:val="false"/>
                                <w:smallCaps w:val="false"/>
                                <w:color w:val="58595B"/>
                                <w:spacing w:val="-6"/>
                                <w:sz w:val="18"/>
                              </w:rPr>
                              <w:t xml:space="preserve">Table </w:t>
                            </w:r>
                            <w:r>
                              <w:rPr>
                                <w:rFonts w:ascii="Arial;Helvetica;Sans-Serif" w:hAnsi="Arial;Helvetica;Sans-Serif"/>
                                <w:b w:val="false"/>
                                <w:i w:val="false"/>
                                <w:caps w:val="false"/>
                                <w:smallCaps w:val="false"/>
                                <w:color w:val="58595B"/>
                                <w:spacing w:val="-3"/>
                                <w:sz w:val="18"/>
                              </w:rPr>
                              <w:t xml:space="preserve">above) </w:t>
                            </w:r>
                            <w:r>
                              <w:rPr>
                                <w:rFonts w:ascii="Arial;Helvetica;Sans-Serif" w:hAnsi="Arial;Helvetica;Sans-Serif"/>
                                <w:b w:val="false"/>
                                <w:i w:val="false"/>
                                <w:caps w:val="false"/>
                                <w:smallCaps w:val="false"/>
                                <w:color w:val="58595B"/>
                                <w:sz w:val="18"/>
                              </w:rPr>
                              <w:t xml:space="preserve">and (B) each of the performance measures set forth in columns (f), (h) and (i) of the PVP </w:t>
                            </w:r>
                            <w:r>
                              <w:rPr>
                                <w:rFonts w:ascii="Arial;Helvetica;Sans-Serif" w:hAnsi="Arial;Helvetica;Sans-Serif"/>
                                <w:b w:val="false"/>
                                <w:i w:val="false"/>
                                <w:caps w:val="false"/>
                                <w:smallCaps w:val="false"/>
                                <w:color w:val="58595B"/>
                                <w:spacing w:val="-5"/>
                                <w:sz w:val="18"/>
                              </w:rPr>
                              <w:t xml:space="preserve">Table </w:t>
                            </w:r>
                            <w:r>
                              <w:rPr>
                                <w:rFonts w:ascii="Arial;Helvetica;Sans-Serif" w:hAnsi="Arial;Helvetica;Sans-Serif"/>
                                <w:b w:val="false"/>
                                <w:i w:val="false"/>
                                <w:caps w:val="false"/>
                                <w:smallCaps w:val="false"/>
                                <w:color w:val="58595B"/>
                                <w:sz w:val="18"/>
                              </w:rPr>
                              <w:t>above.</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5"/>
                                <w:sz w:val="18"/>
                              </w:rPr>
                              <w:t xml:space="preserve">CAP, </w:t>
                            </w:r>
                            <w:r>
                              <w:rPr>
                                <w:rFonts w:ascii="Arial;Helvetica;Sans-Serif" w:hAnsi="Arial;Helvetica;Sans-Serif"/>
                                <w:b w:val="false"/>
                                <w:i w:val="false"/>
                                <w:caps w:val="false"/>
                                <w:smallCaps w:val="false"/>
                                <w:color w:val="58595B"/>
                                <w:sz w:val="18"/>
                              </w:rPr>
                              <w:t xml:space="preserve">as calculated under SEC rules, </w:t>
                            </w:r>
                            <w:r>
                              <w:rPr>
                                <w:rFonts w:ascii="Arial;Helvetica;Sans-Serif" w:hAnsi="Arial;Helvetica;Sans-Serif"/>
                                <w:b w:val="false"/>
                                <w:i w:val="false"/>
                                <w:caps w:val="false"/>
                                <w:smallCaps w:val="false"/>
                                <w:color w:val="58595B"/>
                                <w:spacing w:val="-3"/>
                                <w:sz w:val="18"/>
                              </w:rPr>
                              <w:t xml:space="preserve">reflects </w:t>
                            </w:r>
                            <w:r>
                              <w:rPr>
                                <w:rFonts w:ascii="Arial;Helvetica;Sans-Serif" w:hAnsi="Arial;Helvetica;Sans-Serif"/>
                                <w:b w:val="false"/>
                                <w:i w:val="false"/>
                                <w:caps w:val="false"/>
                                <w:smallCaps w:val="false"/>
                                <w:color w:val="58595B"/>
                                <w:sz w:val="18"/>
                              </w:rPr>
                              <w:t xml:space="preserve">adjusted values to equity awards during the years shown in the PVP </w:t>
                            </w:r>
                            <w:r>
                              <w:rPr>
                                <w:rFonts w:ascii="Arial;Helvetica;Sans-Serif" w:hAnsi="Arial;Helvetica;Sans-Serif"/>
                                <w:b w:val="false"/>
                                <w:i w:val="false"/>
                                <w:caps w:val="false"/>
                                <w:smallCaps w:val="false"/>
                                <w:color w:val="58595B"/>
                                <w:spacing w:val="-5"/>
                                <w:sz w:val="18"/>
                              </w:rPr>
                              <w:t xml:space="preserve">Table </w:t>
                            </w:r>
                            <w:r>
                              <w:rPr>
                                <w:rFonts w:ascii="Arial;Helvetica;Sans-Serif" w:hAnsi="Arial;Helvetica;Sans-Serif"/>
                                <w:b w:val="false"/>
                                <w:i w:val="false"/>
                                <w:caps w:val="false"/>
                                <w:smallCaps w:val="false"/>
                                <w:color w:val="58595B"/>
                                <w:sz w:val="18"/>
                              </w:rPr>
                              <w:t xml:space="preserve">based on stock prices at various times, certain accounting valuation assumptions, and projected performance modifiers, but does not necessarily </w:t>
                            </w:r>
                            <w:r>
                              <w:rPr>
                                <w:rFonts w:ascii="Arial;Helvetica;Sans-Serif" w:hAnsi="Arial;Helvetica;Sans-Serif"/>
                                <w:b w:val="false"/>
                                <w:i w:val="false"/>
                                <w:caps w:val="false"/>
                                <w:smallCaps w:val="false"/>
                                <w:color w:val="58595B"/>
                                <w:spacing w:val="-3"/>
                                <w:sz w:val="18"/>
                              </w:rPr>
                              <w:t xml:space="preserve">reflect </w:t>
                            </w:r>
                            <w:r>
                              <w:rPr>
                                <w:rFonts w:ascii="Arial;Helvetica;Sans-Serif" w:hAnsi="Arial;Helvetica;Sans-Serif"/>
                                <w:b w:val="false"/>
                                <w:i w:val="false"/>
                                <w:caps w:val="false"/>
                                <w:smallCaps w:val="false"/>
                                <w:color w:val="58595B"/>
                                <w:sz w:val="18"/>
                              </w:rPr>
                              <w:t xml:space="preserve">actual amounts realized under those awards. Although our performance in GAAP net income and Adjusted EPS steadily increased during the 2020-2022 period, the charts below do not show a clear relationship between </w:t>
                            </w:r>
                            <w:r>
                              <w:rPr>
                                <w:rFonts w:ascii="Arial;Helvetica;Sans-Serif" w:hAnsi="Arial;Helvetica;Sans-Serif"/>
                                <w:b w:val="false"/>
                                <w:i w:val="false"/>
                                <w:caps w:val="false"/>
                                <w:smallCaps w:val="false"/>
                                <w:color w:val="58595B"/>
                                <w:sz w:val="16"/>
                              </w:rPr>
                              <w:t xml:space="preserve">CAP and our performance during such period. There are two primary reasons for this disconnect. First, </w:t>
                            </w:r>
                            <w:r>
                              <w:rPr>
                                <w:rFonts w:ascii="Arial;Helvetica;Sans-Serif" w:hAnsi="Arial;Helvetica;Sans-Serif"/>
                                <w:b w:val="false"/>
                                <w:i w:val="false"/>
                                <w:caps w:val="false"/>
                                <w:smallCaps w:val="false"/>
                                <w:color w:val="58595B"/>
                                <w:spacing w:val="-4"/>
                                <w:sz w:val="16"/>
                              </w:rPr>
                              <w:t xml:space="preserve">Mr. </w:t>
                            </w:r>
                            <w:r>
                              <w:rPr>
                                <w:rFonts w:ascii="Arial;Helvetica;Sans-Serif" w:hAnsi="Arial;Helvetica;Sans-Serif"/>
                                <w:b w:val="false"/>
                                <w:i w:val="false"/>
                                <w:caps w:val="false"/>
                                <w:smallCaps w:val="false"/>
                                <w:color w:val="58595B"/>
                                <w:sz w:val="16"/>
                              </w:rPr>
                              <w:t xml:space="preserve">Clarke did not </w:t>
                            </w:r>
                            <w:r>
                              <w:rPr>
                                <w:rFonts w:ascii="Arial;Helvetica;Sans-Serif" w:hAnsi="Arial;Helvetica;Sans-Serif"/>
                                <w:b w:val="false"/>
                                <w:i w:val="false"/>
                                <w:caps w:val="false"/>
                                <w:smallCaps w:val="false"/>
                                <w:color w:val="58595B"/>
                                <w:spacing w:val="-3"/>
                                <w:sz w:val="16"/>
                              </w:rPr>
                              <w:t xml:space="preserve">receive </w:t>
                            </w:r>
                            <w:r>
                              <w:rPr>
                                <w:rFonts w:ascii="Arial;Helvetica;Sans-Serif" w:hAnsi="Arial;Helvetica;Sans-Serif"/>
                                <w:b w:val="false"/>
                                <w:i w:val="false"/>
                                <w:caps w:val="false"/>
                                <w:smallCaps w:val="false"/>
                                <w:color w:val="58595B"/>
                                <w:sz w:val="16"/>
                              </w:rPr>
                              <w:t xml:space="preserve">any equity compensation awards in 2020 or 2022. The significant increase in PEO CAP for 2021 primarily </w:t>
                            </w:r>
                            <w:r>
                              <w:rPr>
                                <w:rFonts w:ascii="Arial;Helvetica;Sans-Serif" w:hAnsi="Arial;Helvetica;Sans-Serif"/>
                                <w:b w:val="false"/>
                                <w:i w:val="false"/>
                                <w:caps w:val="false"/>
                                <w:smallCaps w:val="false"/>
                                <w:color w:val="58595B"/>
                                <w:spacing w:val="-3"/>
                                <w:sz w:val="16"/>
                              </w:rPr>
                              <w:t xml:space="preserve">reflects </w:t>
                            </w:r>
                            <w:r>
                              <w:rPr>
                                <w:rFonts w:ascii="Arial;Helvetica;Sans-Serif" w:hAnsi="Arial;Helvetica;Sans-Serif"/>
                                <w:b w:val="false"/>
                                <w:i w:val="false"/>
                                <w:caps w:val="false"/>
                                <w:smallCaps w:val="false"/>
                                <w:color w:val="58595B"/>
                                <w:sz w:val="16"/>
                              </w:rPr>
                              <w:t xml:space="preserve">the value of a performance-based stock option award granted to </w:t>
                            </w:r>
                            <w:r>
                              <w:rPr>
                                <w:rFonts w:ascii="Arial;Helvetica;Sans-Serif" w:hAnsi="Arial;Helvetica;Sans-Serif"/>
                                <w:b w:val="false"/>
                                <w:i w:val="false"/>
                                <w:caps w:val="false"/>
                                <w:smallCaps w:val="false"/>
                                <w:color w:val="58595B"/>
                                <w:spacing w:val="-4"/>
                                <w:sz w:val="16"/>
                              </w:rPr>
                              <w:t xml:space="preserve">Mr. </w:t>
                            </w:r>
                            <w:r>
                              <w:rPr>
                                <w:rFonts w:ascii="Arial;Helvetica;Sans-Serif" w:hAnsi="Arial;Helvetica;Sans-Serif"/>
                                <w:b w:val="false"/>
                                <w:i w:val="false"/>
                                <w:caps w:val="false"/>
                                <w:smallCaps w:val="false"/>
                                <w:color w:val="58595B"/>
                                <w:sz w:val="16"/>
                              </w:rPr>
                              <w:t xml:space="preserve">Clarke during 2021, which award was intended to be the entirety of </w:t>
                            </w:r>
                            <w:r>
                              <w:rPr>
                                <w:rFonts w:ascii="Arial;Helvetica;Sans-Serif" w:hAnsi="Arial;Helvetica;Sans-Serif"/>
                                <w:b w:val="false"/>
                                <w:i w:val="false"/>
                                <w:caps w:val="false"/>
                                <w:smallCaps w:val="false"/>
                                <w:color w:val="58595B"/>
                                <w:spacing w:val="-4"/>
                                <w:sz w:val="16"/>
                              </w:rPr>
                              <w:t xml:space="preserve">Mr. </w:t>
                            </w:r>
                            <w:r>
                              <w:rPr>
                                <w:rFonts w:ascii="Arial;Helvetica;Sans-Serif" w:hAnsi="Arial;Helvetica;Sans-Serif"/>
                                <w:b w:val="false"/>
                                <w:i w:val="false"/>
                                <w:caps w:val="false"/>
                                <w:smallCaps w:val="false"/>
                                <w:color w:val="58595B"/>
                                <w:spacing w:val="-3"/>
                                <w:sz w:val="16"/>
                              </w:rPr>
                              <w:t xml:space="preserve">Clarke’s long-term </w:t>
                            </w:r>
                            <w:r>
                              <w:rPr>
                                <w:rFonts w:ascii="Arial;Helvetica;Sans-Serif" w:hAnsi="Arial;Helvetica;Sans-Serif"/>
                                <w:b w:val="false"/>
                                <w:i w:val="false"/>
                                <w:caps w:val="false"/>
                                <w:smallCaps w:val="false"/>
                                <w:color w:val="58595B"/>
                                <w:sz w:val="16"/>
                              </w:rPr>
                              <w:t xml:space="preserve">equity compensation for the </w:t>
                            </w:r>
                            <w:r>
                              <w:rPr>
                                <w:rFonts w:ascii="Arial;Helvetica;Sans-Serif" w:hAnsi="Arial;Helvetica;Sans-Serif"/>
                                <w:b w:val="false"/>
                                <w:i w:val="false"/>
                                <w:caps w:val="false"/>
                                <w:smallCaps w:val="false"/>
                                <w:color w:val="58595B"/>
                                <w:spacing w:val="-3"/>
                                <w:sz w:val="16"/>
                              </w:rPr>
                              <w:t xml:space="preserve">four-year </w:t>
                            </w:r>
                            <w:r>
                              <w:rPr>
                                <w:rFonts w:ascii="Arial;Helvetica;Sans-Serif" w:hAnsi="Arial;Helvetica;Sans-Serif"/>
                                <w:b w:val="false"/>
                                <w:i w:val="false"/>
                                <w:caps w:val="false"/>
                                <w:smallCaps w:val="false"/>
                                <w:color w:val="58595B"/>
                                <w:sz w:val="16"/>
                              </w:rPr>
                              <w:t xml:space="preserve">period of 2020 through 2023. Second, CAP is heavily influenced by the timing of equity award grants and our stock price performance during the </w:t>
                            </w:r>
                            <w:r>
                              <w:rPr>
                                <w:rFonts w:ascii="Arial;Helvetica;Sans-Serif" w:hAnsi="Arial;Helvetica;Sans-Serif"/>
                                <w:b w:val="false"/>
                                <w:i w:val="false"/>
                                <w:caps w:val="false"/>
                                <w:smallCaps w:val="false"/>
                                <w:color w:val="58595B"/>
                                <w:spacing w:val="-3"/>
                                <w:sz w:val="16"/>
                              </w:rPr>
                              <w:t xml:space="preserve">covered </w:t>
                            </w:r>
                            <w:r>
                              <w:rPr>
                                <w:rFonts w:ascii="Arial;Helvetica;Sans-Serif" w:hAnsi="Arial;Helvetica;Sans-Serif"/>
                                <w:b w:val="false"/>
                                <w:i w:val="false"/>
                                <w:caps w:val="false"/>
                                <w:smallCaps w:val="false"/>
                                <w:color w:val="58595B"/>
                                <w:sz w:val="16"/>
                              </w:rPr>
                              <w:t xml:space="preserve">periods. Our stock price at the particular points in time used to determine the fair value </w:t>
                            </w:r>
                          </w:p>
                          <w:p>
                            <w:pPr>
                              <w:pStyle w:val="TextBody"/>
                              <w:spacing w:before="0" w:after="0"/>
                              <w:rPr/>
                            </w:pP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following charts provide, across the </w:t>
                      </w:r>
                      <w:r>
                        <w:rPr>
                          <w:rFonts w:ascii="Arial;Helvetica;Sans-Serif" w:hAnsi="Arial;Helvetica;Sans-Serif"/>
                          <w:b w:val="false"/>
                          <w:i w:val="false"/>
                          <w:caps w:val="false"/>
                          <w:smallCaps w:val="false"/>
                          <w:color w:val="58595B"/>
                          <w:spacing w:val="-3"/>
                          <w:sz w:val="18"/>
                        </w:rPr>
                        <w:t xml:space="preserve">Covered </w:t>
                      </w:r>
                      <w:r>
                        <w:rPr>
                          <w:rFonts w:ascii="Arial;Helvetica;Sans-Serif" w:hAnsi="Arial;Helvetica;Sans-Serif"/>
                          <w:b w:val="false"/>
                          <w:i w:val="false"/>
                          <w:caps w:val="false"/>
                          <w:smallCaps w:val="false"/>
                          <w:color w:val="58595B"/>
                          <w:spacing w:val="-5"/>
                          <w:sz w:val="18"/>
                        </w:rPr>
                        <w:t xml:space="preserve">Years, </w:t>
                      </w:r>
                      <w:r>
                        <w:rPr>
                          <w:rFonts w:ascii="Arial;Helvetica;Sans-Serif" w:hAnsi="Arial;Helvetica;Sans-Serif"/>
                          <w:b w:val="false"/>
                          <w:i w:val="false"/>
                          <w:caps w:val="false"/>
                          <w:smallCaps w:val="false"/>
                          <w:color w:val="58595B"/>
                          <w:sz w:val="18"/>
                        </w:rPr>
                        <w:t xml:space="preserve">(1) a comparison between our cumulative TSR and the cumulative TSR of the PVP Peer Group, and (2) illustrations of the relationships between (A) the CAP to the PEO and the </w:t>
                      </w:r>
                      <w:r>
                        <w:rPr>
                          <w:rFonts w:ascii="Arial;Helvetica;Sans-Serif" w:hAnsi="Arial;Helvetica;Sans-Serif"/>
                          <w:b w:val="false"/>
                          <w:i w:val="false"/>
                          <w:caps w:val="false"/>
                          <w:smallCaps w:val="false"/>
                          <w:color w:val="58595B"/>
                          <w:spacing w:val="-3"/>
                          <w:sz w:val="18"/>
                        </w:rPr>
                        <w:t>average</w:t>
                      </w:r>
                      <w:r>
                        <w:rPr>
                          <w:rFonts w:ascii="Arial;Helvetica;Sans-Serif" w:hAnsi="Arial;Helvetica;Sans-Serif"/>
                          <w:b w:val="false"/>
                          <w:i w:val="false"/>
                          <w:caps w:val="false"/>
                          <w:smallCaps w:val="false"/>
                          <w:color w:val="58595B"/>
                          <w:sz w:val="18"/>
                        </w:rPr>
                        <w:t xml:space="preserve"> CAP to our non-PEO NEOs (in each case as set forth in the PVP </w:t>
                      </w:r>
                      <w:r>
                        <w:rPr>
                          <w:rFonts w:ascii="Arial;Helvetica;Sans-Serif" w:hAnsi="Arial;Helvetica;Sans-Serif"/>
                          <w:b w:val="false"/>
                          <w:i w:val="false"/>
                          <w:caps w:val="false"/>
                          <w:smallCaps w:val="false"/>
                          <w:color w:val="58595B"/>
                          <w:spacing w:val="-6"/>
                          <w:sz w:val="18"/>
                        </w:rPr>
                        <w:t xml:space="preserve">Table </w:t>
                      </w:r>
                      <w:r>
                        <w:rPr>
                          <w:rFonts w:ascii="Arial;Helvetica;Sans-Serif" w:hAnsi="Arial;Helvetica;Sans-Serif"/>
                          <w:b w:val="false"/>
                          <w:i w:val="false"/>
                          <w:caps w:val="false"/>
                          <w:smallCaps w:val="false"/>
                          <w:color w:val="58595B"/>
                          <w:spacing w:val="-3"/>
                          <w:sz w:val="18"/>
                        </w:rPr>
                        <w:t xml:space="preserve">above) </w:t>
                      </w:r>
                      <w:r>
                        <w:rPr>
                          <w:rFonts w:ascii="Arial;Helvetica;Sans-Serif" w:hAnsi="Arial;Helvetica;Sans-Serif"/>
                          <w:b w:val="false"/>
                          <w:i w:val="false"/>
                          <w:caps w:val="false"/>
                          <w:smallCaps w:val="false"/>
                          <w:color w:val="58595B"/>
                          <w:sz w:val="18"/>
                        </w:rPr>
                        <w:t xml:space="preserve">and (B) each of the performance measures set forth in columns (f), (h) and (i) of the PVP </w:t>
                      </w:r>
                      <w:r>
                        <w:rPr>
                          <w:rFonts w:ascii="Arial;Helvetica;Sans-Serif" w:hAnsi="Arial;Helvetica;Sans-Serif"/>
                          <w:b w:val="false"/>
                          <w:i w:val="false"/>
                          <w:caps w:val="false"/>
                          <w:smallCaps w:val="false"/>
                          <w:color w:val="58595B"/>
                          <w:spacing w:val="-5"/>
                          <w:sz w:val="18"/>
                        </w:rPr>
                        <w:t xml:space="preserve">Table </w:t>
                      </w:r>
                      <w:r>
                        <w:rPr>
                          <w:rFonts w:ascii="Arial;Helvetica;Sans-Serif" w:hAnsi="Arial;Helvetica;Sans-Serif"/>
                          <w:b w:val="false"/>
                          <w:i w:val="false"/>
                          <w:caps w:val="false"/>
                          <w:smallCaps w:val="false"/>
                          <w:color w:val="58595B"/>
                          <w:sz w:val="18"/>
                        </w:rPr>
                        <w:t>above.</w:t>
                      </w:r>
                    </w:p>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color w:val="58595B"/>
                          <w:sz w:val="20"/>
                        </w:rPr>
                      </w:pPr>
                      <w:r>
                        <w:rPr>
                          <w:rFonts w:ascii="Arial;Helvetica;Sans-Serif" w:hAnsi="Arial;Helvetica;Sans-Serif"/>
                          <w:b w:val="false"/>
                          <w:i w:val="false"/>
                          <w:caps w:val="false"/>
                          <w:smallCaps w:val="false"/>
                          <w:color w:val="58595B"/>
                          <w:spacing w:val="-5"/>
                          <w:sz w:val="18"/>
                        </w:rPr>
                        <w:t xml:space="preserve">CAP, </w:t>
                      </w:r>
                      <w:r>
                        <w:rPr>
                          <w:rFonts w:ascii="Arial;Helvetica;Sans-Serif" w:hAnsi="Arial;Helvetica;Sans-Serif"/>
                          <w:b w:val="false"/>
                          <w:i w:val="false"/>
                          <w:caps w:val="false"/>
                          <w:smallCaps w:val="false"/>
                          <w:color w:val="58595B"/>
                          <w:sz w:val="18"/>
                        </w:rPr>
                        <w:t xml:space="preserve">as calculated under SEC rules, </w:t>
                      </w:r>
                      <w:r>
                        <w:rPr>
                          <w:rFonts w:ascii="Arial;Helvetica;Sans-Serif" w:hAnsi="Arial;Helvetica;Sans-Serif"/>
                          <w:b w:val="false"/>
                          <w:i w:val="false"/>
                          <w:caps w:val="false"/>
                          <w:smallCaps w:val="false"/>
                          <w:color w:val="58595B"/>
                          <w:spacing w:val="-3"/>
                          <w:sz w:val="18"/>
                        </w:rPr>
                        <w:t xml:space="preserve">reflects </w:t>
                      </w:r>
                      <w:r>
                        <w:rPr>
                          <w:rFonts w:ascii="Arial;Helvetica;Sans-Serif" w:hAnsi="Arial;Helvetica;Sans-Serif"/>
                          <w:b w:val="false"/>
                          <w:i w:val="false"/>
                          <w:caps w:val="false"/>
                          <w:smallCaps w:val="false"/>
                          <w:color w:val="58595B"/>
                          <w:sz w:val="18"/>
                        </w:rPr>
                        <w:t xml:space="preserve">adjusted values to equity awards during the years shown in the PVP </w:t>
                      </w:r>
                      <w:r>
                        <w:rPr>
                          <w:rFonts w:ascii="Arial;Helvetica;Sans-Serif" w:hAnsi="Arial;Helvetica;Sans-Serif"/>
                          <w:b w:val="false"/>
                          <w:i w:val="false"/>
                          <w:caps w:val="false"/>
                          <w:smallCaps w:val="false"/>
                          <w:color w:val="58595B"/>
                          <w:spacing w:val="-5"/>
                          <w:sz w:val="18"/>
                        </w:rPr>
                        <w:t xml:space="preserve">Table </w:t>
                      </w:r>
                      <w:r>
                        <w:rPr>
                          <w:rFonts w:ascii="Arial;Helvetica;Sans-Serif" w:hAnsi="Arial;Helvetica;Sans-Serif"/>
                          <w:b w:val="false"/>
                          <w:i w:val="false"/>
                          <w:caps w:val="false"/>
                          <w:smallCaps w:val="false"/>
                          <w:color w:val="58595B"/>
                          <w:sz w:val="18"/>
                        </w:rPr>
                        <w:t xml:space="preserve">based on stock prices at various times, certain accounting valuation assumptions, and projected performance modifiers, but does not necessarily </w:t>
                      </w:r>
                      <w:r>
                        <w:rPr>
                          <w:rFonts w:ascii="Arial;Helvetica;Sans-Serif" w:hAnsi="Arial;Helvetica;Sans-Serif"/>
                          <w:b w:val="false"/>
                          <w:i w:val="false"/>
                          <w:caps w:val="false"/>
                          <w:smallCaps w:val="false"/>
                          <w:color w:val="58595B"/>
                          <w:spacing w:val="-3"/>
                          <w:sz w:val="18"/>
                        </w:rPr>
                        <w:t xml:space="preserve">reflect </w:t>
                      </w:r>
                      <w:r>
                        <w:rPr>
                          <w:rFonts w:ascii="Arial;Helvetica;Sans-Serif" w:hAnsi="Arial;Helvetica;Sans-Serif"/>
                          <w:b w:val="false"/>
                          <w:i w:val="false"/>
                          <w:caps w:val="false"/>
                          <w:smallCaps w:val="false"/>
                          <w:color w:val="58595B"/>
                          <w:sz w:val="18"/>
                        </w:rPr>
                        <w:t xml:space="preserve">actual amounts realized under those awards. Although our performance in GAAP net income and Adjusted EPS steadily increased during the 2020-2022 period, the charts below do not show a clear relationship between </w:t>
                      </w:r>
                      <w:r>
                        <w:rPr>
                          <w:rFonts w:ascii="Arial;Helvetica;Sans-Serif" w:hAnsi="Arial;Helvetica;Sans-Serif"/>
                          <w:b w:val="false"/>
                          <w:i w:val="false"/>
                          <w:caps w:val="false"/>
                          <w:smallCaps w:val="false"/>
                          <w:color w:val="58595B"/>
                          <w:sz w:val="16"/>
                        </w:rPr>
                        <w:t xml:space="preserve">CAP and our performance during such period. There are two primary reasons for this disconnect. First, </w:t>
                      </w:r>
                      <w:r>
                        <w:rPr>
                          <w:rFonts w:ascii="Arial;Helvetica;Sans-Serif" w:hAnsi="Arial;Helvetica;Sans-Serif"/>
                          <w:b w:val="false"/>
                          <w:i w:val="false"/>
                          <w:caps w:val="false"/>
                          <w:smallCaps w:val="false"/>
                          <w:color w:val="58595B"/>
                          <w:spacing w:val="-4"/>
                          <w:sz w:val="16"/>
                        </w:rPr>
                        <w:t xml:space="preserve">Mr. </w:t>
                      </w:r>
                      <w:r>
                        <w:rPr>
                          <w:rFonts w:ascii="Arial;Helvetica;Sans-Serif" w:hAnsi="Arial;Helvetica;Sans-Serif"/>
                          <w:b w:val="false"/>
                          <w:i w:val="false"/>
                          <w:caps w:val="false"/>
                          <w:smallCaps w:val="false"/>
                          <w:color w:val="58595B"/>
                          <w:sz w:val="16"/>
                        </w:rPr>
                        <w:t xml:space="preserve">Clarke did not </w:t>
                      </w:r>
                      <w:r>
                        <w:rPr>
                          <w:rFonts w:ascii="Arial;Helvetica;Sans-Serif" w:hAnsi="Arial;Helvetica;Sans-Serif"/>
                          <w:b w:val="false"/>
                          <w:i w:val="false"/>
                          <w:caps w:val="false"/>
                          <w:smallCaps w:val="false"/>
                          <w:color w:val="58595B"/>
                          <w:spacing w:val="-3"/>
                          <w:sz w:val="16"/>
                        </w:rPr>
                        <w:t xml:space="preserve">receive </w:t>
                      </w:r>
                      <w:r>
                        <w:rPr>
                          <w:rFonts w:ascii="Arial;Helvetica;Sans-Serif" w:hAnsi="Arial;Helvetica;Sans-Serif"/>
                          <w:b w:val="false"/>
                          <w:i w:val="false"/>
                          <w:caps w:val="false"/>
                          <w:smallCaps w:val="false"/>
                          <w:color w:val="58595B"/>
                          <w:sz w:val="16"/>
                        </w:rPr>
                        <w:t xml:space="preserve">any equity compensation awards in 2020 or 2022. The significant increase in PEO CAP for 2021 primarily </w:t>
                      </w:r>
                      <w:r>
                        <w:rPr>
                          <w:rFonts w:ascii="Arial;Helvetica;Sans-Serif" w:hAnsi="Arial;Helvetica;Sans-Serif"/>
                          <w:b w:val="false"/>
                          <w:i w:val="false"/>
                          <w:caps w:val="false"/>
                          <w:smallCaps w:val="false"/>
                          <w:color w:val="58595B"/>
                          <w:spacing w:val="-3"/>
                          <w:sz w:val="16"/>
                        </w:rPr>
                        <w:t xml:space="preserve">reflects </w:t>
                      </w:r>
                      <w:r>
                        <w:rPr>
                          <w:rFonts w:ascii="Arial;Helvetica;Sans-Serif" w:hAnsi="Arial;Helvetica;Sans-Serif"/>
                          <w:b w:val="false"/>
                          <w:i w:val="false"/>
                          <w:caps w:val="false"/>
                          <w:smallCaps w:val="false"/>
                          <w:color w:val="58595B"/>
                          <w:sz w:val="16"/>
                        </w:rPr>
                        <w:t xml:space="preserve">the value of a performance-based stock option award granted to </w:t>
                      </w:r>
                      <w:r>
                        <w:rPr>
                          <w:rFonts w:ascii="Arial;Helvetica;Sans-Serif" w:hAnsi="Arial;Helvetica;Sans-Serif"/>
                          <w:b w:val="false"/>
                          <w:i w:val="false"/>
                          <w:caps w:val="false"/>
                          <w:smallCaps w:val="false"/>
                          <w:color w:val="58595B"/>
                          <w:spacing w:val="-4"/>
                          <w:sz w:val="16"/>
                        </w:rPr>
                        <w:t xml:space="preserve">Mr. </w:t>
                      </w:r>
                      <w:r>
                        <w:rPr>
                          <w:rFonts w:ascii="Arial;Helvetica;Sans-Serif" w:hAnsi="Arial;Helvetica;Sans-Serif"/>
                          <w:b w:val="false"/>
                          <w:i w:val="false"/>
                          <w:caps w:val="false"/>
                          <w:smallCaps w:val="false"/>
                          <w:color w:val="58595B"/>
                          <w:sz w:val="16"/>
                        </w:rPr>
                        <w:t xml:space="preserve">Clarke during 2021, which award was intended to be the entirety of </w:t>
                      </w:r>
                      <w:r>
                        <w:rPr>
                          <w:rFonts w:ascii="Arial;Helvetica;Sans-Serif" w:hAnsi="Arial;Helvetica;Sans-Serif"/>
                          <w:b w:val="false"/>
                          <w:i w:val="false"/>
                          <w:caps w:val="false"/>
                          <w:smallCaps w:val="false"/>
                          <w:color w:val="58595B"/>
                          <w:spacing w:val="-4"/>
                          <w:sz w:val="16"/>
                        </w:rPr>
                        <w:t xml:space="preserve">Mr. </w:t>
                      </w:r>
                      <w:r>
                        <w:rPr>
                          <w:rFonts w:ascii="Arial;Helvetica;Sans-Serif" w:hAnsi="Arial;Helvetica;Sans-Serif"/>
                          <w:b w:val="false"/>
                          <w:i w:val="false"/>
                          <w:caps w:val="false"/>
                          <w:smallCaps w:val="false"/>
                          <w:color w:val="58595B"/>
                          <w:spacing w:val="-3"/>
                          <w:sz w:val="16"/>
                        </w:rPr>
                        <w:t xml:space="preserve">Clarke’s long-term </w:t>
                      </w:r>
                      <w:r>
                        <w:rPr>
                          <w:rFonts w:ascii="Arial;Helvetica;Sans-Serif" w:hAnsi="Arial;Helvetica;Sans-Serif"/>
                          <w:b w:val="false"/>
                          <w:i w:val="false"/>
                          <w:caps w:val="false"/>
                          <w:smallCaps w:val="false"/>
                          <w:color w:val="58595B"/>
                          <w:sz w:val="16"/>
                        </w:rPr>
                        <w:t xml:space="preserve">equity compensation for the </w:t>
                      </w:r>
                      <w:r>
                        <w:rPr>
                          <w:rFonts w:ascii="Arial;Helvetica;Sans-Serif" w:hAnsi="Arial;Helvetica;Sans-Serif"/>
                          <w:b w:val="false"/>
                          <w:i w:val="false"/>
                          <w:caps w:val="false"/>
                          <w:smallCaps w:val="false"/>
                          <w:color w:val="58595B"/>
                          <w:spacing w:val="-3"/>
                          <w:sz w:val="16"/>
                        </w:rPr>
                        <w:t xml:space="preserve">four-year </w:t>
                      </w:r>
                      <w:r>
                        <w:rPr>
                          <w:rFonts w:ascii="Arial;Helvetica;Sans-Serif" w:hAnsi="Arial;Helvetica;Sans-Serif"/>
                          <w:b w:val="false"/>
                          <w:i w:val="false"/>
                          <w:caps w:val="false"/>
                          <w:smallCaps w:val="false"/>
                          <w:color w:val="58595B"/>
                          <w:sz w:val="16"/>
                        </w:rPr>
                        <w:t xml:space="preserve">period of 2020 through 2023. Second, CAP is heavily influenced by the timing of equity award grants and our stock price performance during the </w:t>
                      </w:r>
                      <w:r>
                        <w:rPr>
                          <w:rFonts w:ascii="Arial;Helvetica;Sans-Serif" w:hAnsi="Arial;Helvetica;Sans-Serif"/>
                          <w:b w:val="false"/>
                          <w:i w:val="false"/>
                          <w:caps w:val="false"/>
                          <w:smallCaps w:val="false"/>
                          <w:color w:val="58595B"/>
                          <w:spacing w:val="-3"/>
                          <w:sz w:val="16"/>
                        </w:rPr>
                        <w:t xml:space="preserve">covered </w:t>
                      </w:r>
                      <w:r>
                        <w:rPr>
                          <w:rFonts w:ascii="Arial;Helvetica;Sans-Serif" w:hAnsi="Arial;Helvetica;Sans-Serif"/>
                          <w:b w:val="false"/>
                          <w:i w:val="false"/>
                          <w:caps w:val="false"/>
                          <w:smallCaps w:val="false"/>
                          <w:color w:val="58595B"/>
                          <w:sz w:val="16"/>
                        </w:rPr>
                        <w:t xml:space="preserve">periods. Our stock price at the particular points in time used to determine the fair value </w:t>
                      </w:r>
                    </w:p>
                    <w:p>
                      <w:pPr>
                        <w:pStyle w:val="TextBody"/>
                        <w:spacing w:before="0" w:after="0"/>
                        <w:rPr/>
                      </w:pPr>
                      <w:r>
                        <w:rPr/>
                        <w:t>   </w:t>
                      </w:r>
                    </w:p>
                  </w:txbxContent>
                </v:textbox>
                <w10:wrap type="square" side="right"/>
              </v:rect>
            </w:pict>
          </mc:Fallback>
        </mc:AlternateContent>
      </w:r>
    </w:p>
    <w:p>
      <w:pPr>
        <w:pStyle w:val="TextBody"/>
        <w:rPr/>
      </w:pPr>
      <w:r>
        <w:rPr/>
      </w:r>
    </w:p>
    <w:p>
      <w:pPr>
        <w:pStyle w:val="TextBody"/>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olumn">
                  <wp:align>right</wp:align>
                </wp:positionH>
                <wp:positionV relativeFrom="line">
                  <wp:posOffset>635</wp:posOffset>
                </wp:positionV>
                <wp:extent cx="3110230" cy="2834005"/>
                <wp:effectExtent l="0" t="0" r="0" b="0"/>
                <wp:wrapSquare wrapText="largest"/>
                <wp:docPr id="447" name="Frame77"/>
                <a:graphic xmlns:a="http://schemas.openxmlformats.org/drawingml/2006/main">
                  <a:graphicData uri="http://schemas.microsoft.com/office/word/2010/wordprocessingShape">
                    <wps:wsp>
                      <wps:cNvSpPr txBox="1"/>
                      <wps:spPr>
                        <a:xfrm>
                          <a:off x="0" y="0"/>
                          <a:ext cx="3110230" cy="2834005"/>
                        </a:xfrm>
                        <a:prstGeom prst="rect"/>
                      </wps:spPr>
                      <wps:txbx>
                        <w:txbxContent>
                          <w:p>
                            <w:pPr>
                              <w:pStyle w:val="TextBody"/>
                              <w:rPr>
                                <w:rFonts w:ascii="Arial;Helvetica;Sans-Serif" w:hAnsi="Arial;Helvetica;Sans-Serif"/>
                                <w:b/>
                                <w:i w:val="false"/>
                                <w:caps w:val="false"/>
                                <w:smallCaps w:val="false"/>
                                <w:color w:val="000000"/>
                                <w:sz w:val="18"/>
                              </w:rPr>
                            </w:pPr>
                            <w:bookmarkStart w:id="143" w:name="a085"/>
                            <w:bookmarkEnd w:id="143"/>
                            <w:r>
                              <w:rPr>
                                <w:rFonts w:ascii="Arial;Helvetica;Sans-Serif" w:hAnsi="Arial;Helvetica;Sans-Serif"/>
                                <w:b/>
                                <w:i w:val="false"/>
                                <w:caps w:val="false"/>
                                <w:smallCaps w:val="false"/>
                                <w:color w:val="000000"/>
                                <w:sz w:val="18"/>
                              </w:rPr>
                              <w:t>Adjusted EPS vs. Compensation Actually Paid</w:t>
                            </w:r>
                          </w:p>
                          <w:p>
                            <w:pPr>
                              <w:pStyle w:val="TextBody"/>
                              <w:spacing w:before="0" w:after="0"/>
                              <w:rPr/>
                            </w:pPr>
                            <w:r>
                              <w:rPr/>
                              <w:t> </w:t>
                            </w:r>
                          </w:p>
                          <w:p>
                            <w:pPr>
                              <w:pStyle w:val="TextBody"/>
                              <w:spacing w:before="0" w:after="0"/>
                              <w:rPr/>
                            </w:pPr>
                            <w:r>
                              <w:rPr/>
                              <w:drawing>
                                <wp:inline distT="0" distB="0" distL="0" distR="0">
                                  <wp:extent cx="3333750" cy="2314575"/>
                                  <wp:effectExtent l="0" t="0" r="0" b="0"/>
                                  <wp:docPr id="448"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 name="Image219" descr=""/>
                                          <pic:cNvPicPr>
                                            <a:picLocks noChangeAspect="1" noChangeArrowheads="1"/>
                                          </pic:cNvPicPr>
                                        </pic:nvPicPr>
                                        <pic:blipFill>
                                          <a:blip r:embed="rId219"/>
                                          <a:stretch>
                                            <a:fillRect/>
                                          </a:stretch>
                                        </pic:blipFill>
                                        <pic:spPr bwMode="auto">
                                          <a:xfrm>
                                            <a:off x="0" y="0"/>
                                            <a:ext cx="3333750" cy="2314575"/>
                                          </a:xfrm>
                                          <a:prstGeom prst="rect">
                                            <a:avLst/>
                                          </a:prstGeom>
                                        </pic:spPr>
                                      </pic:pic>
                                    </a:graphicData>
                                  </a:graphic>
                                </wp:inline>
                              </w:drawing>
                            </w:r>
                            <w:r>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3.1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i w:val="false"/>
                          <w:caps w:val="false"/>
                          <w:smallCaps w:val="false"/>
                          <w:color w:val="000000"/>
                          <w:sz w:val="18"/>
                        </w:rPr>
                      </w:pPr>
                      <w:bookmarkStart w:id="144" w:name="a085"/>
                      <w:bookmarkEnd w:id="144"/>
                      <w:r>
                        <w:rPr>
                          <w:rFonts w:ascii="Arial;Helvetica;Sans-Serif" w:hAnsi="Arial;Helvetica;Sans-Serif"/>
                          <w:b/>
                          <w:i w:val="false"/>
                          <w:caps w:val="false"/>
                          <w:smallCaps w:val="false"/>
                          <w:color w:val="000000"/>
                          <w:sz w:val="18"/>
                        </w:rPr>
                        <w:t>Adjusted EPS vs. Compensation Actually Paid</w:t>
                      </w:r>
                    </w:p>
                    <w:p>
                      <w:pPr>
                        <w:pStyle w:val="TextBody"/>
                        <w:spacing w:before="0" w:after="0"/>
                        <w:rPr/>
                      </w:pPr>
                      <w:r>
                        <w:rPr/>
                        <w:t> </w:t>
                      </w:r>
                    </w:p>
                    <w:p>
                      <w:pPr>
                        <w:pStyle w:val="TextBody"/>
                        <w:spacing w:before="0" w:after="0"/>
                        <w:rPr/>
                      </w:pPr>
                      <w:r>
                        <w:rPr/>
                        <w:drawing>
                          <wp:inline distT="0" distB="0" distL="0" distR="0">
                            <wp:extent cx="3333750" cy="2314575"/>
                            <wp:effectExtent l="0" t="0" r="0" b="0"/>
                            <wp:docPr id="449" name="Image2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Image219" descr=""/>
                                    <pic:cNvPicPr>
                                      <a:picLocks noChangeAspect="1" noChangeArrowheads="1"/>
                                    </pic:cNvPicPr>
                                  </pic:nvPicPr>
                                  <pic:blipFill>
                                    <a:blip r:embed="rId219"/>
                                    <a:stretch>
                                      <a:fillRect/>
                                    </a:stretch>
                                  </pic:blipFill>
                                  <pic:spPr bwMode="auto">
                                    <a:xfrm>
                                      <a:off x="0" y="0"/>
                                      <a:ext cx="3333750" cy="2314575"/>
                                    </a:xfrm>
                                    <a:prstGeom prst="rect">
                                      <a:avLst/>
                                    </a:prstGeom>
                                  </pic:spPr>
                                </pic:pic>
                              </a:graphicData>
                            </a:graphic>
                          </wp:inline>
                        </w:drawing>
                      </w:r>
                      <w:r>
                        <w:rPr/>
                        <w:t> </w:t>
                      </w:r>
                    </w:p>
                  </w:txbxContent>
                </v:textbox>
                <w10:wrap type="square" side="left"/>
              </v:rect>
            </w:pict>
          </mc:Fallback>
        </mc:AlternateContent>
      </w:r>
      <w:r>
        <mc:AlternateContent>
          <mc:Choice Requires="wps">
            <w:drawing>
              <wp:anchor behindDoc="0" distT="0" distB="0" distL="0" distR="0" simplePos="0" locked="0" layoutInCell="1" allowOverlap="1" relativeHeight="103">
                <wp:simplePos x="0" y="0"/>
                <wp:positionH relativeFrom="column">
                  <wp:align>left</wp:align>
                </wp:positionH>
                <wp:positionV relativeFrom="line">
                  <wp:posOffset>635</wp:posOffset>
                </wp:positionV>
                <wp:extent cx="3110230" cy="3311525"/>
                <wp:effectExtent l="0" t="0" r="0" b="0"/>
                <wp:wrapSquare wrapText="largest"/>
                <wp:docPr id="450" name="Frame76"/>
                <a:graphic xmlns:a="http://schemas.openxmlformats.org/drawingml/2006/main">
                  <a:graphicData uri="http://schemas.microsoft.com/office/word/2010/wordprocessingShape">
                    <wps:wsp>
                      <wps:cNvSpPr txBox="1"/>
                      <wps:spPr>
                        <a:xfrm>
                          <a:off x="0" y="0"/>
                          <a:ext cx="3110230" cy="3311525"/>
                        </a:xfrm>
                        <a:prstGeom prst="rect"/>
                      </wps:spPr>
                      <wps:txbx>
                        <w:txbxContent>
                          <w:p>
                            <w:pPr>
                              <w:pStyle w:val="TextBody"/>
                              <w:rPr>
                                <w:rFonts w:ascii="Arial;Helvetica;Sans-Serif" w:hAnsi="Arial;Helvetica;Sans-Serif"/>
                                <w:b/>
                                <w:i w:val="false"/>
                                <w:caps w:val="false"/>
                                <w:smallCaps w:val="false"/>
                                <w:color w:val="000000"/>
                                <w:sz w:val="18"/>
                              </w:rPr>
                            </w:pPr>
                            <w:bookmarkStart w:id="145" w:name="a083"/>
                            <w:bookmarkEnd w:id="145"/>
                            <w:r>
                              <w:rPr>
                                <w:rFonts w:ascii="Arial;Helvetica;Sans-Serif" w:hAnsi="Arial;Helvetica;Sans-Serif"/>
                                <w:b/>
                                <w:i w:val="false"/>
                                <w:caps w:val="false"/>
                                <w:smallCaps w:val="false"/>
                                <w:color w:val="000000"/>
                                <w:sz w:val="18"/>
                              </w:rPr>
                              <w:t>TSR and Peer TSR vs. Compensation Actually Paid</w:t>
                            </w:r>
                          </w:p>
                          <w:p>
                            <w:pPr>
                              <w:pStyle w:val="TextBody"/>
                              <w:rPr>
                                <w:caps w:val="false"/>
                                <w:smallCaps w:val="false"/>
                                <w:color w:val="58595B"/>
                              </w:rPr>
                            </w:pPr>
                            <w:r>
                              <w:rPr>
                                <w:caps w:val="false"/>
                                <w:smallCaps w:val="false"/>
                                <w:color w:val="58595B"/>
                              </w:rPr>
                              <w:t> </w:t>
                            </w:r>
                          </w:p>
                          <w:p>
                            <w:pPr>
                              <w:pStyle w:val="TextBody"/>
                              <w:rPr>
                                <w:caps w:val="false"/>
                                <w:smallCaps w:val="false"/>
                                <w:color w:val="58595B"/>
                              </w:rPr>
                            </w:pPr>
                            <w:r>
                              <w:rPr>
                                <w:caps w:val="false"/>
                                <w:smallCaps w:val="false"/>
                                <w:color w:val="58595B"/>
                              </w:rPr>
                              <w:drawing>
                                <wp:inline distT="0" distB="0" distL="0" distR="0">
                                  <wp:extent cx="3333750" cy="2257425"/>
                                  <wp:effectExtent l="0" t="0" r="0" b="0"/>
                                  <wp:docPr id="451"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1" name="Image218" descr=""/>
                                          <pic:cNvPicPr>
                                            <a:picLocks noChangeAspect="1" noChangeArrowheads="1"/>
                                          </pic:cNvPicPr>
                                        </pic:nvPicPr>
                                        <pic:blipFill>
                                          <a:blip r:embed="rId220"/>
                                          <a:stretch>
                                            <a:fillRect/>
                                          </a:stretch>
                                        </pic:blipFill>
                                        <pic:spPr bwMode="auto">
                                          <a:xfrm>
                                            <a:off x="0" y="0"/>
                                            <a:ext cx="3333750" cy="2257425"/>
                                          </a:xfrm>
                                          <a:prstGeom prst="rect">
                                            <a:avLst/>
                                          </a:prstGeom>
                                        </pic:spPr>
                                      </pic:pic>
                                    </a:graphicData>
                                  </a:graphic>
                                </wp:inline>
                              </w:drawing>
                            </w:r>
                            <w:r>
                              <w:rPr>
                                <w:caps w:val="false"/>
                                <w:smallCaps w:val="false"/>
                                <w:color w:val="58595B"/>
                              </w:rPr>
                              <w:t> </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60.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i w:val="false"/>
                          <w:caps w:val="false"/>
                          <w:smallCaps w:val="false"/>
                          <w:color w:val="000000"/>
                          <w:sz w:val="18"/>
                        </w:rPr>
                      </w:pPr>
                      <w:bookmarkStart w:id="146" w:name="a083"/>
                      <w:bookmarkEnd w:id="146"/>
                      <w:r>
                        <w:rPr>
                          <w:rFonts w:ascii="Arial;Helvetica;Sans-Serif" w:hAnsi="Arial;Helvetica;Sans-Serif"/>
                          <w:b/>
                          <w:i w:val="false"/>
                          <w:caps w:val="false"/>
                          <w:smallCaps w:val="false"/>
                          <w:color w:val="000000"/>
                          <w:sz w:val="18"/>
                        </w:rPr>
                        <w:t>TSR and Peer TSR vs. Compensation Actually Paid</w:t>
                      </w:r>
                    </w:p>
                    <w:p>
                      <w:pPr>
                        <w:pStyle w:val="TextBody"/>
                        <w:rPr>
                          <w:caps w:val="false"/>
                          <w:smallCaps w:val="false"/>
                          <w:color w:val="58595B"/>
                        </w:rPr>
                      </w:pPr>
                      <w:r>
                        <w:rPr>
                          <w:caps w:val="false"/>
                          <w:smallCaps w:val="false"/>
                          <w:color w:val="58595B"/>
                        </w:rPr>
                        <w:t> </w:t>
                      </w:r>
                    </w:p>
                    <w:p>
                      <w:pPr>
                        <w:pStyle w:val="TextBody"/>
                        <w:rPr>
                          <w:caps w:val="false"/>
                          <w:smallCaps w:val="false"/>
                          <w:color w:val="58595B"/>
                        </w:rPr>
                      </w:pPr>
                      <w:r>
                        <w:rPr>
                          <w:caps w:val="false"/>
                          <w:smallCaps w:val="false"/>
                          <w:color w:val="58595B"/>
                        </w:rPr>
                        <w:drawing>
                          <wp:inline distT="0" distB="0" distL="0" distR="0">
                            <wp:extent cx="3333750" cy="2257425"/>
                            <wp:effectExtent l="0" t="0" r="0" b="0"/>
                            <wp:docPr id="452" name="Image2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 name="Image218" descr=""/>
                                    <pic:cNvPicPr>
                                      <a:picLocks noChangeAspect="1" noChangeArrowheads="1"/>
                                    </pic:cNvPicPr>
                                  </pic:nvPicPr>
                                  <pic:blipFill>
                                    <a:blip r:embed="rId220"/>
                                    <a:stretch>
                                      <a:fillRect/>
                                    </a:stretch>
                                  </pic:blipFill>
                                  <pic:spPr bwMode="auto">
                                    <a:xfrm>
                                      <a:off x="0" y="0"/>
                                      <a:ext cx="3333750" cy="2257425"/>
                                    </a:xfrm>
                                    <a:prstGeom prst="rect">
                                      <a:avLst/>
                                    </a:prstGeom>
                                  </pic:spPr>
                                </pic:pic>
                              </a:graphicData>
                            </a:graphic>
                          </wp:inline>
                        </w:drawing>
                      </w:r>
                      <w:r>
                        <w:rPr>
                          <w:caps w:val="false"/>
                          <w:smallCaps w:val="false"/>
                          <w:color w:val="58595B"/>
                        </w:rPr>
                        <w:t> </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p>
    <w:p>
      <w:pPr>
        <w:pStyle w:val="TextBody"/>
        <w:rPr/>
      </w:pPr>
      <w:r>
        <w:rPr/>
      </w:r>
    </w:p>
    <w:p>
      <w:pPr>
        <w:pStyle w:val="TextBody"/>
        <w:spacing w:before="0" w:after="0"/>
        <w:rPr>
          <w:caps w:val="false"/>
          <w:smallCaps w:val="false"/>
        </w:rPr>
      </w:pPr>
      <w:r>
        <w:rPr>
          <w:caps w:val="false"/>
          <w:smallCaps w:val="false"/>
        </w:rPr>
        <w:t> </w:t>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56</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spacing w:before="0" w:after="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11. </w:t>
      </w:r>
      <w:r>
        <w:rPr>
          <w:rFonts w:ascii="Arial;Helvetica;Sans-Serif" w:hAnsi="Arial;Helvetica;Sans-Serif"/>
          <w:b w:val="false"/>
          <w:i w:val="false"/>
          <w:caps w:val="false"/>
          <w:smallCaps w:val="false"/>
          <w:color w:val="EE0027"/>
          <w:sz w:val="20"/>
        </w:rPr>
        <w:t>PAY VERSUS PERFORMANCE DISCLOSURE</w:t>
      </w:r>
    </w:p>
    <w:p>
      <w:pPr>
        <w:pStyle w:val="TextBody"/>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83">
                <wp:simplePos x="0" y="0"/>
                <wp:positionH relativeFrom="column">
                  <wp:align>right</wp:align>
                </wp:positionH>
                <wp:positionV relativeFrom="line">
                  <wp:posOffset>635</wp:posOffset>
                </wp:positionV>
                <wp:extent cx="3110230" cy="7059930"/>
                <wp:effectExtent l="0" t="0" r="0" b="0"/>
                <wp:wrapSquare wrapText="largest"/>
                <wp:docPr id="453" name="Frame79"/>
                <a:graphic xmlns:a="http://schemas.openxmlformats.org/drawingml/2006/main">
                  <a:graphicData uri="http://schemas.microsoft.com/office/word/2010/wordprocessingShape">
                    <wps:wsp>
                      <wps:cNvSpPr txBox="1"/>
                      <wps:spPr>
                        <a:xfrm>
                          <a:off x="0" y="0"/>
                          <a:ext cx="3110230" cy="7059930"/>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and from our records. Based on information available to us during fiscal year 2022, and representations made to us by the reporting persons, we believe that all reports were made in a timely manner other than one report relating to three total transactions for Mr. Coughlin, one report relating to two total transactions for Mr. Clarke, two reports relating to four total transactions for Mr. Freund, two reports relating to four total transactions for Mr. Gavrilenya, two reports relating to four total transactions for Mr. King, one report relating to two total transactions for Mr. Netto, and three reports relating to five total transactions for Ms. Vickery, all of which were filed late due to administrative error.</w:t>
                            </w:r>
                          </w:p>
                          <w:p>
                            <w:pPr>
                              <w:pStyle w:val="TextBody"/>
                              <w:rPr>
                                <w:caps w:val="false"/>
                                <w:smallCaps w:val="false"/>
                                <w:color w:val="58595B"/>
                              </w:rPr>
                            </w:pPr>
                            <w:r>
                              <w:rPr>
                                <w:caps w:val="false"/>
                                <w:smallCaps w:val="false"/>
                                <w:color w:val="58595B"/>
                              </w:rPr>
                              <w:t> </w:t>
                            </w:r>
                          </w:p>
                          <w:p>
                            <w:pPr>
                              <w:pStyle w:val="TextBody"/>
                              <w:spacing w:before="0" w:after="0"/>
                              <w:rPr>
                                <w:rFonts w:ascii="Times New Roman;Times;Serif" w:hAnsi="Times New Roman;Times;Serif"/>
                                <w:b w:val="false"/>
                                <w:i w:val="false"/>
                                <w:caps w:val="false"/>
                                <w:smallCaps w:val="false"/>
                                <w:sz w:val="20"/>
                              </w:rPr>
                            </w:pPr>
                            <w:bookmarkStart w:id="147" w:name="a088"/>
                            <w:bookmarkEnd w:id="147"/>
                            <w:r>
                              <w:rPr>
                                <w:rFonts w:ascii="Arial;Helvetica;Sans-Serif" w:hAnsi="Arial;Helvetica;Sans-Serif"/>
                                <w:b/>
                                <w:i w:val="false"/>
                                <w:caps w:val="false"/>
                                <w:smallCaps w:val="false"/>
                                <w:color w:val="231F20"/>
                                <w:sz w:val="20"/>
                              </w:rPr>
                              <w:t xml:space="preserve">14. </w:t>
                            </w:r>
                            <w:r>
                              <w:rPr>
                                <w:rFonts w:ascii="Arial;Helvetica;Sans-Serif" w:hAnsi="Arial;Helvetica;Sans-Serif"/>
                                <w:b w:val="false"/>
                                <w:i w:val="false"/>
                                <w:caps w:val="false"/>
                                <w:smallCaps w:val="false"/>
                                <w:color w:val="EE0027"/>
                                <w:spacing w:val="2"/>
                                <w:sz w:val="20"/>
                              </w:rPr>
                              <w:t xml:space="preserve">FIVE </w:t>
                            </w:r>
                            <w:r>
                              <w:rPr>
                                <w:rFonts w:ascii="Arial;Helvetica;Sans-Serif" w:hAnsi="Arial;Helvetica;Sans-Serif"/>
                                <w:b w:val="false"/>
                                <w:i w:val="false"/>
                                <w:caps w:val="false"/>
                                <w:smallCaps w:val="false"/>
                                <w:color w:val="EE0027"/>
                                <w:spacing w:val="3"/>
                                <w:sz w:val="20"/>
                              </w:rPr>
                              <w:t xml:space="preserve">YEAR STOCK </w:t>
                            </w:r>
                            <w:r>
                              <w:rPr>
                                <w:rFonts w:ascii="Arial;Helvetica;Sans-Serif" w:hAnsi="Arial;Helvetica;Sans-Serif"/>
                                <w:b w:val="false"/>
                                <w:i w:val="false"/>
                                <w:caps w:val="false"/>
                                <w:smallCaps w:val="false"/>
                                <w:color w:val="EE0027"/>
                                <w:spacing w:val="4"/>
                                <w:sz w:val="20"/>
                              </w:rPr>
                              <w:t xml:space="preserve">PERFORMANCE </w:t>
                            </w:r>
                            <w:r>
                              <w:rPr>
                                <w:rFonts w:ascii="Arial;Helvetica;Sans-Serif" w:hAnsi="Arial;Helvetica;Sans-Serif"/>
                                <w:b w:val="false"/>
                                <w:i w:val="false"/>
                                <w:caps w:val="false"/>
                                <w:smallCaps w:val="false"/>
                                <w:color w:val="EE0027"/>
                                <w:spacing w:val="3"/>
                                <w:sz w:val="20"/>
                              </w:rPr>
                              <w:t>GRAPH</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graph assumes $100 invested on December 29, 2017, at the closing per share price of our common shares on that day ($192.43) through December 31, 2022, and compares (a) the percentage change of our cumulative total shareholder return on the common shares (as measured by dividing (1) the difference between our share price at the end and the beginning of the period presented by (2) the share price at the beginning of the periods presented) with (b) (1) the S&amp;P 500® Data Processing &amp; Outsourced Services index and (2) the S&amp;P 500®.</w:t>
                            </w:r>
                          </w:p>
                          <w:p>
                            <w:pPr>
                              <w:pStyle w:val="TextBody"/>
                              <w:rPr>
                                <w:caps w:val="false"/>
                                <w:smallCaps w:val="false"/>
                                <w:color w:val="58595B"/>
                              </w:rPr>
                            </w:pPr>
                            <w:r>
                              <w:rPr>
                                <w:caps w:val="false"/>
                                <w:smallCaps w:val="false"/>
                                <w:color w:val="58595B"/>
                              </w:rPr>
                              <w:t> </w:t>
                            </w:r>
                          </w:p>
                          <w:p>
                            <w:pPr>
                              <w:pStyle w:val="TextBody"/>
                              <w:rPr>
                                <w:caps w:val="false"/>
                                <w:smallCaps w:val="false"/>
                                <w:color w:val="58595B"/>
                              </w:rPr>
                            </w:pPr>
                            <w:r>
                              <w:rPr>
                                <w:caps w:val="false"/>
                                <w:smallCaps w:val="false"/>
                                <w:color w:val="58595B"/>
                              </w:rPr>
                              <w:drawing>
                                <wp:inline distT="0" distB="0" distL="0" distR="0">
                                  <wp:extent cx="3619500" cy="2209800"/>
                                  <wp:effectExtent l="0" t="0" r="0" b="0"/>
                                  <wp:docPr id="454"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Image220" descr=""/>
                                          <pic:cNvPicPr>
                                            <a:picLocks noChangeAspect="1" noChangeArrowheads="1"/>
                                          </pic:cNvPicPr>
                                        </pic:nvPicPr>
                                        <pic:blipFill>
                                          <a:blip r:embed="rId221"/>
                                          <a:stretch>
                                            <a:fillRect/>
                                          </a:stretch>
                                        </pic:blipFill>
                                        <pic:spPr bwMode="auto">
                                          <a:xfrm>
                                            <a:off x="0" y="0"/>
                                            <a:ext cx="3619500" cy="2209800"/>
                                          </a:xfrm>
                                          <a:prstGeom prst="rect">
                                            <a:avLst/>
                                          </a:prstGeom>
                                        </pic:spPr>
                                      </pic:pic>
                                    </a:graphicData>
                                  </a:graphic>
                                </wp:inline>
                              </w:drawing>
                            </w:r>
                            <w:r>
                              <w:rPr>
                                <w:caps w:val="false"/>
                                <w:smallCaps w:val="false"/>
                                <w:color w:val="58595B"/>
                              </w:rPr>
                              <w:t> </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5.9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and from our records. Based on information available to us during fiscal year 2022, and representations made to us by the reporting persons, we believe that all reports were made in a timely manner other than one report relating to three total transactions for Mr. Coughlin, one report relating to two total transactions for Mr. Clarke, two reports relating to four total transactions for Mr. Freund, two reports relating to four total transactions for Mr. Gavrilenya, two reports relating to four total transactions for Mr. King, one report relating to two total transactions for Mr. Netto, and three reports relating to five total transactions for Ms. Vickery, all of which were filed late due to administrative error.</w:t>
                      </w:r>
                    </w:p>
                    <w:p>
                      <w:pPr>
                        <w:pStyle w:val="TextBody"/>
                        <w:rPr>
                          <w:caps w:val="false"/>
                          <w:smallCaps w:val="false"/>
                          <w:color w:val="58595B"/>
                        </w:rPr>
                      </w:pPr>
                      <w:r>
                        <w:rPr>
                          <w:caps w:val="false"/>
                          <w:smallCaps w:val="false"/>
                          <w:color w:val="58595B"/>
                        </w:rPr>
                        <w:t> </w:t>
                      </w:r>
                    </w:p>
                    <w:p>
                      <w:pPr>
                        <w:pStyle w:val="TextBody"/>
                        <w:spacing w:before="0" w:after="0"/>
                        <w:rPr>
                          <w:rFonts w:ascii="Times New Roman;Times;Serif" w:hAnsi="Times New Roman;Times;Serif"/>
                          <w:b w:val="false"/>
                          <w:i w:val="false"/>
                          <w:caps w:val="false"/>
                          <w:smallCaps w:val="false"/>
                          <w:sz w:val="20"/>
                        </w:rPr>
                      </w:pPr>
                      <w:bookmarkStart w:id="148" w:name="a088"/>
                      <w:bookmarkEnd w:id="148"/>
                      <w:r>
                        <w:rPr>
                          <w:rFonts w:ascii="Arial;Helvetica;Sans-Serif" w:hAnsi="Arial;Helvetica;Sans-Serif"/>
                          <w:b/>
                          <w:i w:val="false"/>
                          <w:caps w:val="false"/>
                          <w:smallCaps w:val="false"/>
                          <w:color w:val="231F20"/>
                          <w:sz w:val="20"/>
                        </w:rPr>
                        <w:t xml:space="preserve">14. </w:t>
                      </w:r>
                      <w:r>
                        <w:rPr>
                          <w:rFonts w:ascii="Arial;Helvetica;Sans-Serif" w:hAnsi="Arial;Helvetica;Sans-Serif"/>
                          <w:b w:val="false"/>
                          <w:i w:val="false"/>
                          <w:caps w:val="false"/>
                          <w:smallCaps w:val="false"/>
                          <w:color w:val="EE0027"/>
                          <w:spacing w:val="2"/>
                          <w:sz w:val="20"/>
                        </w:rPr>
                        <w:t xml:space="preserve">FIVE </w:t>
                      </w:r>
                      <w:r>
                        <w:rPr>
                          <w:rFonts w:ascii="Arial;Helvetica;Sans-Serif" w:hAnsi="Arial;Helvetica;Sans-Serif"/>
                          <w:b w:val="false"/>
                          <w:i w:val="false"/>
                          <w:caps w:val="false"/>
                          <w:smallCaps w:val="false"/>
                          <w:color w:val="EE0027"/>
                          <w:spacing w:val="3"/>
                          <w:sz w:val="20"/>
                        </w:rPr>
                        <w:t xml:space="preserve">YEAR STOCK </w:t>
                      </w:r>
                      <w:r>
                        <w:rPr>
                          <w:rFonts w:ascii="Arial;Helvetica;Sans-Serif" w:hAnsi="Arial;Helvetica;Sans-Serif"/>
                          <w:b w:val="false"/>
                          <w:i w:val="false"/>
                          <w:caps w:val="false"/>
                          <w:smallCaps w:val="false"/>
                          <w:color w:val="EE0027"/>
                          <w:spacing w:val="4"/>
                          <w:sz w:val="20"/>
                        </w:rPr>
                        <w:t xml:space="preserve">PERFORMANCE </w:t>
                      </w:r>
                      <w:r>
                        <w:rPr>
                          <w:rFonts w:ascii="Arial;Helvetica;Sans-Serif" w:hAnsi="Arial;Helvetica;Sans-Serif"/>
                          <w:b w:val="false"/>
                          <w:i w:val="false"/>
                          <w:caps w:val="false"/>
                          <w:smallCaps w:val="false"/>
                          <w:color w:val="EE0027"/>
                          <w:spacing w:val="3"/>
                          <w:sz w:val="20"/>
                        </w:rPr>
                        <w:t>GRAPH</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graph assumes $100 invested on December 29, 2017, at the closing per share price of our common shares on that day ($192.43) through December 31, 2022, and compares (a) the percentage change of our cumulative total shareholder return on the common shares (as measured by dividing (1) the difference between our share price at the end and the beginning of the period presented by (2) the share price at the beginning of the periods presented) with (b) (1) the S&amp;P 500® Data Processing &amp; Outsourced Services index and (2) the S&amp;P 500®.</w:t>
                      </w:r>
                    </w:p>
                    <w:p>
                      <w:pPr>
                        <w:pStyle w:val="TextBody"/>
                        <w:rPr>
                          <w:caps w:val="false"/>
                          <w:smallCaps w:val="false"/>
                          <w:color w:val="58595B"/>
                        </w:rPr>
                      </w:pPr>
                      <w:r>
                        <w:rPr>
                          <w:caps w:val="false"/>
                          <w:smallCaps w:val="false"/>
                          <w:color w:val="58595B"/>
                        </w:rPr>
                        <w:t> </w:t>
                      </w:r>
                    </w:p>
                    <w:p>
                      <w:pPr>
                        <w:pStyle w:val="TextBody"/>
                        <w:rPr>
                          <w:caps w:val="false"/>
                          <w:smallCaps w:val="false"/>
                          <w:color w:val="58595B"/>
                        </w:rPr>
                      </w:pPr>
                      <w:r>
                        <w:rPr>
                          <w:caps w:val="false"/>
                          <w:smallCaps w:val="false"/>
                          <w:color w:val="58595B"/>
                        </w:rPr>
                        <w:drawing>
                          <wp:inline distT="0" distB="0" distL="0" distR="0">
                            <wp:extent cx="3619500" cy="2209800"/>
                            <wp:effectExtent l="0" t="0" r="0" b="0"/>
                            <wp:docPr id="455" name="Image2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Image220" descr=""/>
                                    <pic:cNvPicPr>
                                      <a:picLocks noChangeAspect="1" noChangeArrowheads="1"/>
                                    </pic:cNvPicPr>
                                  </pic:nvPicPr>
                                  <pic:blipFill>
                                    <a:blip r:embed="rId221"/>
                                    <a:stretch>
                                      <a:fillRect/>
                                    </a:stretch>
                                  </pic:blipFill>
                                  <pic:spPr bwMode="auto">
                                    <a:xfrm>
                                      <a:off x="0" y="0"/>
                                      <a:ext cx="3619500" cy="2209800"/>
                                    </a:xfrm>
                                    <a:prstGeom prst="rect">
                                      <a:avLst/>
                                    </a:prstGeom>
                                  </pic:spPr>
                                </pic:pic>
                              </a:graphicData>
                            </a:graphic>
                          </wp:inline>
                        </w:drawing>
                      </w:r>
                      <w:r>
                        <w:rPr>
                          <w:caps w:val="false"/>
                          <w:smallCaps w:val="false"/>
                          <w:color w:val="58595B"/>
                        </w:rPr>
                        <w:t> </w:t>
                      </w:r>
                    </w:p>
                    <w:p>
                      <w:pPr>
                        <w:pStyle w:val="TextBody"/>
                        <w:spacing w:before="0" w:after="283"/>
                        <w:rPr>
                          <w:caps w:val="false"/>
                          <w:smallCaps w:val="false"/>
                          <w:color w:val="58595B"/>
                        </w:rPr>
                      </w:pPr>
                      <w:r>
                        <w:rPr>
                          <w:caps w:val="false"/>
                          <w:smallCaps w:val="false"/>
                          <w:color w:val="58595B"/>
                        </w:rPr>
                        <w:t> </w:t>
                      </w:r>
                    </w:p>
                  </w:txbxContent>
                </v:textbox>
                <w10:wrap type="square" side="left"/>
              </v:rect>
            </w:pict>
          </mc:Fallback>
        </mc:AlternateContent>
      </w:r>
      <w:r>
        <mc:AlternateContent>
          <mc:Choice Requires="wps">
            <w:drawing>
              <wp:anchor behindDoc="0" distT="0" distB="0" distL="0" distR="0" simplePos="0" locked="0" layoutInCell="1" allowOverlap="1" relativeHeight="212">
                <wp:simplePos x="0" y="0"/>
                <wp:positionH relativeFrom="column">
                  <wp:align>left</wp:align>
                </wp:positionH>
                <wp:positionV relativeFrom="line">
                  <wp:posOffset>635</wp:posOffset>
                </wp:positionV>
                <wp:extent cx="3110230" cy="8591550"/>
                <wp:effectExtent l="0" t="0" r="0" b="0"/>
                <wp:wrapSquare wrapText="largest"/>
                <wp:docPr id="456" name="Frame78"/>
                <a:graphic xmlns:a="http://schemas.openxmlformats.org/drawingml/2006/main">
                  <a:graphicData uri="http://schemas.microsoft.com/office/word/2010/wordprocessingShape">
                    <wps:wsp>
                      <wps:cNvSpPr txBox="1"/>
                      <wps:spPr>
                        <a:xfrm>
                          <a:off x="0" y="0"/>
                          <a:ext cx="3110230" cy="8591550"/>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lists the three financial performance measures that we believe represent the most important financial performance measures we used to link compensation actually paid to our named executive officers for fiscal 2022 to our performance:</w:t>
                            </w:r>
                          </w:p>
                          <w:p>
                            <w:pPr>
                              <w:pStyle w:val="TextBody"/>
                              <w:rPr>
                                <w:caps w:val="false"/>
                                <w:smallCaps w:val="false"/>
                                <w:color w:val="58595B"/>
                              </w:rPr>
                            </w:pPr>
                            <w:r>
                              <w:rPr>
                                <w:caps w:val="false"/>
                                <w:smallCaps w:val="false"/>
                                <w:color w:val="58595B"/>
                              </w:rPr>
                              <w:t> </w:t>
                            </w:r>
                          </w:p>
                          <w:tbl>
                            <w:tblPr>
                              <w:tblW w:w="2555" w:type="dxa"/>
                              <w:jc w:val="left"/>
                              <w:tblInd w:w="0" w:type="dxa"/>
                              <w:tblCellMar>
                                <w:top w:w="0" w:type="dxa"/>
                                <w:left w:w="0" w:type="dxa"/>
                                <w:bottom w:w="0" w:type="dxa"/>
                                <w:right w:w="0" w:type="dxa"/>
                              </w:tblCellMar>
                            </w:tblPr>
                            <w:tblGrid>
                              <w:gridCol w:w="2555"/>
                            </w:tblGrid>
                            <w:tr>
                              <w:trPr/>
                              <w:tc>
                                <w:tcPr>
                                  <w:tcW w:w="2555" w:type="dxa"/>
                                  <w:tcBorders/>
                                  <w:shd w:fill="EE0027" w:val="clear"/>
                                  <w:vAlign w:val="center"/>
                                </w:tcPr>
                                <w:p>
                                  <w:pPr>
                                    <w:pStyle w:val="TableContents"/>
                                    <w:spacing w:before="0" w:after="283"/>
                                    <w:jc w:val="center"/>
                                    <w:rPr>
                                      <w:sz w:val="20"/>
                                    </w:rPr>
                                  </w:pPr>
                                  <w:r>
                                    <w:rPr>
                                      <w:rFonts w:ascii="Arial;Helvetica;Sans-Serif" w:hAnsi="Arial;Helvetica;Sans-Serif"/>
                                      <w:b/>
                                      <w:color w:val="FFFFFF"/>
                                      <w:sz w:val="20"/>
                                    </w:rPr>
                                    <w:t xml:space="preserve">Most Important Financial </w:t>
                                  </w:r>
                                  <w:r>
                                    <w:rPr>
                                      <w:rFonts w:ascii="Arial;Helvetica;Sans-Serif" w:hAnsi="Arial;Helvetica;Sans-Serif"/>
                                      <w:sz w:val="20"/>
                                    </w:rPr>
                                    <w:br/>
                                  </w:r>
                                  <w:r>
                                    <w:rPr>
                                      <w:rFonts w:ascii="Arial;Helvetica;Sans-Serif" w:hAnsi="Arial;Helvetica;Sans-Serif"/>
                                      <w:b/>
                                      <w:color w:val="FFFFFF"/>
                                      <w:sz w:val="20"/>
                                    </w:rPr>
                                    <w:t>Performance Measures</w:t>
                                  </w:r>
                                </w:p>
                              </w:tc>
                            </w:tr>
                            <w:tr>
                              <w:trPr/>
                              <w:tc>
                                <w:tcPr>
                                  <w:tcW w:w="2555" w:type="dxa"/>
                                  <w:tcBorders/>
                                  <w:shd w:fill="auto" w:val="clear"/>
                                  <w:vAlign w:val="center"/>
                                </w:tcPr>
                                <w:p>
                                  <w:pPr>
                                    <w:pStyle w:val="TableContents"/>
                                    <w:spacing w:before="0" w:after="283"/>
                                    <w:jc w:val="center"/>
                                    <w:rPr>
                                      <w:rFonts w:ascii="Arial;Helvetica;Sans-Serif" w:hAnsi="Arial;Helvetica;Sans-Serif"/>
                                      <w:color w:val="58595B"/>
                                      <w:sz w:val="20"/>
                                    </w:rPr>
                                  </w:pPr>
                                  <w:r>
                                    <w:rPr>
                                      <w:rFonts w:ascii="Arial;Helvetica;Sans-Serif" w:hAnsi="Arial;Helvetica;Sans-Serif"/>
                                      <w:color w:val="58595B"/>
                                      <w:sz w:val="20"/>
                                    </w:rPr>
                                    <w:t>Adjusted EPS</w:t>
                                  </w:r>
                                </w:p>
                              </w:tc>
                            </w:tr>
                            <w:tr>
                              <w:trPr/>
                              <w:tc>
                                <w:tcPr>
                                  <w:tcW w:w="2555" w:type="dxa"/>
                                  <w:tcBorders/>
                                  <w:shd w:fill="DCDDDE" w:val="clear"/>
                                  <w:vAlign w:val="center"/>
                                </w:tcPr>
                                <w:p>
                                  <w:pPr>
                                    <w:pStyle w:val="TableContents"/>
                                    <w:spacing w:before="0" w:after="283"/>
                                    <w:jc w:val="center"/>
                                    <w:rPr>
                                      <w:rFonts w:ascii="Arial;Helvetica;Sans-Serif" w:hAnsi="Arial;Helvetica;Sans-Serif"/>
                                      <w:color w:val="58595B"/>
                                      <w:sz w:val="20"/>
                                    </w:rPr>
                                  </w:pPr>
                                  <w:r>
                                    <w:rPr>
                                      <w:rFonts w:ascii="Arial;Helvetica;Sans-Serif" w:hAnsi="Arial;Helvetica;Sans-Serif"/>
                                      <w:color w:val="58595B"/>
                                      <w:sz w:val="20"/>
                                    </w:rPr>
                                    <w:t>GAAP Revenue, as adjusted</w:t>
                                  </w:r>
                                </w:p>
                              </w:tc>
                            </w:tr>
                            <w:tr>
                              <w:trPr/>
                              <w:tc>
                                <w:tcPr>
                                  <w:tcW w:w="2555" w:type="dxa"/>
                                  <w:tcBorders/>
                                  <w:shd w:fill="auto" w:val="clear"/>
                                  <w:vAlign w:val="center"/>
                                </w:tcPr>
                                <w:p>
                                  <w:pPr>
                                    <w:pStyle w:val="TableContents"/>
                                    <w:spacing w:before="0" w:after="283"/>
                                    <w:jc w:val="center"/>
                                    <w:rPr>
                                      <w:rFonts w:ascii="Arial;Helvetica;Sans-Serif" w:hAnsi="Arial;Helvetica;Sans-Serif"/>
                                      <w:color w:val="58595B"/>
                                      <w:sz w:val="20"/>
                                    </w:rPr>
                                  </w:pPr>
                                  <w:r>
                                    <w:rPr>
                                      <w:rFonts w:ascii="Arial;Helvetica;Sans-Serif" w:hAnsi="Arial;Helvetica;Sans-Serif"/>
                                      <w:color w:val="58595B"/>
                                      <w:sz w:val="20"/>
                                    </w:rPr>
                                    <w:t>Stock Price</w:t>
                                  </w:r>
                                </w:p>
                              </w:tc>
                            </w:tr>
                          </w:tbl>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sz w:val="20"/>
                              </w:rPr>
                            </w:pPr>
                            <w:bookmarkStart w:id="149" w:name="a086"/>
                            <w:bookmarkEnd w:id="149"/>
                            <w:r>
                              <w:rPr>
                                <w:rFonts w:ascii="Arial;Helvetica;Sans-Serif" w:hAnsi="Arial;Helvetica;Sans-Serif"/>
                                <w:b/>
                                <w:i w:val="false"/>
                                <w:caps w:val="false"/>
                                <w:smallCaps w:val="false"/>
                                <w:color w:val="231F20"/>
                                <w:sz w:val="20"/>
                              </w:rPr>
                              <w:t xml:space="preserve">12.  </w:t>
                            </w:r>
                            <w:r>
                              <w:rPr>
                                <w:rFonts w:ascii="Arial;Helvetica;Sans-Serif" w:hAnsi="Arial;Helvetica;Sans-Serif"/>
                                <w:b w:val="false"/>
                                <w:i w:val="false"/>
                                <w:caps w:val="false"/>
                                <w:smallCaps w:val="false"/>
                                <w:color w:val="EE0027"/>
                                <w:spacing w:val="3"/>
                                <w:sz w:val="20"/>
                              </w:rPr>
                              <w:t xml:space="preserve">CERTAIN </w:t>
                            </w:r>
                            <w:r>
                              <w:rPr>
                                <w:rFonts w:ascii="Arial;Helvetica;Sans-Serif" w:hAnsi="Arial;Helvetica;Sans-Serif"/>
                                <w:b w:val="false"/>
                                <w:i w:val="false"/>
                                <w:caps w:val="false"/>
                                <w:smallCaps w:val="false"/>
                                <w:color w:val="EE0027"/>
                                <w:spacing w:val="4"/>
                                <w:sz w:val="20"/>
                              </w:rPr>
                              <w:t xml:space="preserve">RELATIONSHIPS </w:t>
                            </w:r>
                            <w:r>
                              <w:rPr>
                                <w:rFonts w:ascii="Arial;Helvetica;Sans-Serif" w:hAnsi="Arial;Helvetica;Sans-Serif"/>
                                <w:b w:val="false"/>
                                <w:i w:val="false"/>
                                <w:caps w:val="false"/>
                                <w:smallCaps w:val="false"/>
                                <w:color w:val="EE0027"/>
                                <w:sz w:val="20"/>
                              </w:rPr>
                              <w:t xml:space="preserve">AND </w:t>
                            </w:r>
                            <w:r>
                              <w:rPr>
                                <w:rFonts w:ascii="Arial;Helvetica;Sans-Serif" w:hAnsi="Arial;Helvetica;Sans-Serif"/>
                                <w:b w:val="false"/>
                                <w:i w:val="false"/>
                                <w:caps w:val="false"/>
                                <w:smallCaps w:val="false"/>
                                <w:color w:val="EE0027"/>
                                <w:spacing w:val="3"/>
                                <w:sz w:val="20"/>
                              </w:rPr>
                              <w:t xml:space="preserve">RELATED-PARTY </w:t>
                            </w:r>
                            <w:r>
                              <w:rPr>
                                <w:rFonts w:ascii="Arial;Helvetica;Sans-Serif" w:hAnsi="Arial;Helvetica;Sans-Serif"/>
                                <w:b w:val="false"/>
                                <w:i w:val="false"/>
                                <w:caps w:val="false"/>
                                <w:smallCaps w:val="false"/>
                                <w:color w:val="EE0027"/>
                                <w:spacing w:val="4"/>
                                <w:sz w:val="20"/>
                              </w:rPr>
                              <w:t>TRANSACTIONS</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audit committee is responsible for reviewing and approving transactions with the Company involving $120,000 or more in any calendar year, and in which certain related persons have a direct or indirect material interest. A related person is: (1) any of our directors, nominees for director or executive officers, (2) any immediate family member of a director, nominee for director or executive officer, and (3) any person, and his or her immediate family members, or entity that was a beneficial owner of 5% or more of any of our outstanding equity securities at the time the transaction occurred or existed. The policy does not apply to compensation and benefits subject to compensation committee approval, transactions below certain dollar thresholds in which the related party’s interest is indirect and other specified transactions. Our policy is published on our website at https://investor. FLEETCOR.com.</w:t>
                            </w:r>
                          </w:p>
                          <w:p>
                            <w:pPr>
                              <w:pStyle w:val="TextBody"/>
                              <w:rPr>
                                <w:caps w:val="false"/>
                                <w:smallCaps w:val="false"/>
                                <w:color w:val="58595B"/>
                              </w:rPr>
                            </w:pPr>
                            <w:r>
                              <w:rPr>
                                <w:caps w:val="false"/>
                                <w:smallCaps w:val="false"/>
                                <w:color w:val="58595B"/>
                              </w:rPr>
                              <w:t> </w:t>
                            </w:r>
                          </w:p>
                          <w:p>
                            <w:pPr>
                              <w:pStyle w:val="TextBody"/>
                              <w:spacing w:before="0" w:after="0"/>
                              <w:rPr>
                                <w:rFonts w:ascii="Times New Roman;Times;Serif" w:hAnsi="Times New Roman;Times;Serif"/>
                                <w:b w:val="false"/>
                                <w:i w:val="false"/>
                                <w:caps w:val="false"/>
                                <w:smallCaps w:val="false"/>
                                <w:sz w:val="20"/>
                              </w:rPr>
                            </w:pPr>
                            <w:bookmarkStart w:id="150" w:name="a087"/>
                            <w:bookmarkEnd w:id="150"/>
                            <w:r>
                              <w:rPr>
                                <w:rFonts w:ascii="Arial;Helvetica;Sans-Serif" w:hAnsi="Arial;Helvetica;Sans-Serif"/>
                                <w:b/>
                                <w:i w:val="false"/>
                                <w:caps w:val="false"/>
                                <w:smallCaps w:val="false"/>
                                <w:color w:val="231F20"/>
                                <w:sz w:val="20"/>
                              </w:rPr>
                              <w:t xml:space="preserve">13. </w:t>
                            </w:r>
                            <w:r>
                              <w:rPr>
                                <w:rFonts w:ascii="Arial;Helvetica;Sans-Serif" w:hAnsi="Arial;Helvetica;Sans-Serif"/>
                                <w:b w:val="false"/>
                                <w:i w:val="false"/>
                                <w:caps w:val="false"/>
                                <w:smallCaps w:val="false"/>
                                <w:color w:val="EE0027"/>
                                <w:spacing w:val="4"/>
                                <w:sz w:val="20"/>
                              </w:rPr>
                              <w:t xml:space="preserve">DELINQUENT </w:t>
                            </w:r>
                            <w:r>
                              <w:rPr>
                                <w:rFonts w:ascii="Arial;Helvetica;Sans-Serif" w:hAnsi="Arial;Helvetica;Sans-Serif"/>
                                <w:b w:val="false"/>
                                <w:i w:val="false"/>
                                <w:caps w:val="false"/>
                                <w:smallCaps w:val="false"/>
                                <w:color w:val="EE0027"/>
                                <w:spacing w:val="3"/>
                                <w:sz w:val="20"/>
                              </w:rPr>
                              <w:t xml:space="preserve">SECTION </w:t>
                            </w:r>
                            <w:r>
                              <w:rPr>
                                <w:rFonts w:ascii="Arial;Helvetica;Sans-Serif" w:hAnsi="Arial;Helvetica;Sans-Serif"/>
                                <w:b w:val="false"/>
                                <w:i w:val="false"/>
                                <w:caps w:val="false"/>
                                <w:smallCaps w:val="false"/>
                                <w:color w:val="EE0027"/>
                                <w:spacing w:val="4"/>
                                <w:sz w:val="20"/>
                              </w:rPr>
                              <w:t xml:space="preserve">16(A) </w:t>
                            </w:r>
                            <w:r>
                              <w:rPr>
                                <w:rFonts w:ascii="Arial;Helvetica;Sans-Serif" w:hAnsi="Arial;Helvetica;Sans-Serif"/>
                                <w:b w:val="false"/>
                                <w:i w:val="false"/>
                                <w:caps w:val="false"/>
                                <w:smallCaps w:val="false"/>
                                <w:color w:val="EE0027"/>
                                <w:spacing w:val="3"/>
                                <w:sz w:val="20"/>
                              </w:rPr>
                              <w:t>REPORTS</w:t>
                            </w:r>
                          </w:p>
                          <w:p>
                            <w:pPr>
                              <w:pStyle w:val="TextBody"/>
                              <w:rPr>
                                <w:caps w:val="false"/>
                                <w:smallCaps w:val="false"/>
                                <w:color w:val="58595B"/>
                              </w:rPr>
                            </w:pPr>
                            <w:r>
                              <w:rPr>
                                <w:caps w:val="false"/>
                                <w:smallCaps w:val="false"/>
                                <w:color w:val="58595B"/>
                              </w:rPr>
                              <w:t> </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Section 16(a) of the Exchange Act of 1934 requires our directors, executive officers, and persons who own more than 10% of our common shares to file reports of their ownership and changes in ownership of our common shares with the SEC. Our employees prepare these reports for our directors and executive officers who request it on the basis of information obtained from them</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lists the three financial performance measures that we believe represent the most important financial performance measures we used to link compensation actually paid to our named executive officers for fiscal 2022 to our performance:</w:t>
                      </w:r>
                    </w:p>
                    <w:p>
                      <w:pPr>
                        <w:pStyle w:val="TextBody"/>
                        <w:rPr>
                          <w:caps w:val="false"/>
                          <w:smallCaps w:val="false"/>
                          <w:color w:val="58595B"/>
                        </w:rPr>
                      </w:pPr>
                      <w:r>
                        <w:rPr>
                          <w:caps w:val="false"/>
                          <w:smallCaps w:val="false"/>
                          <w:color w:val="58595B"/>
                        </w:rPr>
                        <w:t> </w:t>
                      </w:r>
                    </w:p>
                    <w:tbl>
                      <w:tblPr>
                        <w:tblW w:w="2555" w:type="dxa"/>
                        <w:jc w:val="left"/>
                        <w:tblInd w:w="0" w:type="dxa"/>
                        <w:tblCellMar>
                          <w:top w:w="0" w:type="dxa"/>
                          <w:left w:w="0" w:type="dxa"/>
                          <w:bottom w:w="0" w:type="dxa"/>
                          <w:right w:w="0" w:type="dxa"/>
                        </w:tblCellMar>
                      </w:tblPr>
                      <w:tblGrid>
                        <w:gridCol w:w="2555"/>
                      </w:tblGrid>
                      <w:tr>
                        <w:trPr/>
                        <w:tc>
                          <w:tcPr>
                            <w:tcW w:w="2555" w:type="dxa"/>
                            <w:tcBorders/>
                            <w:shd w:fill="EE0027" w:val="clear"/>
                            <w:vAlign w:val="center"/>
                          </w:tcPr>
                          <w:p>
                            <w:pPr>
                              <w:pStyle w:val="TableContents"/>
                              <w:spacing w:before="0" w:after="283"/>
                              <w:jc w:val="center"/>
                              <w:rPr>
                                <w:sz w:val="20"/>
                              </w:rPr>
                            </w:pPr>
                            <w:r>
                              <w:rPr>
                                <w:rFonts w:ascii="Arial;Helvetica;Sans-Serif" w:hAnsi="Arial;Helvetica;Sans-Serif"/>
                                <w:b/>
                                <w:color w:val="FFFFFF"/>
                                <w:sz w:val="20"/>
                              </w:rPr>
                              <w:t xml:space="preserve">Most Important Financial </w:t>
                            </w:r>
                            <w:r>
                              <w:rPr>
                                <w:rFonts w:ascii="Arial;Helvetica;Sans-Serif" w:hAnsi="Arial;Helvetica;Sans-Serif"/>
                                <w:sz w:val="20"/>
                              </w:rPr>
                              <w:br/>
                            </w:r>
                            <w:r>
                              <w:rPr>
                                <w:rFonts w:ascii="Arial;Helvetica;Sans-Serif" w:hAnsi="Arial;Helvetica;Sans-Serif"/>
                                <w:b/>
                                <w:color w:val="FFFFFF"/>
                                <w:sz w:val="20"/>
                              </w:rPr>
                              <w:t>Performance Measures</w:t>
                            </w:r>
                          </w:p>
                        </w:tc>
                      </w:tr>
                      <w:tr>
                        <w:trPr/>
                        <w:tc>
                          <w:tcPr>
                            <w:tcW w:w="2555" w:type="dxa"/>
                            <w:tcBorders/>
                            <w:shd w:fill="auto" w:val="clear"/>
                            <w:vAlign w:val="center"/>
                          </w:tcPr>
                          <w:p>
                            <w:pPr>
                              <w:pStyle w:val="TableContents"/>
                              <w:spacing w:before="0" w:after="283"/>
                              <w:jc w:val="center"/>
                              <w:rPr>
                                <w:rFonts w:ascii="Arial;Helvetica;Sans-Serif" w:hAnsi="Arial;Helvetica;Sans-Serif"/>
                                <w:color w:val="58595B"/>
                                <w:sz w:val="20"/>
                              </w:rPr>
                            </w:pPr>
                            <w:r>
                              <w:rPr>
                                <w:rFonts w:ascii="Arial;Helvetica;Sans-Serif" w:hAnsi="Arial;Helvetica;Sans-Serif"/>
                                <w:color w:val="58595B"/>
                                <w:sz w:val="20"/>
                              </w:rPr>
                              <w:t>Adjusted EPS</w:t>
                            </w:r>
                          </w:p>
                        </w:tc>
                      </w:tr>
                      <w:tr>
                        <w:trPr/>
                        <w:tc>
                          <w:tcPr>
                            <w:tcW w:w="2555" w:type="dxa"/>
                            <w:tcBorders/>
                            <w:shd w:fill="DCDDDE" w:val="clear"/>
                            <w:vAlign w:val="center"/>
                          </w:tcPr>
                          <w:p>
                            <w:pPr>
                              <w:pStyle w:val="TableContents"/>
                              <w:spacing w:before="0" w:after="283"/>
                              <w:jc w:val="center"/>
                              <w:rPr>
                                <w:rFonts w:ascii="Arial;Helvetica;Sans-Serif" w:hAnsi="Arial;Helvetica;Sans-Serif"/>
                                <w:color w:val="58595B"/>
                                <w:sz w:val="20"/>
                              </w:rPr>
                            </w:pPr>
                            <w:r>
                              <w:rPr>
                                <w:rFonts w:ascii="Arial;Helvetica;Sans-Serif" w:hAnsi="Arial;Helvetica;Sans-Serif"/>
                                <w:color w:val="58595B"/>
                                <w:sz w:val="20"/>
                              </w:rPr>
                              <w:t>GAAP Revenue, as adjusted</w:t>
                            </w:r>
                          </w:p>
                        </w:tc>
                      </w:tr>
                      <w:tr>
                        <w:trPr/>
                        <w:tc>
                          <w:tcPr>
                            <w:tcW w:w="2555" w:type="dxa"/>
                            <w:tcBorders/>
                            <w:shd w:fill="auto" w:val="clear"/>
                            <w:vAlign w:val="center"/>
                          </w:tcPr>
                          <w:p>
                            <w:pPr>
                              <w:pStyle w:val="TableContents"/>
                              <w:spacing w:before="0" w:after="283"/>
                              <w:jc w:val="center"/>
                              <w:rPr>
                                <w:rFonts w:ascii="Arial;Helvetica;Sans-Serif" w:hAnsi="Arial;Helvetica;Sans-Serif"/>
                                <w:color w:val="58595B"/>
                                <w:sz w:val="20"/>
                              </w:rPr>
                            </w:pPr>
                            <w:r>
                              <w:rPr>
                                <w:rFonts w:ascii="Arial;Helvetica;Sans-Serif" w:hAnsi="Arial;Helvetica;Sans-Serif"/>
                                <w:color w:val="58595B"/>
                                <w:sz w:val="20"/>
                              </w:rPr>
                              <w:t>Stock Price</w:t>
                            </w:r>
                          </w:p>
                        </w:tc>
                      </w:tr>
                    </w:tbl>
                    <w:p>
                      <w:pPr>
                        <w:pStyle w:val="TextBody"/>
                        <w:rPr>
                          <w:caps w:val="false"/>
                          <w:smallCaps w:val="false"/>
                          <w:color w:val="58595B"/>
                        </w:rPr>
                      </w:pPr>
                      <w:r>
                        <w:rPr>
                          <w:caps w:val="false"/>
                          <w:smallCaps w:val="false"/>
                          <w:color w:val="58595B"/>
                        </w:rPr>
                        <w:t> </w:t>
                      </w:r>
                    </w:p>
                    <w:p>
                      <w:pPr>
                        <w:pStyle w:val="TextBody"/>
                        <w:rPr>
                          <w:rFonts w:ascii="Times New Roman;Times;Serif" w:hAnsi="Times New Roman;Times;Serif"/>
                          <w:b w:val="false"/>
                          <w:i w:val="false"/>
                          <w:caps w:val="false"/>
                          <w:smallCaps w:val="false"/>
                          <w:sz w:val="20"/>
                        </w:rPr>
                      </w:pPr>
                      <w:bookmarkStart w:id="151" w:name="a086"/>
                      <w:bookmarkEnd w:id="151"/>
                      <w:r>
                        <w:rPr>
                          <w:rFonts w:ascii="Arial;Helvetica;Sans-Serif" w:hAnsi="Arial;Helvetica;Sans-Serif"/>
                          <w:b/>
                          <w:i w:val="false"/>
                          <w:caps w:val="false"/>
                          <w:smallCaps w:val="false"/>
                          <w:color w:val="231F20"/>
                          <w:sz w:val="20"/>
                        </w:rPr>
                        <w:t xml:space="preserve">12.  </w:t>
                      </w:r>
                      <w:r>
                        <w:rPr>
                          <w:rFonts w:ascii="Arial;Helvetica;Sans-Serif" w:hAnsi="Arial;Helvetica;Sans-Serif"/>
                          <w:b w:val="false"/>
                          <w:i w:val="false"/>
                          <w:caps w:val="false"/>
                          <w:smallCaps w:val="false"/>
                          <w:color w:val="EE0027"/>
                          <w:spacing w:val="3"/>
                          <w:sz w:val="20"/>
                        </w:rPr>
                        <w:t xml:space="preserve">CERTAIN </w:t>
                      </w:r>
                      <w:r>
                        <w:rPr>
                          <w:rFonts w:ascii="Arial;Helvetica;Sans-Serif" w:hAnsi="Arial;Helvetica;Sans-Serif"/>
                          <w:b w:val="false"/>
                          <w:i w:val="false"/>
                          <w:caps w:val="false"/>
                          <w:smallCaps w:val="false"/>
                          <w:color w:val="EE0027"/>
                          <w:spacing w:val="4"/>
                          <w:sz w:val="20"/>
                        </w:rPr>
                        <w:t xml:space="preserve">RELATIONSHIPS </w:t>
                      </w:r>
                      <w:r>
                        <w:rPr>
                          <w:rFonts w:ascii="Arial;Helvetica;Sans-Serif" w:hAnsi="Arial;Helvetica;Sans-Serif"/>
                          <w:b w:val="false"/>
                          <w:i w:val="false"/>
                          <w:caps w:val="false"/>
                          <w:smallCaps w:val="false"/>
                          <w:color w:val="EE0027"/>
                          <w:sz w:val="20"/>
                        </w:rPr>
                        <w:t xml:space="preserve">AND </w:t>
                      </w:r>
                      <w:r>
                        <w:rPr>
                          <w:rFonts w:ascii="Arial;Helvetica;Sans-Serif" w:hAnsi="Arial;Helvetica;Sans-Serif"/>
                          <w:b w:val="false"/>
                          <w:i w:val="false"/>
                          <w:caps w:val="false"/>
                          <w:smallCaps w:val="false"/>
                          <w:color w:val="EE0027"/>
                          <w:spacing w:val="3"/>
                          <w:sz w:val="20"/>
                        </w:rPr>
                        <w:t xml:space="preserve">RELATED-PARTY </w:t>
                      </w:r>
                      <w:r>
                        <w:rPr>
                          <w:rFonts w:ascii="Arial;Helvetica;Sans-Serif" w:hAnsi="Arial;Helvetica;Sans-Serif"/>
                          <w:b w:val="false"/>
                          <w:i w:val="false"/>
                          <w:caps w:val="false"/>
                          <w:smallCaps w:val="false"/>
                          <w:color w:val="EE0027"/>
                          <w:spacing w:val="4"/>
                          <w:sz w:val="20"/>
                        </w:rPr>
                        <w:t>TRANSACTIONS</w:t>
                      </w:r>
                    </w:p>
                    <w:p>
                      <w:pPr>
                        <w:pStyle w:val="TextBody"/>
                        <w:rPr>
                          <w:caps w:val="false"/>
                          <w:smallCaps w:val="false"/>
                        </w:rPr>
                      </w:pPr>
                      <w:r>
                        <w:rPr>
                          <w:caps w:val="false"/>
                          <w:smallCaps w:val="false"/>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audit committee is responsible for reviewing and approving transactions with the Company involving $120,000 or more in any calendar year, and in which certain related persons have a direct or indirect material interest. A related person is: (1) any of our directors, nominees for director or executive officers, (2) any immediate family member of a director, nominee for director or executive officer, and (3) any person, and his or her immediate family members, or entity that was a beneficial owner of 5% or more of any of our outstanding equity securities at the time the transaction occurred or existed. The policy does not apply to compensation and benefits subject to compensation committee approval, transactions below certain dollar thresholds in which the related party’s interest is indirect and other specified transactions. Our policy is published on our website at https://investor. FLEETCOR.com.</w:t>
                      </w:r>
                    </w:p>
                    <w:p>
                      <w:pPr>
                        <w:pStyle w:val="TextBody"/>
                        <w:rPr>
                          <w:caps w:val="false"/>
                          <w:smallCaps w:val="false"/>
                          <w:color w:val="58595B"/>
                        </w:rPr>
                      </w:pPr>
                      <w:r>
                        <w:rPr>
                          <w:caps w:val="false"/>
                          <w:smallCaps w:val="false"/>
                          <w:color w:val="58595B"/>
                        </w:rPr>
                        <w:t> </w:t>
                      </w:r>
                    </w:p>
                    <w:p>
                      <w:pPr>
                        <w:pStyle w:val="TextBody"/>
                        <w:spacing w:before="0" w:after="0"/>
                        <w:rPr>
                          <w:rFonts w:ascii="Times New Roman;Times;Serif" w:hAnsi="Times New Roman;Times;Serif"/>
                          <w:b w:val="false"/>
                          <w:i w:val="false"/>
                          <w:caps w:val="false"/>
                          <w:smallCaps w:val="false"/>
                          <w:sz w:val="20"/>
                        </w:rPr>
                      </w:pPr>
                      <w:bookmarkStart w:id="152" w:name="a087"/>
                      <w:bookmarkEnd w:id="152"/>
                      <w:r>
                        <w:rPr>
                          <w:rFonts w:ascii="Arial;Helvetica;Sans-Serif" w:hAnsi="Arial;Helvetica;Sans-Serif"/>
                          <w:b/>
                          <w:i w:val="false"/>
                          <w:caps w:val="false"/>
                          <w:smallCaps w:val="false"/>
                          <w:color w:val="231F20"/>
                          <w:sz w:val="20"/>
                        </w:rPr>
                        <w:t xml:space="preserve">13. </w:t>
                      </w:r>
                      <w:r>
                        <w:rPr>
                          <w:rFonts w:ascii="Arial;Helvetica;Sans-Serif" w:hAnsi="Arial;Helvetica;Sans-Serif"/>
                          <w:b w:val="false"/>
                          <w:i w:val="false"/>
                          <w:caps w:val="false"/>
                          <w:smallCaps w:val="false"/>
                          <w:color w:val="EE0027"/>
                          <w:spacing w:val="4"/>
                          <w:sz w:val="20"/>
                        </w:rPr>
                        <w:t xml:space="preserve">DELINQUENT </w:t>
                      </w:r>
                      <w:r>
                        <w:rPr>
                          <w:rFonts w:ascii="Arial;Helvetica;Sans-Serif" w:hAnsi="Arial;Helvetica;Sans-Serif"/>
                          <w:b w:val="false"/>
                          <w:i w:val="false"/>
                          <w:caps w:val="false"/>
                          <w:smallCaps w:val="false"/>
                          <w:color w:val="EE0027"/>
                          <w:spacing w:val="3"/>
                          <w:sz w:val="20"/>
                        </w:rPr>
                        <w:t xml:space="preserve">SECTION </w:t>
                      </w:r>
                      <w:r>
                        <w:rPr>
                          <w:rFonts w:ascii="Arial;Helvetica;Sans-Serif" w:hAnsi="Arial;Helvetica;Sans-Serif"/>
                          <w:b w:val="false"/>
                          <w:i w:val="false"/>
                          <w:caps w:val="false"/>
                          <w:smallCaps w:val="false"/>
                          <w:color w:val="EE0027"/>
                          <w:spacing w:val="4"/>
                          <w:sz w:val="20"/>
                        </w:rPr>
                        <w:t xml:space="preserve">16(A) </w:t>
                      </w:r>
                      <w:r>
                        <w:rPr>
                          <w:rFonts w:ascii="Arial;Helvetica;Sans-Serif" w:hAnsi="Arial;Helvetica;Sans-Serif"/>
                          <w:b w:val="false"/>
                          <w:i w:val="false"/>
                          <w:caps w:val="false"/>
                          <w:smallCaps w:val="false"/>
                          <w:color w:val="EE0027"/>
                          <w:spacing w:val="3"/>
                          <w:sz w:val="20"/>
                        </w:rPr>
                        <w:t>REPORTS</w:t>
                      </w:r>
                    </w:p>
                    <w:p>
                      <w:pPr>
                        <w:pStyle w:val="TextBody"/>
                        <w:rPr>
                          <w:caps w:val="false"/>
                          <w:smallCaps w:val="false"/>
                          <w:color w:val="58595B"/>
                        </w:rPr>
                      </w:pPr>
                      <w:r>
                        <w:rPr>
                          <w:caps w:val="false"/>
                          <w:smallCaps w:val="false"/>
                          <w:color w:val="58595B"/>
                        </w:rPr>
                        <w:t> </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Section 16(a) of the Exchange Act of 1934 requires our directors, executive officers, and persons who own more than 10% of our common shares to file reports of their ownership and changes in ownership of our common shares with the SEC. Our employees prepare these reports for our directors and executive officers who request it on the basis of information obtained from them</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p>
    <w:p>
      <w:pPr>
        <w:pStyle w:val="TextBody"/>
        <w:rPr/>
      </w:pPr>
      <w:r>
        <w:rPr/>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57</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15. </w:t>
      </w:r>
      <w:bookmarkStart w:id="153" w:name="a089"/>
      <w:bookmarkEnd w:id="153"/>
      <w:r>
        <w:rPr>
          <w:rFonts w:ascii="Arial;Helvetica;Sans-Serif" w:hAnsi="Arial;Helvetica;Sans-Serif"/>
          <w:b w:val="false"/>
          <w:i w:val="false"/>
          <w:caps w:val="false"/>
          <w:smallCaps w:val="false"/>
          <w:color w:val="EE0027"/>
          <w:sz w:val="20"/>
        </w:rPr>
        <w:t>AUDIT COMMITTEE REPORT</w:t>
      </w:r>
    </w:p>
    <w:p>
      <w:pPr>
        <w:pStyle w:val="TextBody"/>
        <w:spacing w:before="0" w:after="0"/>
        <w:ind w:left="20" w:right="0" w:hanging="0"/>
        <w:rPr>
          <w:caps w:val="false"/>
          <w:smallCaps w:val="false"/>
        </w:rPr>
      </w:pPr>
      <w:r>
        <w:rPr>
          <w:caps w:val="false"/>
          <w:smallCaps w:val="false"/>
        </w:rPr>
        <w:t> </w:t>
      </w:r>
    </w:p>
    <w:p>
      <w:pPr>
        <w:pStyle w:val="TextBody"/>
        <w:spacing w:before="0" w:after="0"/>
        <w:rPr/>
      </w:pPr>
      <w:r>
        <w:rPr/>
      </w:r>
      <w:r>
        <mc:AlternateContent>
          <mc:Choice Requires="wps">
            <w:drawing>
              <wp:anchor behindDoc="0" distT="0" distB="0" distL="0" distR="0" simplePos="0" locked="0" layoutInCell="1" allowOverlap="1" relativeHeight="84">
                <wp:simplePos x="0" y="0"/>
                <wp:positionH relativeFrom="column">
                  <wp:align>right</wp:align>
                </wp:positionH>
                <wp:positionV relativeFrom="line">
                  <wp:posOffset>635</wp:posOffset>
                </wp:positionV>
                <wp:extent cx="3110230" cy="7151370"/>
                <wp:effectExtent l="0" t="0" r="0" b="0"/>
                <wp:wrapSquare wrapText="largest"/>
                <wp:docPr id="457" name="Frame81"/>
                <a:graphic xmlns:a="http://schemas.openxmlformats.org/drawingml/2006/main">
                  <a:graphicData uri="http://schemas.microsoft.com/office/word/2010/wordprocessingShape">
                    <wps:wsp>
                      <wps:cNvSpPr txBox="1"/>
                      <wps:spPr>
                        <a:xfrm>
                          <a:off x="0" y="0"/>
                          <a:ext cx="3110230" cy="7151370"/>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met five times during 2022. In connection with the audit of our consolidated financial statements for the year ended December 31, 2022, the audit committee, among other actions:</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58"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 name="Image221" descr=""/>
                                                <pic:cNvPicPr>
                                                  <a:picLocks noChangeAspect="1" noChangeArrowheads="1"/>
                                                </pic:cNvPicPr>
                                              </pic:nvPicPr>
                                              <pic:blipFill>
                                                <a:blip r:embed="rId222"/>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Reviewed and discussed the Company’s earnings press release, consolidated financial statements and its annual report on Form 10-K, with management and the independent auditor</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59"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 name="Image222" descr=""/>
                                                <pic:cNvPicPr>
                                                  <a:picLocks noChangeAspect="1" noChangeArrowheads="1"/>
                                                </pic:cNvPicPr>
                                              </pic:nvPicPr>
                                              <pic:blipFill>
                                                <a:blip r:embed="rId223"/>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Reviewed with management and the independent auditor management’s assessment of the effectiveness of our internal control </w:t>
                                  </w:r>
                                  <w:r>
                                    <w:rPr>
                                      <w:rFonts w:ascii="Arial;Helvetica;Sans-Serif" w:hAnsi="Arial;Helvetica;Sans-Serif"/>
                                      <w:color w:val="58595B"/>
                                      <w:spacing w:val="-3"/>
                                      <w:sz w:val="18"/>
                                    </w:rPr>
                                    <w:t xml:space="preserve">over </w:t>
                                  </w:r>
                                  <w:r>
                                    <w:rPr>
                                      <w:rFonts w:ascii="Arial;Helvetica;Sans-Serif" w:hAnsi="Arial;Helvetica;Sans-Serif"/>
                                      <w:color w:val="58595B"/>
                                      <w:sz w:val="18"/>
                                    </w:rPr>
                                    <w:t>financial reporting</w:t>
                                  </w:r>
                                </w:p>
                              </w:tc>
                            </w:tr>
                          </w:tbl>
                          <w:p>
                            <w:pPr>
                              <w:pStyle w:val="TextBody"/>
                              <w:rPr>
                                <w:caps w:val="false"/>
                                <w:smallCaps w:val="false"/>
                                <w:color w:val="58595B"/>
                              </w:rPr>
                            </w:pPr>
                            <w:r>
                              <w:rPr>
                                <w:caps w:val="false"/>
                                <w:smallCaps w:val="false"/>
                                <w:color w:val="58595B"/>
                              </w:rPr>
                              <w:t> </w:t>
                            </w:r>
                          </w:p>
                          <w:tbl>
                            <w:tblPr>
                              <w:tblW w:w="8422" w:type="dxa"/>
                              <w:jc w:val="left"/>
                              <w:tblInd w:w="0" w:type="dxa"/>
                              <w:tblCellMar>
                                <w:top w:w="0" w:type="dxa"/>
                                <w:left w:w="0" w:type="dxa"/>
                                <w:bottom w:w="0" w:type="dxa"/>
                                <w:right w:w="0" w:type="dxa"/>
                              </w:tblCellMar>
                            </w:tblPr>
                            <w:tblGrid>
                              <w:gridCol w:w="38"/>
                              <w:gridCol w:w="165"/>
                              <w:gridCol w:w="8219"/>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0"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0" name="Image223" descr=""/>
                                                <pic:cNvPicPr>
                                                  <a:picLocks noChangeAspect="1" noChangeArrowheads="1"/>
                                                </pic:cNvPicPr>
                                              </pic:nvPicPr>
                                              <pic:blipFill>
                                                <a:blip r:embed="rId224"/>
                                                <a:stretch>
                                                  <a:fillRect/>
                                                </a:stretch>
                                              </pic:blipFill>
                                              <pic:spPr bwMode="auto">
                                                <a:xfrm>
                                                  <a:off x="0" y="0"/>
                                                  <a:ext cx="104775" cy="85725"/>
                                                </a:xfrm>
                                                <a:prstGeom prst="rect">
                                                  <a:avLst/>
                                                </a:prstGeom>
                                              </pic:spPr>
                                            </pic:pic>
                                          </a:graphicData>
                                        </a:graphic>
                                      </wp:inline>
                                    </w:drawing>
                                  </w:r>
                                </w:p>
                              </w:tc>
                              <w:tc>
                                <w:tcPr>
                                  <w:tcW w:w="8219" w:type="dxa"/>
                                  <w:tcBorders/>
                                  <w:shd w:fill="auto" w:val="clear"/>
                                  <w:vAlign w:val="center"/>
                                </w:tcPr>
                                <w:p>
                                  <w:pPr>
                                    <w:pStyle w:val="TableContents"/>
                                    <w:spacing w:before="0" w:after="283"/>
                                    <w:jc w:val="left"/>
                                    <w:rPr/>
                                  </w:pPr>
                                  <w:r>
                                    <w:rPr>
                                      <w:rFonts w:ascii="Arial;Helvetica;Sans-Serif" w:hAnsi="Arial;Helvetica;Sans-Serif"/>
                                      <w:color w:val="58595B"/>
                                      <w:spacing w:val="-3"/>
                                      <w:sz w:val="18"/>
                                    </w:rPr>
                                    <w:t xml:space="preserve">Reviewed </w:t>
                                  </w:r>
                                  <w:r>
                                    <w:rPr>
                                      <w:rFonts w:ascii="Arial;Helvetica;Sans-Serif" w:hAnsi="Arial;Helvetica;Sans-Serif"/>
                                      <w:color w:val="58595B"/>
                                      <w:sz w:val="18"/>
                                    </w:rPr>
                                    <w:t>with the independent auditor and management, the audit scope of the independent auditor</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1"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Image224" descr=""/>
                                                <pic:cNvPicPr>
                                                  <a:picLocks noChangeAspect="1" noChangeArrowheads="1"/>
                                                </pic:cNvPicPr>
                                              </pic:nvPicPr>
                                              <pic:blipFill>
                                                <a:blip r:embed="rId225"/>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Inquired about significant risks, reviewed the Company’s policies for risk assessment and risk management and assessed the steps management is taking to control these risks, and</w:t>
                                  </w:r>
                                </w:p>
                              </w:tc>
                            </w:tr>
                          </w:tbl>
                          <w:p>
                            <w:pPr>
                              <w:pStyle w:val="TextBody"/>
                              <w:rPr>
                                <w:caps w:val="false"/>
                                <w:smallCaps w:val="false"/>
                                <w:color w:val="58595B"/>
                              </w:rPr>
                            </w:pPr>
                            <w:r>
                              <w:rPr>
                                <w:caps w:val="false"/>
                                <w:smallCaps w:val="false"/>
                                <w:color w:val="58595B"/>
                              </w:rPr>
                              <w:t> </w:t>
                            </w:r>
                          </w:p>
                          <w:tbl>
                            <w:tblPr>
                              <w:tblW w:w="4603" w:type="dxa"/>
                              <w:jc w:val="left"/>
                              <w:tblInd w:w="0" w:type="dxa"/>
                              <w:tblCellMar>
                                <w:top w:w="0" w:type="dxa"/>
                                <w:left w:w="0" w:type="dxa"/>
                                <w:bottom w:w="0" w:type="dxa"/>
                                <w:right w:w="0" w:type="dxa"/>
                              </w:tblCellMar>
                            </w:tblPr>
                            <w:tblGrid>
                              <w:gridCol w:w="38"/>
                              <w:gridCol w:w="165"/>
                              <w:gridCol w:w="440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2"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 name="Image225" descr=""/>
                                                <pic:cNvPicPr>
                                                  <a:picLocks noChangeAspect="1" noChangeArrowheads="1"/>
                                                </pic:cNvPicPr>
                                              </pic:nvPicPr>
                                              <pic:blipFill>
                                                <a:blip r:embed="rId226"/>
                                                <a:stretch>
                                                  <a:fillRect/>
                                                </a:stretch>
                                              </pic:blipFill>
                                              <pic:spPr bwMode="auto">
                                                <a:xfrm>
                                                  <a:off x="0" y="0"/>
                                                  <a:ext cx="104775" cy="85725"/>
                                                </a:xfrm>
                                                <a:prstGeom prst="rect">
                                                  <a:avLst/>
                                                </a:prstGeom>
                                              </pic:spPr>
                                            </pic:pic>
                                          </a:graphicData>
                                        </a:graphic>
                                      </wp:inline>
                                    </w:drawing>
                                  </w:r>
                                </w:p>
                              </w:tc>
                              <w:tc>
                                <w:tcPr>
                                  <w:tcW w:w="440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Met in executive session with the independent auditor</w:t>
                                  </w:r>
                                </w:p>
                              </w:tc>
                            </w:tr>
                          </w:tbl>
                          <w:p>
                            <w:pPr>
                              <w:pStyle w:val="TextBody"/>
                              <w:rPr>
                                <w:caps w:val="false"/>
                                <w:smallCaps w:val="false"/>
                              </w:rPr>
                            </w:pPr>
                            <w:r>
                              <w:rPr>
                                <w:caps w:val="false"/>
                                <w:smallCaps w:val="false"/>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has reviewed and discussed with management and the independent auditor our 2022 audited consolidated financial statements, and the independent auditor’s report on those financial statements. Management represented to the audit committee that the Company’s financial statements were prepared in accordance with GAAP. Ernst &amp; Young LLP presented the matters required to be discussed with the audit committee by Public Company Accounting Oversight Board (United States) Audit Standard AU Section 380 Communications with Audit Committees and Rule 2-07 of SEC Regulation S-X. This review included a discussion with management and the independent auditor of the quality (not merely the acceptability) of the Company’s accounting principles, the reasonableness of significant estimates and judgments and the disclosures in the Company’s consolidated financial statements and related footnotes, including the disclosures relating to critical accounting policies.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63.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met five times during 2022. In connection with the audit of our consolidated financial statements for the year ended December 31, 2022, the audit committee, among other actions:</w:t>
                      </w:r>
                    </w:p>
                    <w:p>
                      <w:pPr>
                        <w:pStyle w:val="TextBody"/>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3" name="Image2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 name="Image221" descr=""/>
                                          <pic:cNvPicPr>
                                            <a:picLocks noChangeAspect="1" noChangeArrowheads="1"/>
                                          </pic:cNvPicPr>
                                        </pic:nvPicPr>
                                        <pic:blipFill>
                                          <a:blip r:embed="rId222"/>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Reviewed and discussed the Company’s earnings press release, consolidated financial statements and its annual report on Form 10-K, with management and the independent auditor</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4" name="Image2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Image222" descr=""/>
                                          <pic:cNvPicPr>
                                            <a:picLocks noChangeAspect="1" noChangeArrowheads="1"/>
                                          </pic:cNvPicPr>
                                        </pic:nvPicPr>
                                        <pic:blipFill>
                                          <a:blip r:embed="rId223"/>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Reviewed with management and the independent auditor management’s assessment of the effectiveness of our internal control </w:t>
                            </w:r>
                            <w:r>
                              <w:rPr>
                                <w:rFonts w:ascii="Arial;Helvetica;Sans-Serif" w:hAnsi="Arial;Helvetica;Sans-Serif"/>
                                <w:color w:val="58595B"/>
                                <w:spacing w:val="-3"/>
                                <w:sz w:val="18"/>
                              </w:rPr>
                              <w:t xml:space="preserve">over </w:t>
                            </w:r>
                            <w:r>
                              <w:rPr>
                                <w:rFonts w:ascii="Arial;Helvetica;Sans-Serif" w:hAnsi="Arial;Helvetica;Sans-Serif"/>
                                <w:color w:val="58595B"/>
                                <w:sz w:val="18"/>
                              </w:rPr>
                              <w:t>financial reporting</w:t>
                            </w:r>
                          </w:p>
                        </w:tc>
                      </w:tr>
                    </w:tbl>
                    <w:p>
                      <w:pPr>
                        <w:pStyle w:val="TextBody"/>
                        <w:rPr>
                          <w:caps w:val="false"/>
                          <w:smallCaps w:val="false"/>
                          <w:color w:val="58595B"/>
                        </w:rPr>
                      </w:pPr>
                      <w:r>
                        <w:rPr>
                          <w:caps w:val="false"/>
                          <w:smallCaps w:val="false"/>
                          <w:color w:val="58595B"/>
                        </w:rPr>
                        <w:t> </w:t>
                      </w:r>
                    </w:p>
                    <w:tbl>
                      <w:tblPr>
                        <w:tblW w:w="8422" w:type="dxa"/>
                        <w:jc w:val="left"/>
                        <w:tblInd w:w="0" w:type="dxa"/>
                        <w:tblCellMar>
                          <w:top w:w="0" w:type="dxa"/>
                          <w:left w:w="0" w:type="dxa"/>
                          <w:bottom w:w="0" w:type="dxa"/>
                          <w:right w:w="0" w:type="dxa"/>
                        </w:tblCellMar>
                      </w:tblPr>
                      <w:tblGrid>
                        <w:gridCol w:w="38"/>
                        <w:gridCol w:w="165"/>
                        <w:gridCol w:w="8219"/>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5" name="Image2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Image223" descr=""/>
                                          <pic:cNvPicPr>
                                            <a:picLocks noChangeAspect="1" noChangeArrowheads="1"/>
                                          </pic:cNvPicPr>
                                        </pic:nvPicPr>
                                        <pic:blipFill>
                                          <a:blip r:embed="rId224"/>
                                          <a:stretch>
                                            <a:fillRect/>
                                          </a:stretch>
                                        </pic:blipFill>
                                        <pic:spPr bwMode="auto">
                                          <a:xfrm>
                                            <a:off x="0" y="0"/>
                                            <a:ext cx="104775" cy="85725"/>
                                          </a:xfrm>
                                          <a:prstGeom prst="rect">
                                            <a:avLst/>
                                          </a:prstGeom>
                                        </pic:spPr>
                                      </pic:pic>
                                    </a:graphicData>
                                  </a:graphic>
                                </wp:inline>
                              </w:drawing>
                            </w:r>
                          </w:p>
                        </w:tc>
                        <w:tc>
                          <w:tcPr>
                            <w:tcW w:w="8219" w:type="dxa"/>
                            <w:tcBorders/>
                            <w:shd w:fill="auto" w:val="clear"/>
                            <w:vAlign w:val="center"/>
                          </w:tcPr>
                          <w:p>
                            <w:pPr>
                              <w:pStyle w:val="TableContents"/>
                              <w:spacing w:before="0" w:after="283"/>
                              <w:jc w:val="left"/>
                              <w:rPr/>
                            </w:pPr>
                            <w:r>
                              <w:rPr>
                                <w:rFonts w:ascii="Arial;Helvetica;Sans-Serif" w:hAnsi="Arial;Helvetica;Sans-Serif"/>
                                <w:color w:val="58595B"/>
                                <w:spacing w:val="-3"/>
                                <w:sz w:val="18"/>
                              </w:rPr>
                              <w:t xml:space="preserve">Reviewed </w:t>
                            </w:r>
                            <w:r>
                              <w:rPr>
                                <w:rFonts w:ascii="Arial;Helvetica;Sans-Serif" w:hAnsi="Arial;Helvetica;Sans-Serif"/>
                                <w:color w:val="58595B"/>
                                <w:sz w:val="18"/>
                              </w:rPr>
                              <w:t>with the independent auditor and management, the audit scope of the independent auditor</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165"/>
                        <w:gridCol w:w="10002"/>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6" name="Image2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Image224" descr=""/>
                                          <pic:cNvPicPr>
                                            <a:picLocks noChangeAspect="1" noChangeArrowheads="1"/>
                                          </pic:cNvPicPr>
                                        </pic:nvPicPr>
                                        <pic:blipFill>
                                          <a:blip r:embed="rId225"/>
                                          <a:stretch>
                                            <a:fillRect/>
                                          </a:stretch>
                                        </pic:blipFill>
                                        <pic:spPr bwMode="auto">
                                          <a:xfrm>
                                            <a:off x="0" y="0"/>
                                            <a:ext cx="104775" cy="85725"/>
                                          </a:xfrm>
                                          <a:prstGeom prst="rect">
                                            <a:avLst/>
                                          </a:prstGeom>
                                        </pic:spPr>
                                      </pic:pic>
                                    </a:graphicData>
                                  </a:graphic>
                                </wp:inline>
                              </w:drawing>
                            </w:r>
                          </w:p>
                        </w:tc>
                        <w:tc>
                          <w:tcPr>
                            <w:tcW w:w="10002"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Inquired about significant risks, reviewed the Company’s policies for risk assessment and risk management and assessed the steps management is taking to control these risks, and</w:t>
                            </w:r>
                          </w:p>
                        </w:tc>
                      </w:tr>
                    </w:tbl>
                    <w:p>
                      <w:pPr>
                        <w:pStyle w:val="TextBody"/>
                        <w:rPr>
                          <w:caps w:val="false"/>
                          <w:smallCaps w:val="false"/>
                          <w:color w:val="58595B"/>
                        </w:rPr>
                      </w:pPr>
                      <w:r>
                        <w:rPr>
                          <w:caps w:val="false"/>
                          <w:smallCaps w:val="false"/>
                          <w:color w:val="58595B"/>
                        </w:rPr>
                        <w:t> </w:t>
                      </w:r>
                    </w:p>
                    <w:tbl>
                      <w:tblPr>
                        <w:tblW w:w="4603" w:type="dxa"/>
                        <w:jc w:val="left"/>
                        <w:tblInd w:w="0" w:type="dxa"/>
                        <w:tblCellMar>
                          <w:top w:w="0" w:type="dxa"/>
                          <w:left w:w="0" w:type="dxa"/>
                          <w:bottom w:w="0" w:type="dxa"/>
                          <w:right w:w="0" w:type="dxa"/>
                        </w:tblCellMar>
                      </w:tblPr>
                      <w:tblGrid>
                        <w:gridCol w:w="38"/>
                        <w:gridCol w:w="165"/>
                        <w:gridCol w:w="440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67" name="Image2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 name="Image225" descr=""/>
                                          <pic:cNvPicPr>
                                            <a:picLocks noChangeAspect="1" noChangeArrowheads="1"/>
                                          </pic:cNvPicPr>
                                        </pic:nvPicPr>
                                        <pic:blipFill>
                                          <a:blip r:embed="rId226"/>
                                          <a:stretch>
                                            <a:fillRect/>
                                          </a:stretch>
                                        </pic:blipFill>
                                        <pic:spPr bwMode="auto">
                                          <a:xfrm>
                                            <a:off x="0" y="0"/>
                                            <a:ext cx="104775" cy="85725"/>
                                          </a:xfrm>
                                          <a:prstGeom prst="rect">
                                            <a:avLst/>
                                          </a:prstGeom>
                                        </pic:spPr>
                                      </pic:pic>
                                    </a:graphicData>
                                  </a:graphic>
                                </wp:inline>
                              </w:drawing>
                            </w:r>
                          </w:p>
                        </w:tc>
                        <w:tc>
                          <w:tcPr>
                            <w:tcW w:w="440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Met in executive session with the independent auditor</w:t>
                            </w:r>
                          </w:p>
                        </w:tc>
                      </w:tr>
                    </w:tbl>
                    <w:p>
                      <w:pPr>
                        <w:pStyle w:val="TextBody"/>
                        <w:rPr>
                          <w:caps w:val="false"/>
                          <w:smallCaps w:val="false"/>
                        </w:rPr>
                      </w:pPr>
                      <w:r>
                        <w:rPr>
                          <w:caps w:val="false"/>
                          <w:smallCaps w:val="false"/>
                        </w:rPr>
                        <w:t> </w:t>
                      </w:r>
                    </w:p>
                    <w:p>
                      <w:pPr>
                        <w:pStyle w:val="TextBody"/>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has reviewed and discussed with management and the independent auditor our 2022 audited consolidated financial statements, and the independent auditor’s report on those financial statements. Management represented to the audit committee that the Company’s financial statements were prepared in accordance with GAAP. Ernst &amp; Young LLP presented the matters required to be discussed with the audit committee by Public Company Accounting Oversight Board (United States) Audit Standard AU Section 380 Communications with Audit Committees and Rule 2-07 of SEC Regulation S-X. This review included a discussion with management and the independent auditor of the quality (not merely the acceptability) of the Company’s accounting principles, the reasonableness of significant estimates and judgments and the disclosures in the Company’s consolidated financial statements and related footnotes, including the disclosures relating to critical accounting policies.</w:t>
                      </w:r>
                    </w:p>
                  </w:txbxContent>
                </v:textbox>
                <w10:wrap type="square" side="left"/>
              </v:rect>
            </w:pict>
          </mc:Fallback>
        </mc:AlternateContent>
      </w:r>
      <w:r>
        <mc:AlternateContent>
          <mc:Choice Requires="wps">
            <w:drawing>
              <wp:anchor behindDoc="0" distT="0" distB="0" distL="0" distR="0" simplePos="0" locked="0" layoutInCell="1" allowOverlap="1" relativeHeight="213">
                <wp:simplePos x="0" y="0"/>
                <wp:positionH relativeFrom="column">
                  <wp:align>left</wp:align>
                </wp:positionH>
                <wp:positionV relativeFrom="line">
                  <wp:posOffset>635</wp:posOffset>
                </wp:positionV>
                <wp:extent cx="3110230" cy="7085330"/>
                <wp:effectExtent l="0" t="0" r="0" b="0"/>
                <wp:wrapSquare wrapText="largest"/>
                <wp:docPr id="468" name="Frame80"/>
                <a:graphic xmlns:a="http://schemas.openxmlformats.org/drawingml/2006/main">
                  <a:graphicData uri="http://schemas.microsoft.com/office/word/2010/wordprocessingShape">
                    <wps:wsp>
                      <wps:cNvSpPr txBox="1"/>
                      <wps:spPr>
                        <a:xfrm>
                          <a:off x="0" y="0"/>
                          <a:ext cx="3110230" cy="7085330"/>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audit committee operates under a written charter adopted by the Board. It is available on our website at </w:t>
                            </w:r>
                            <w:r>
                              <w:rPr>
                                <w:rFonts w:ascii="Arial;Helvetica;Sans-Serif" w:hAnsi="Arial;Helvetica;Sans-Serif"/>
                                <w:b w:val="false"/>
                                <w:i w:val="false"/>
                                <w:caps w:val="false"/>
                                <w:smallCaps w:val="false"/>
                                <w:color w:val="58595B"/>
                                <w:spacing w:val="-5"/>
                                <w:sz w:val="18"/>
                              </w:rPr>
                              <w:t xml:space="preserve">https://investor. </w:t>
                            </w:r>
                            <w:r>
                              <w:rPr>
                                <w:rFonts w:ascii="Arial;Helvetica;Sans-Serif" w:hAnsi="Arial;Helvetica;Sans-Serif"/>
                                <w:b w:val="false"/>
                                <w:i w:val="false"/>
                                <w:caps w:val="false"/>
                                <w:smallCaps w:val="false"/>
                                <w:color w:val="58595B"/>
                                <w:sz w:val="18"/>
                              </w:rPr>
                              <w:t>FLEETCOR.com under Corporate Governance. The audit committee reviews the charter annually.</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Board reviews annually the </w:t>
                            </w:r>
                            <w:r>
                              <w:rPr>
                                <w:rFonts w:ascii="Arial;Helvetica;Sans-Serif" w:hAnsi="Arial;Helvetica;Sans-Serif"/>
                                <w:b w:val="false"/>
                                <w:i w:val="false"/>
                                <w:caps w:val="false"/>
                                <w:smallCaps w:val="false"/>
                                <w:color w:val="58595B"/>
                                <w:spacing w:val="-3"/>
                                <w:sz w:val="18"/>
                              </w:rPr>
                              <w:t>NYSE’s</w:t>
                            </w:r>
                            <w:r>
                              <w:rPr>
                                <w:rFonts w:ascii="Arial;Helvetica;Sans-Serif" w:hAnsi="Arial;Helvetica;Sans-Serif"/>
                                <w:b w:val="false"/>
                                <w:i w:val="false"/>
                                <w:caps w:val="false"/>
                                <w:smallCaps w:val="false"/>
                                <w:color w:val="58595B"/>
                                <w:sz w:val="18"/>
                              </w:rPr>
                              <w:t xml:space="preserve"> listing standards definition of independence for audit committee members to determine that each member of the audit committee meets the standards. The Board has determined that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Macchia is an “audit committee financial expert” as defined by SEC rules.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Board has the ultimate authority for effective corporate governance, including oversight of management. The audit committee assists the Board in fulfilling its responsibilities by overseeing the Company’s accounting and financial reporting processes, the audits of the Company’s consolidated financial statements and internal control </w:t>
                            </w:r>
                            <w:r>
                              <w:rPr>
                                <w:rFonts w:ascii="Arial;Helvetica;Sans-Serif" w:hAnsi="Arial;Helvetica;Sans-Serif"/>
                                <w:b w:val="false"/>
                                <w:i w:val="false"/>
                                <w:caps w:val="false"/>
                                <w:smallCaps w:val="false"/>
                                <w:color w:val="58595B"/>
                                <w:spacing w:val="-3"/>
                                <w:sz w:val="18"/>
                              </w:rPr>
                              <w:t xml:space="preserve">over </w:t>
                            </w:r>
                            <w:r>
                              <w:rPr>
                                <w:rFonts w:ascii="Arial;Helvetica;Sans-Serif" w:hAnsi="Arial;Helvetica;Sans-Serif"/>
                                <w:b w:val="false"/>
                                <w:i w:val="false"/>
                                <w:caps w:val="false"/>
                                <w:smallCaps w:val="false"/>
                                <w:color w:val="58595B"/>
                                <w:sz w:val="18"/>
                              </w:rPr>
                              <w:t>financial reporting, the qualifications and performance of the independent registered public accounting firm engaged as the Company’s independent auditor, and the performance of the Company’s internal audit function.</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audit committee relies on the expertise and knowledge of management, the internal audit function and the independent auditor in carrying out its oversight responsibilities. Management is responsible for the preparation, presentation, and integrity of the Company’s consolidated financial statements, accounting and financial reporting principles, internal control </w:t>
                            </w:r>
                            <w:r>
                              <w:rPr>
                                <w:rFonts w:ascii="Arial;Helvetica;Sans-Serif" w:hAnsi="Arial;Helvetica;Sans-Serif"/>
                                <w:b w:val="false"/>
                                <w:i w:val="false"/>
                                <w:caps w:val="false"/>
                                <w:smallCaps w:val="false"/>
                                <w:color w:val="58595B"/>
                                <w:spacing w:val="-3"/>
                                <w:sz w:val="18"/>
                              </w:rPr>
                              <w:t xml:space="preserve">over </w:t>
                            </w:r>
                            <w:r>
                              <w:rPr>
                                <w:rFonts w:ascii="Arial;Helvetica;Sans-Serif" w:hAnsi="Arial;Helvetica;Sans-Serif"/>
                                <w:b w:val="false"/>
                                <w:i w:val="false"/>
                                <w:caps w:val="false"/>
                                <w:smallCaps w:val="false"/>
                                <w:color w:val="58595B"/>
                                <w:sz w:val="18"/>
                              </w:rPr>
                              <w:t xml:space="preserve">financial reporting, and disclosure controls and procedures designed to ensure compliance with accounting standards, applicable laws and regulations. Management is responsible for objectively reviewing and evaluating the adequacy, effectiveness and quality of the Company’s system of internal control. Ernst &amp; </w:t>
                            </w:r>
                            <w:r>
                              <w:rPr>
                                <w:rFonts w:ascii="Arial;Helvetica;Sans-Serif" w:hAnsi="Arial;Helvetica;Sans-Serif"/>
                                <w:b w:val="false"/>
                                <w:i w:val="false"/>
                                <w:caps w:val="false"/>
                                <w:smallCaps w:val="false"/>
                                <w:color w:val="58595B"/>
                                <w:spacing w:val="-5"/>
                                <w:sz w:val="18"/>
                              </w:rPr>
                              <w:t xml:space="preserve">Young LLP, </w:t>
                            </w:r>
                            <w:r>
                              <w:rPr>
                                <w:rFonts w:ascii="Arial;Helvetica;Sans-Serif" w:hAnsi="Arial;Helvetica;Sans-Serif"/>
                                <w:b w:val="false"/>
                                <w:i w:val="false"/>
                                <w:caps w:val="false"/>
                                <w:smallCaps w:val="false"/>
                                <w:color w:val="58595B"/>
                                <w:sz w:val="18"/>
                              </w:rPr>
                              <w:t>our independent auditor, is responsible for performing an independent audit of the consolidated financial statements and expressing an opinion on the conformity of those financial statements with GAAP. The independent auditor also is responsible for expressing an opinion on the effectiveness of our internal control over financial reporting.</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7.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Our audit committee operates under a written charter adopted by the Board. It is available on our website at </w:t>
                      </w:r>
                      <w:r>
                        <w:rPr>
                          <w:rFonts w:ascii="Arial;Helvetica;Sans-Serif" w:hAnsi="Arial;Helvetica;Sans-Serif"/>
                          <w:b w:val="false"/>
                          <w:i w:val="false"/>
                          <w:caps w:val="false"/>
                          <w:smallCaps w:val="false"/>
                          <w:color w:val="58595B"/>
                          <w:spacing w:val="-5"/>
                          <w:sz w:val="18"/>
                        </w:rPr>
                        <w:t xml:space="preserve">https://investor. </w:t>
                      </w:r>
                      <w:r>
                        <w:rPr>
                          <w:rFonts w:ascii="Arial;Helvetica;Sans-Serif" w:hAnsi="Arial;Helvetica;Sans-Serif"/>
                          <w:b w:val="false"/>
                          <w:i w:val="false"/>
                          <w:caps w:val="false"/>
                          <w:smallCaps w:val="false"/>
                          <w:color w:val="58595B"/>
                          <w:sz w:val="18"/>
                        </w:rPr>
                        <w:t>FLEETCOR.com under Corporate Governance. The audit committee reviews the charter annually.</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Board reviews annually the </w:t>
                      </w:r>
                      <w:r>
                        <w:rPr>
                          <w:rFonts w:ascii="Arial;Helvetica;Sans-Serif" w:hAnsi="Arial;Helvetica;Sans-Serif"/>
                          <w:b w:val="false"/>
                          <w:i w:val="false"/>
                          <w:caps w:val="false"/>
                          <w:smallCaps w:val="false"/>
                          <w:color w:val="58595B"/>
                          <w:spacing w:val="-3"/>
                          <w:sz w:val="18"/>
                        </w:rPr>
                        <w:t>NYSE’s</w:t>
                      </w:r>
                      <w:r>
                        <w:rPr>
                          <w:rFonts w:ascii="Arial;Helvetica;Sans-Serif" w:hAnsi="Arial;Helvetica;Sans-Serif"/>
                          <w:b w:val="false"/>
                          <w:i w:val="false"/>
                          <w:caps w:val="false"/>
                          <w:smallCaps w:val="false"/>
                          <w:color w:val="58595B"/>
                          <w:sz w:val="18"/>
                        </w:rPr>
                        <w:t xml:space="preserve"> listing standards definition of independence for audit committee members to determine that each member of the audit committee meets the standards. The Board has determined that </w:t>
                      </w:r>
                      <w:r>
                        <w:rPr>
                          <w:rFonts w:ascii="Arial;Helvetica;Sans-Serif" w:hAnsi="Arial;Helvetica;Sans-Serif"/>
                          <w:b w:val="false"/>
                          <w:i w:val="false"/>
                          <w:caps w:val="false"/>
                          <w:smallCaps w:val="false"/>
                          <w:color w:val="58595B"/>
                          <w:spacing w:val="-4"/>
                          <w:sz w:val="18"/>
                        </w:rPr>
                        <w:t xml:space="preserve">Mr. </w:t>
                      </w:r>
                      <w:r>
                        <w:rPr>
                          <w:rFonts w:ascii="Arial;Helvetica;Sans-Serif" w:hAnsi="Arial;Helvetica;Sans-Serif"/>
                          <w:b w:val="false"/>
                          <w:i w:val="false"/>
                          <w:caps w:val="false"/>
                          <w:smallCaps w:val="false"/>
                          <w:color w:val="58595B"/>
                          <w:sz w:val="18"/>
                        </w:rPr>
                        <w:t>Macchia is an “audit committee financial expert” as defined by SEC rules.</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Board has the ultimate authority for effective corporate governance, including oversight of management. The audit committee assists the Board in fulfilling its responsibilities by overseeing the Company’s accounting and financial reporting processes, the audits of the Company’s consolidated financial statements and internal control </w:t>
                      </w:r>
                      <w:r>
                        <w:rPr>
                          <w:rFonts w:ascii="Arial;Helvetica;Sans-Serif" w:hAnsi="Arial;Helvetica;Sans-Serif"/>
                          <w:b w:val="false"/>
                          <w:i w:val="false"/>
                          <w:caps w:val="false"/>
                          <w:smallCaps w:val="false"/>
                          <w:color w:val="58595B"/>
                          <w:spacing w:val="-3"/>
                          <w:sz w:val="18"/>
                        </w:rPr>
                        <w:t xml:space="preserve">over </w:t>
                      </w:r>
                      <w:r>
                        <w:rPr>
                          <w:rFonts w:ascii="Arial;Helvetica;Sans-Serif" w:hAnsi="Arial;Helvetica;Sans-Serif"/>
                          <w:b w:val="false"/>
                          <w:i w:val="false"/>
                          <w:caps w:val="false"/>
                          <w:smallCaps w:val="false"/>
                          <w:color w:val="58595B"/>
                          <w:sz w:val="18"/>
                        </w:rPr>
                        <w:t>financial reporting, the qualifications and performance of the independent registered public accounting firm engaged as the Company’s independent auditor, and the performance of the Company’s internal audit function.</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audit committee relies on the expertise and knowledge of management, the internal audit function and the independent auditor in carrying out its oversight responsibilities. Management is responsible for the preparation, presentation, and integrity of the Company’s consolidated financial statements, accounting and financial reporting principles, internal control </w:t>
                      </w:r>
                      <w:r>
                        <w:rPr>
                          <w:rFonts w:ascii="Arial;Helvetica;Sans-Serif" w:hAnsi="Arial;Helvetica;Sans-Serif"/>
                          <w:b w:val="false"/>
                          <w:i w:val="false"/>
                          <w:caps w:val="false"/>
                          <w:smallCaps w:val="false"/>
                          <w:color w:val="58595B"/>
                          <w:spacing w:val="-3"/>
                          <w:sz w:val="18"/>
                        </w:rPr>
                        <w:t xml:space="preserve">over </w:t>
                      </w:r>
                      <w:r>
                        <w:rPr>
                          <w:rFonts w:ascii="Arial;Helvetica;Sans-Serif" w:hAnsi="Arial;Helvetica;Sans-Serif"/>
                          <w:b w:val="false"/>
                          <w:i w:val="false"/>
                          <w:caps w:val="false"/>
                          <w:smallCaps w:val="false"/>
                          <w:color w:val="58595B"/>
                          <w:sz w:val="18"/>
                        </w:rPr>
                        <w:t xml:space="preserve">financial reporting, and disclosure controls and procedures designed to ensure compliance with accounting standards, applicable laws and regulations. Management is responsible for objectively reviewing and evaluating the adequacy, effectiveness and quality of the Company’s system of internal control. Ernst &amp; </w:t>
                      </w:r>
                      <w:r>
                        <w:rPr>
                          <w:rFonts w:ascii="Arial;Helvetica;Sans-Serif" w:hAnsi="Arial;Helvetica;Sans-Serif"/>
                          <w:b w:val="false"/>
                          <w:i w:val="false"/>
                          <w:caps w:val="false"/>
                          <w:smallCaps w:val="false"/>
                          <w:color w:val="58595B"/>
                          <w:spacing w:val="-5"/>
                          <w:sz w:val="18"/>
                        </w:rPr>
                        <w:t xml:space="preserve">Young LLP, </w:t>
                      </w:r>
                      <w:r>
                        <w:rPr>
                          <w:rFonts w:ascii="Arial;Helvetica;Sans-Serif" w:hAnsi="Arial;Helvetica;Sans-Serif"/>
                          <w:b w:val="false"/>
                          <w:i w:val="false"/>
                          <w:caps w:val="false"/>
                          <w:smallCaps w:val="false"/>
                          <w:color w:val="58595B"/>
                          <w:sz w:val="18"/>
                        </w:rPr>
                        <w:t>our independent auditor, is responsible for performing an independent audit of the consolidated financial statements and expressing an opinion on the conformity of those financial statements with GAAP. The independent auditor also is responsible for expressing an opinion on the effectiveness of our internal control over financial reporting.</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p>
    <w:p>
      <w:pPr>
        <w:pStyle w:val="TextBody"/>
        <w:rPr/>
      </w:pPr>
      <w:r>
        <w:rPr/>
      </w:r>
    </w:p>
    <w:p>
      <w:pPr>
        <w:pStyle w:val="TextBody"/>
        <w:rPr>
          <w:caps w:val="false"/>
          <w:smallCaps w:val="false"/>
          <w:color w:val="58595B"/>
        </w:rPr>
      </w:pPr>
      <w:r>
        <w:rPr>
          <w:caps w:val="false"/>
          <w:smallCaps w:val="false"/>
          <w:color w:val="58595B"/>
        </w:rPr>
        <w:t> </w:t>
      </w:r>
    </w:p>
    <w:tbl>
      <w:tblPr>
        <w:tblW w:w="3853" w:type="dxa"/>
        <w:jc w:val="left"/>
        <w:tblInd w:w="0" w:type="dxa"/>
        <w:tblCellMar>
          <w:top w:w="0" w:type="dxa"/>
          <w:left w:w="0" w:type="dxa"/>
          <w:bottom w:w="0" w:type="dxa"/>
          <w:right w:w="0" w:type="dxa"/>
        </w:tblCellMar>
      </w:tblPr>
      <w:tblGrid>
        <w:gridCol w:w="215"/>
        <w:gridCol w:w="3638"/>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58</w:t>
            </w:r>
          </w:p>
        </w:tc>
        <w:tc>
          <w:tcPr>
            <w:tcW w:w="3638"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 xml:space="preserve">2023 Notice of Annual Meeting &amp; </w:t>
            </w:r>
            <w:r>
              <w:rPr>
                <w:rFonts w:ascii="Arial;Helvetica;Sans-Serif" w:hAnsi="Arial;Helvetica;Sans-Serif"/>
                <w:spacing w:val="-3"/>
                <w:sz w:val="16"/>
              </w:rPr>
              <w:t xml:space="preserve">Proxy </w:t>
            </w:r>
            <w:r>
              <w:rPr>
                <w:rFonts w:ascii="Arial;Helvetica;Sans-Serif" w:hAnsi="Arial;Helvetica;Sans-Serif"/>
                <w:sz w:val="16"/>
              </w:rPr>
              <w:t>Statement</w:t>
            </w:r>
          </w:p>
        </w:tc>
      </w:tr>
    </w:tbl>
    <w:p>
      <w:pPr>
        <w:pStyle w:val="TextBody"/>
        <w:rPr>
          <w:caps w:val="false"/>
          <w:smallCaps w:val="false"/>
          <w:color w:val="58595B"/>
        </w:rPr>
      </w:pPr>
      <w:r>
        <w:rPr>
          <w:caps w:val="false"/>
          <w:smallCaps w:val="false"/>
          <w:color w:val="58595B"/>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Times New Roman;Times;Serif" w:hAnsi="Times New Roman;Times;Serif"/>
          <w:b w:val="false"/>
          <w:i w:val="false"/>
          <w:caps w:val="false"/>
          <w:smallCaps w:val="false"/>
          <w:sz w:val="20"/>
        </w:rPr>
      </w:pPr>
      <w:r>
        <w:rPr>
          <w:rFonts w:ascii="Arial;Helvetica;Sans-Serif" w:hAnsi="Arial;Helvetica;Sans-Serif"/>
          <w:b/>
          <w:i w:val="false"/>
          <w:caps w:val="false"/>
          <w:smallCaps w:val="false"/>
          <w:color w:val="231F20"/>
          <w:sz w:val="20"/>
        </w:rPr>
        <w:t xml:space="preserve">15. </w:t>
      </w:r>
      <w:r>
        <w:rPr>
          <w:rFonts w:ascii="Arial;Helvetica;Sans-Serif" w:hAnsi="Arial;Helvetica;Sans-Serif"/>
          <w:b w:val="false"/>
          <w:i w:val="false"/>
          <w:caps w:val="false"/>
          <w:smallCaps w:val="false"/>
          <w:color w:val="EE0027"/>
          <w:sz w:val="20"/>
        </w:rPr>
        <w:t>AUDIT COMMITTEE REPORT</w:t>
      </w:r>
    </w:p>
    <w:p>
      <w:pPr>
        <w:pStyle w:val="TextBody"/>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89">
                <wp:simplePos x="0" y="0"/>
                <wp:positionH relativeFrom="column">
                  <wp:align>right</wp:align>
                </wp:positionH>
                <wp:positionV relativeFrom="line">
                  <wp:posOffset>635</wp:posOffset>
                </wp:positionV>
                <wp:extent cx="3110230" cy="5356225"/>
                <wp:effectExtent l="0" t="0" r="0" b="0"/>
                <wp:wrapSquare wrapText="largest"/>
                <wp:docPr id="469" name="Frame83"/>
                <a:graphic xmlns:a="http://schemas.openxmlformats.org/drawingml/2006/main">
                  <a:graphicData uri="http://schemas.microsoft.com/office/word/2010/wordprocessingShape">
                    <wps:wsp>
                      <wps:cNvSpPr txBox="1"/>
                      <wps:spPr>
                        <a:xfrm>
                          <a:off x="0" y="0"/>
                          <a:ext cx="3110230" cy="5356225"/>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also evaluates the selection of the lead audit partner, including their qualifications and performance, most recently appointing the current lead audit partner for the first time in 2019 after consultation with EY concerning several possible candidates. In connection with the pending expiration of the term of the lead audit partner, the audit committee began discussions during 2022 about the selection of a new lead audit partner for 2024, assuming EY continues to serve as the Company’s independent auditor.</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Based on the criteria described above, the audit committee recommended to the Board that the audited consolidated financial statements be included in the Company’s Annual Report on </w:t>
                            </w:r>
                            <w:r>
                              <w:rPr>
                                <w:rFonts w:ascii="Arial;Helvetica;Sans-Serif" w:hAnsi="Arial;Helvetica;Sans-Serif"/>
                                <w:b w:val="false"/>
                                <w:i w:val="false"/>
                                <w:caps w:val="false"/>
                                <w:smallCaps w:val="false"/>
                                <w:color w:val="58595B"/>
                                <w:spacing w:val="-3"/>
                                <w:sz w:val="18"/>
                              </w:rPr>
                              <w:t>Form</w:t>
                            </w:r>
                            <w:r>
                              <w:rPr>
                                <w:rFonts w:ascii="Arial;Helvetica;Sans-Serif" w:hAnsi="Arial;Helvetica;Sans-Serif"/>
                                <w:b w:val="false"/>
                                <w:i w:val="false"/>
                                <w:caps w:val="false"/>
                                <w:smallCaps w:val="false"/>
                                <w:color w:val="58595B"/>
                                <w:sz w:val="18"/>
                              </w:rPr>
                              <w:t xml:space="preserve"> 10-K for the year ended December 31, 2022, for filing with the SEC. Also, based on the criteria described above, the audit committee has selected Ernst &amp; </w:t>
                            </w:r>
                            <w:r>
                              <w:rPr>
                                <w:rFonts w:ascii="Arial;Helvetica;Sans-Serif" w:hAnsi="Arial;Helvetica;Sans-Serif"/>
                                <w:b w:val="false"/>
                                <w:i w:val="false"/>
                                <w:caps w:val="false"/>
                                <w:smallCaps w:val="false"/>
                                <w:color w:val="58595B"/>
                                <w:spacing w:val="-5"/>
                                <w:sz w:val="18"/>
                              </w:rPr>
                              <w:t xml:space="preserve">Young </w:t>
                            </w:r>
                            <w:r>
                              <w:rPr>
                                <w:rFonts w:ascii="Arial;Helvetica;Sans-Serif" w:hAnsi="Arial;Helvetica;Sans-Serif"/>
                                <w:b w:val="false"/>
                                <w:i w:val="false"/>
                                <w:caps w:val="false"/>
                                <w:smallCaps w:val="false"/>
                                <w:color w:val="58595B"/>
                                <w:sz w:val="18"/>
                              </w:rPr>
                              <w:t>LLP as the independent registered public accounting firm for fiscal year 2023 subject to shareholder ratification. The Board is recommending that shareholders ratify this selection at the annual meeting.</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154" w:name="a090"/>
                            <w:bookmarkEnd w:id="154"/>
                            <w:r>
                              <w:rPr>
                                <w:rFonts w:ascii="Arial;Helvetica;Sans-Serif" w:hAnsi="Arial;Helvetica;Sans-Serif"/>
                                <w:b/>
                                <w:i w:val="false"/>
                                <w:caps w:val="false"/>
                                <w:smallCaps w:val="false"/>
                                <w:color w:val="231F20"/>
                                <w:sz w:val="18"/>
                              </w:rPr>
                              <w:t>Audit Committee</w:t>
                            </w:r>
                          </w:p>
                          <w:p>
                            <w:pPr>
                              <w:pStyle w:val="TextBody"/>
                              <w:rPr>
                                <w:caps w:val="false"/>
                                <w:smallCaps w:val="false"/>
                                <w:color w:val="231F20"/>
                              </w:rPr>
                            </w:pPr>
                            <w:r>
                              <w:rPr>
                                <w:caps w:val="false"/>
                                <w:smallCaps w:val="false"/>
                                <w:color w:val="231F20"/>
                              </w:rPr>
                              <w:t> </w:t>
                            </w:r>
                          </w:p>
                          <w:tbl>
                            <w:tblPr>
                              <w:tblW w:w="2233" w:type="dxa"/>
                              <w:jc w:val="left"/>
                              <w:tblInd w:w="0" w:type="dxa"/>
                              <w:tblCellMar>
                                <w:top w:w="0" w:type="dxa"/>
                                <w:left w:w="0" w:type="dxa"/>
                                <w:bottom w:w="0" w:type="dxa"/>
                                <w:right w:w="0" w:type="dxa"/>
                              </w:tblCellMar>
                            </w:tblPr>
                            <w:tblGrid>
                              <w:gridCol w:w="38"/>
                              <w:gridCol w:w="165"/>
                              <w:gridCol w:w="203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70"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 name="Image226" descr=""/>
                                                <pic:cNvPicPr>
                                                  <a:picLocks noChangeAspect="1" noChangeArrowheads="1"/>
                                                </pic:cNvPicPr>
                                              </pic:nvPicPr>
                                              <pic:blipFill>
                                                <a:blip r:embed="rId227"/>
                                                <a:stretch>
                                                  <a:fillRect/>
                                                </a:stretch>
                                              </pic:blipFill>
                                              <pic:spPr bwMode="auto">
                                                <a:xfrm>
                                                  <a:off x="0" y="0"/>
                                                  <a:ext cx="104775" cy="85725"/>
                                                </a:xfrm>
                                                <a:prstGeom prst="rect">
                                                  <a:avLst/>
                                                </a:prstGeom>
                                              </pic:spPr>
                                            </pic:pic>
                                          </a:graphicData>
                                        </a:graphic>
                                      </wp:inline>
                                    </w:drawing>
                                  </w:r>
                                </w:p>
                              </w:tc>
                              <w:tc>
                                <w:tcPr>
                                  <w:tcW w:w="203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Richard Macchia (Chair)</w:t>
                                  </w:r>
                                </w:p>
                              </w:tc>
                            </w:tr>
                          </w:tbl>
                          <w:tbl>
                            <w:tblPr>
                              <w:tblW w:w="1693" w:type="dxa"/>
                              <w:jc w:val="left"/>
                              <w:tblInd w:w="0" w:type="dxa"/>
                              <w:tblCellMar>
                                <w:top w:w="0" w:type="dxa"/>
                                <w:left w:w="0" w:type="dxa"/>
                                <w:bottom w:w="0" w:type="dxa"/>
                                <w:right w:w="0" w:type="dxa"/>
                              </w:tblCellMar>
                            </w:tblPr>
                            <w:tblGrid>
                              <w:gridCol w:w="38"/>
                              <w:gridCol w:w="165"/>
                              <w:gridCol w:w="14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71"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 name="Image227" descr=""/>
                                                <pic:cNvPicPr>
                                                  <a:picLocks noChangeAspect="1" noChangeArrowheads="1"/>
                                                </pic:cNvPicPr>
                                              </pic:nvPicPr>
                                              <pic:blipFill>
                                                <a:blip r:embed="rId228"/>
                                                <a:stretch>
                                                  <a:fillRect/>
                                                </a:stretch>
                                              </pic:blipFill>
                                              <pic:spPr bwMode="auto">
                                                <a:xfrm>
                                                  <a:off x="0" y="0"/>
                                                  <a:ext cx="104775" cy="85725"/>
                                                </a:xfrm>
                                                <a:prstGeom prst="rect">
                                                  <a:avLst/>
                                                </a:prstGeom>
                                              </pic:spPr>
                                            </pic:pic>
                                          </a:graphicData>
                                        </a:graphic>
                                      </wp:inline>
                                    </w:drawing>
                                  </w:r>
                                </w:p>
                              </w:tc>
                              <w:tc>
                                <w:tcPr>
                                  <w:tcW w:w="14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Michael Buckman</w:t>
                                  </w:r>
                                </w:p>
                              </w:tc>
                            </w:tr>
                          </w:tbl>
                          <w:tbl>
                            <w:tblPr>
                              <w:tblW w:w="1678" w:type="dxa"/>
                              <w:jc w:val="left"/>
                              <w:tblInd w:w="0" w:type="dxa"/>
                              <w:tblCellMar>
                                <w:top w:w="0" w:type="dxa"/>
                                <w:left w:w="0" w:type="dxa"/>
                                <w:bottom w:w="0" w:type="dxa"/>
                                <w:right w:w="0" w:type="dxa"/>
                              </w:tblCellMar>
                            </w:tblPr>
                            <w:tblGrid>
                              <w:gridCol w:w="38"/>
                              <w:gridCol w:w="165"/>
                              <w:gridCol w:w="14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72"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2" name="Image228" descr=""/>
                                                <pic:cNvPicPr>
                                                  <a:picLocks noChangeAspect="1" noChangeArrowheads="1"/>
                                                </pic:cNvPicPr>
                                              </pic:nvPicPr>
                                              <pic:blipFill>
                                                <a:blip r:embed="rId229"/>
                                                <a:stretch>
                                                  <a:fillRect/>
                                                </a:stretch>
                                              </pic:blipFill>
                                              <pic:spPr bwMode="auto">
                                                <a:xfrm>
                                                  <a:off x="0" y="0"/>
                                                  <a:ext cx="104775" cy="85725"/>
                                                </a:xfrm>
                                                <a:prstGeom prst="rect">
                                                  <a:avLst/>
                                                </a:prstGeom>
                                              </pic:spPr>
                                            </pic:pic>
                                          </a:graphicData>
                                        </a:graphic>
                                      </wp:inline>
                                    </w:drawing>
                                  </w:r>
                                </w:p>
                              </w:tc>
                              <w:tc>
                                <w:tcPr>
                                  <w:tcW w:w="14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Archie </w:t>
                                  </w:r>
                                  <w:r>
                                    <w:rPr>
                                      <w:rFonts w:ascii="Arial;Helvetica;Sans-Serif" w:hAnsi="Arial;Helvetica;Sans-Serif"/>
                                      <w:color w:val="58595B"/>
                                      <w:sz w:val="20"/>
                                    </w:rPr>
                                    <w:t>Jones, Jr.</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1.7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also evaluates the selection of the lead audit partner, including their qualifications and performance, most recently appointing the current lead audit partner for the first time in 2019 after consultation with EY concerning several possible candidates. In connection with the pending expiration of the term of the lead audit partner, the audit committee began discussions during 2022 about the selection of a new lead audit partner for 2024, assuming EY continues to serve as the Company’s independent auditor.</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Based on the criteria described above, the audit committee recommended to the Board that the audited consolidated financial statements be included in the Company’s Annual Report on </w:t>
                      </w:r>
                      <w:r>
                        <w:rPr>
                          <w:rFonts w:ascii="Arial;Helvetica;Sans-Serif" w:hAnsi="Arial;Helvetica;Sans-Serif"/>
                          <w:b w:val="false"/>
                          <w:i w:val="false"/>
                          <w:caps w:val="false"/>
                          <w:smallCaps w:val="false"/>
                          <w:color w:val="58595B"/>
                          <w:spacing w:val="-3"/>
                          <w:sz w:val="18"/>
                        </w:rPr>
                        <w:t>Form</w:t>
                      </w:r>
                      <w:r>
                        <w:rPr>
                          <w:rFonts w:ascii="Arial;Helvetica;Sans-Serif" w:hAnsi="Arial;Helvetica;Sans-Serif"/>
                          <w:b w:val="false"/>
                          <w:i w:val="false"/>
                          <w:caps w:val="false"/>
                          <w:smallCaps w:val="false"/>
                          <w:color w:val="58595B"/>
                          <w:sz w:val="18"/>
                        </w:rPr>
                        <w:t xml:space="preserve"> 10-K for the year ended December 31, 2022, for filing with the SEC. Also, based on the criteria described above, the audit committee has selected Ernst &amp; </w:t>
                      </w:r>
                      <w:r>
                        <w:rPr>
                          <w:rFonts w:ascii="Arial;Helvetica;Sans-Serif" w:hAnsi="Arial;Helvetica;Sans-Serif"/>
                          <w:b w:val="false"/>
                          <w:i w:val="false"/>
                          <w:caps w:val="false"/>
                          <w:smallCaps w:val="false"/>
                          <w:color w:val="58595B"/>
                          <w:spacing w:val="-5"/>
                          <w:sz w:val="18"/>
                        </w:rPr>
                        <w:t xml:space="preserve">Young </w:t>
                      </w:r>
                      <w:r>
                        <w:rPr>
                          <w:rFonts w:ascii="Arial;Helvetica;Sans-Serif" w:hAnsi="Arial;Helvetica;Sans-Serif"/>
                          <w:b w:val="false"/>
                          <w:i w:val="false"/>
                          <w:caps w:val="false"/>
                          <w:smallCaps w:val="false"/>
                          <w:color w:val="58595B"/>
                          <w:sz w:val="18"/>
                        </w:rPr>
                        <w:t>LLP as the independent registered public accounting firm for fiscal year 2023 subject to shareholder ratification. The Board is recommending that shareholders ratify this selection at the annual meeting.</w:t>
                      </w:r>
                    </w:p>
                    <w:p>
                      <w:pPr>
                        <w:pStyle w:val="TextBody"/>
                        <w:rPr>
                          <w:caps w:val="false"/>
                          <w:smallCaps w:val="false"/>
                          <w:color w:val="58595B"/>
                        </w:rPr>
                      </w:pPr>
                      <w:r>
                        <w:rPr>
                          <w:caps w:val="false"/>
                          <w:smallCaps w:val="false"/>
                          <w:color w:val="58595B"/>
                        </w:rPr>
                        <w:t> </w:t>
                      </w:r>
                    </w:p>
                    <w:p>
                      <w:pPr>
                        <w:pStyle w:val="TextBody"/>
                        <w:rPr>
                          <w:rFonts w:ascii="Arial;Helvetica;Sans-Serif" w:hAnsi="Arial;Helvetica;Sans-Serif"/>
                          <w:b/>
                          <w:i w:val="false"/>
                          <w:caps w:val="false"/>
                          <w:smallCaps w:val="false"/>
                          <w:color w:val="231F20"/>
                          <w:sz w:val="18"/>
                        </w:rPr>
                      </w:pPr>
                      <w:bookmarkStart w:id="155" w:name="a090"/>
                      <w:bookmarkEnd w:id="155"/>
                      <w:r>
                        <w:rPr>
                          <w:rFonts w:ascii="Arial;Helvetica;Sans-Serif" w:hAnsi="Arial;Helvetica;Sans-Serif"/>
                          <w:b/>
                          <w:i w:val="false"/>
                          <w:caps w:val="false"/>
                          <w:smallCaps w:val="false"/>
                          <w:color w:val="231F20"/>
                          <w:sz w:val="18"/>
                        </w:rPr>
                        <w:t>Audit Committee</w:t>
                      </w:r>
                    </w:p>
                    <w:p>
                      <w:pPr>
                        <w:pStyle w:val="TextBody"/>
                        <w:rPr>
                          <w:caps w:val="false"/>
                          <w:smallCaps w:val="false"/>
                          <w:color w:val="231F20"/>
                        </w:rPr>
                      </w:pPr>
                      <w:r>
                        <w:rPr>
                          <w:caps w:val="false"/>
                          <w:smallCaps w:val="false"/>
                          <w:color w:val="231F20"/>
                        </w:rPr>
                        <w:t> </w:t>
                      </w:r>
                    </w:p>
                    <w:tbl>
                      <w:tblPr>
                        <w:tblW w:w="2233" w:type="dxa"/>
                        <w:jc w:val="left"/>
                        <w:tblInd w:w="0" w:type="dxa"/>
                        <w:tblCellMar>
                          <w:top w:w="0" w:type="dxa"/>
                          <w:left w:w="0" w:type="dxa"/>
                          <w:bottom w:w="0" w:type="dxa"/>
                          <w:right w:w="0" w:type="dxa"/>
                        </w:tblCellMar>
                      </w:tblPr>
                      <w:tblGrid>
                        <w:gridCol w:w="38"/>
                        <w:gridCol w:w="165"/>
                        <w:gridCol w:w="203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73" name="Image2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 name="Image226" descr=""/>
                                          <pic:cNvPicPr>
                                            <a:picLocks noChangeAspect="1" noChangeArrowheads="1"/>
                                          </pic:cNvPicPr>
                                        </pic:nvPicPr>
                                        <pic:blipFill>
                                          <a:blip r:embed="rId227"/>
                                          <a:stretch>
                                            <a:fillRect/>
                                          </a:stretch>
                                        </pic:blipFill>
                                        <pic:spPr bwMode="auto">
                                          <a:xfrm>
                                            <a:off x="0" y="0"/>
                                            <a:ext cx="104775" cy="85725"/>
                                          </a:xfrm>
                                          <a:prstGeom prst="rect">
                                            <a:avLst/>
                                          </a:prstGeom>
                                        </pic:spPr>
                                      </pic:pic>
                                    </a:graphicData>
                                  </a:graphic>
                                </wp:inline>
                              </w:drawing>
                            </w:r>
                          </w:p>
                        </w:tc>
                        <w:tc>
                          <w:tcPr>
                            <w:tcW w:w="203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Richard Macchia (Chair)</w:t>
                            </w:r>
                          </w:p>
                        </w:tc>
                      </w:tr>
                    </w:tbl>
                    <w:tbl>
                      <w:tblPr>
                        <w:tblW w:w="1693" w:type="dxa"/>
                        <w:jc w:val="left"/>
                        <w:tblInd w:w="0" w:type="dxa"/>
                        <w:tblCellMar>
                          <w:top w:w="0" w:type="dxa"/>
                          <w:left w:w="0" w:type="dxa"/>
                          <w:bottom w:w="0" w:type="dxa"/>
                          <w:right w:w="0" w:type="dxa"/>
                        </w:tblCellMar>
                      </w:tblPr>
                      <w:tblGrid>
                        <w:gridCol w:w="38"/>
                        <w:gridCol w:w="165"/>
                        <w:gridCol w:w="1490"/>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74" name="Image2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 name="Image227" descr=""/>
                                          <pic:cNvPicPr>
                                            <a:picLocks noChangeAspect="1" noChangeArrowheads="1"/>
                                          </pic:cNvPicPr>
                                        </pic:nvPicPr>
                                        <pic:blipFill>
                                          <a:blip r:embed="rId228"/>
                                          <a:stretch>
                                            <a:fillRect/>
                                          </a:stretch>
                                        </pic:blipFill>
                                        <pic:spPr bwMode="auto">
                                          <a:xfrm>
                                            <a:off x="0" y="0"/>
                                            <a:ext cx="104775" cy="85725"/>
                                          </a:xfrm>
                                          <a:prstGeom prst="rect">
                                            <a:avLst/>
                                          </a:prstGeom>
                                        </pic:spPr>
                                      </pic:pic>
                                    </a:graphicData>
                                  </a:graphic>
                                </wp:inline>
                              </w:drawing>
                            </w:r>
                          </w:p>
                        </w:tc>
                        <w:tc>
                          <w:tcPr>
                            <w:tcW w:w="1490"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Michael Buckman</w:t>
                            </w:r>
                          </w:p>
                        </w:tc>
                      </w:tr>
                    </w:tbl>
                    <w:tbl>
                      <w:tblPr>
                        <w:tblW w:w="1678" w:type="dxa"/>
                        <w:jc w:val="left"/>
                        <w:tblInd w:w="0" w:type="dxa"/>
                        <w:tblCellMar>
                          <w:top w:w="0" w:type="dxa"/>
                          <w:left w:w="0" w:type="dxa"/>
                          <w:bottom w:w="0" w:type="dxa"/>
                          <w:right w:w="0" w:type="dxa"/>
                        </w:tblCellMar>
                      </w:tblPr>
                      <w:tblGrid>
                        <w:gridCol w:w="38"/>
                        <w:gridCol w:w="165"/>
                        <w:gridCol w:w="1475"/>
                      </w:tblGrid>
                      <w:tr>
                        <w:trPr/>
                        <w:tc>
                          <w:tcPr>
                            <w:tcW w:w="38"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jc w:val="left"/>
                              <w:rPr/>
                            </w:pPr>
                            <w:r>
                              <w:rPr/>
                              <w:drawing>
                                <wp:inline distT="0" distB="0" distL="0" distR="0">
                                  <wp:extent cx="104775" cy="85725"/>
                                  <wp:effectExtent l="0" t="0" r="0" b="0"/>
                                  <wp:docPr id="475" name="Image2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 name="Image228" descr=""/>
                                          <pic:cNvPicPr>
                                            <a:picLocks noChangeAspect="1" noChangeArrowheads="1"/>
                                          </pic:cNvPicPr>
                                        </pic:nvPicPr>
                                        <pic:blipFill>
                                          <a:blip r:embed="rId229"/>
                                          <a:stretch>
                                            <a:fillRect/>
                                          </a:stretch>
                                        </pic:blipFill>
                                        <pic:spPr bwMode="auto">
                                          <a:xfrm>
                                            <a:off x="0" y="0"/>
                                            <a:ext cx="104775" cy="85725"/>
                                          </a:xfrm>
                                          <a:prstGeom prst="rect">
                                            <a:avLst/>
                                          </a:prstGeom>
                                        </pic:spPr>
                                      </pic:pic>
                                    </a:graphicData>
                                  </a:graphic>
                                </wp:inline>
                              </w:drawing>
                            </w:r>
                          </w:p>
                        </w:tc>
                        <w:tc>
                          <w:tcPr>
                            <w:tcW w:w="1475" w:type="dxa"/>
                            <w:tcBorders/>
                            <w:shd w:fill="auto" w:val="clear"/>
                            <w:vAlign w:val="center"/>
                          </w:tcPr>
                          <w:p>
                            <w:pPr>
                              <w:pStyle w:val="TableContents"/>
                              <w:spacing w:before="0" w:after="283"/>
                              <w:jc w:val="left"/>
                              <w:rPr>
                                <w:rFonts w:ascii="Arial;Helvetica;Sans-Serif" w:hAnsi="Arial;Helvetica;Sans-Serif"/>
                                <w:color w:val="58595B"/>
                                <w:sz w:val="18"/>
                              </w:rPr>
                            </w:pPr>
                            <w:r>
                              <w:rPr>
                                <w:rFonts w:ascii="Arial;Helvetica;Sans-Serif" w:hAnsi="Arial;Helvetica;Sans-Serif"/>
                                <w:color w:val="58595B"/>
                                <w:sz w:val="18"/>
                              </w:rPr>
                              <w:t xml:space="preserve">Archie </w:t>
                            </w:r>
                            <w:r>
                              <w:rPr>
                                <w:rFonts w:ascii="Arial;Helvetica;Sans-Serif" w:hAnsi="Arial;Helvetica;Sans-Serif"/>
                                <w:color w:val="58595B"/>
                                <w:sz w:val="20"/>
                              </w:rPr>
                              <w:t>Jones, Jr.</w:t>
                            </w:r>
                          </w:p>
                        </w:tc>
                      </w:tr>
                    </w:tbl>
                    <w:p>
                      <w:pPr>
                        <w:pStyle w:val="TextBody"/>
                        <w:spacing w:before="0" w:after="283"/>
                        <w:rPr/>
                      </w:pPr>
                      <w:r>
                        <w:rPr/>
                      </w:r>
                    </w:p>
                  </w:txbxContent>
                </v:textbox>
                <w10:wrap type="square" side="left"/>
              </v:rect>
            </w:pict>
          </mc:Fallback>
        </mc:AlternateContent>
      </w:r>
      <w:r>
        <mc:AlternateContent>
          <mc:Choice Requires="wps">
            <w:drawing>
              <wp:anchor behindDoc="0" distT="0" distB="0" distL="0" distR="0" simplePos="0" locked="0" layoutInCell="1" allowOverlap="1" relativeHeight="214">
                <wp:simplePos x="0" y="0"/>
                <wp:positionH relativeFrom="column">
                  <wp:align>left</wp:align>
                </wp:positionH>
                <wp:positionV relativeFrom="line">
                  <wp:posOffset>635</wp:posOffset>
                </wp:positionV>
                <wp:extent cx="3110230" cy="3509645"/>
                <wp:effectExtent l="0" t="0" r="0" b="0"/>
                <wp:wrapSquare wrapText="largest"/>
                <wp:docPr id="476" name="Frame82"/>
                <a:graphic xmlns:a="http://schemas.openxmlformats.org/drawingml/2006/main">
                  <a:graphicData uri="http://schemas.microsoft.com/office/word/2010/wordprocessingShape">
                    <wps:wsp>
                      <wps:cNvSpPr txBox="1"/>
                      <wps:spPr>
                        <a:xfrm>
                          <a:off x="0" y="0"/>
                          <a:ext cx="3110230" cy="3509645"/>
                        </a:xfrm>
                        <a:prstGeom prst="rect"/>
                      </wps:spPr>
                      <wps:txb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audit committee recognizes the importance of maintaining the independence of the Company’s independent auditor, both in fact and appearance. Ernst &amp; </w:t>
                            </w:r>
                            <w:r>
                              <w:rPr>
                                <w:rFonts w:ascii="Arial;Helvetica;Sans-Serif" w:hAnsi="Arial;Helvetica;Sans-Serif"/>
                                <w:b w:val="false"/>
                                <w:i w:val="false"/>
                                <w:caps w:val="false"/>
                                <w:smallCaps w:val="false"/>
                                <w:color w:val="58595B"/>
                                <w:spacing w:val="-5"/>
                                <w:sz w:val="18"/>
                              </w:rPr>
                              <w:t xml:space="preserve">Young </w:t>
                            </w:r>
                            <w:r>
                              <w:rPr>
                                <w:rFonts w:ascii="Arial;Helvetica;Sans-Serif" w:hAnsi="Arial;Helvetica;Sans-Serif"/>
                                <w:b w:val="false"/>
                                <w:i w:val="false"/>
                                <w:caps w:val="false"/>
                                <w:smallCaps w:val="false"/>
                                <w:color w:val="58595B"/>
                                <w:sz w:val="18"/>
                              </w:rPr>
                              <w:t>LLP has audited the Compa</w:t>
                            </w:r>
                            <w:r>
                              <w:rPr>
                                <w:rFonts w:ascii="Arial;Helvetica;Sans-Serif" w:hAnsi="Arial;Helvetica;Sans-Serif"/>
                                <w:b w:val="false"/>
                                <w:i w:val="false"/>
                                <w:caps w:val="false"/>
                                <w:smallCaps w:val="false"/>
                                <w:color w:val="58595B"/>
                                <w:spacing w:val="-3"/>
                                <w:sz w:val="18"/>
                              </w:rPr>
                              <w:t xml:space="preserve">ny’s </w:t>
                            </w:r>
                            <w:r>
                              <w:rPr>
                                <w:rFonts w:ascii="Arial;Helvetica;Sans-Serif" w:hAnsi="Arial;Helvetica;Sans-Serif"/>
                                <w:b w:val="false"/>
                                <w:i w:val="false"/>
                                <w:caps w:val="false"/>
                                <w:smallCaps w:val="false"/>
                                <w:color w:val="58595B"/>
                                <w:sz w:val="18"/>
                              </w:rPr>
                              <w:t xml:space="preserve">consolidated financial statements annually since it was first appointed in 2002. Consistent with its charter, the audit committee, along with the Company management and internal auditors, reviewed EY’s performance as part of the audit committee’s consideration of whether to reappoint the firm as our independent auditors. As part of this review of </w:t>
                            </w:r>
                            <w:r>
                              <w:rPr>
                                <w:rFonts w:ascii="Arial;Helvetica;Sans-Serif" w:hAnsi="Arial;Helvetica;Sans-Serif"/>
                                <w:b w:val="false"/>
                                <w:i w:val="false"/>
                                <w:caps w:val="false"/>
                                <w:smallCaps w:val="false"/>
                                <w:color w:val="58595B"/>
                                <w:spacing w:val="-6"/>
                                <w:sz w:val="18"/>
                              </w:rPr>
                              <w:t xml:space="preserve">EY, </w:t>
                            </w:r>
                            <w:r>
                              <w:rPr>
                                <w:rFonts w:ascii="Arial;Helvetica;Sans-Serif" w:hAnsi="Arial;Helvetica;Sans-Serif"/>
                                <w:b w:val="false"/>
                                <w:i w:val="false"/>
                                <w:caps w:val="false"/>
                                <w:smallCaps w:val="false"/>
                                <w:color w:val="58595B"/>
                                <w:sz w:val="18"/>
                              </w:rPr>
                              <w:t xml:space="preserve">the audit committee considered independence and objectivity, quality of service, evaluations by our management and internal auditors, the quality and candor of communications with the audit committee and management, </w:t>
                            </w:r>
                            <w:r>
                              <w:rPr>
                                <w:rFonts w:ascii="Arial;Helvetica;Sans-Serif" w:hAnsi="Arial;Helvetica;Sans-Serif"/>
                                <w:b w:val="false"/>
                                <w:i w:val="false"/>
                                <w:caps w:val="false"/>
                                <w:smallCaps w:val="false"/>
                                <w:color w:val="58595B"/>
                                <w:spacing w:val="-4"/>
                                <w:sz w:val="18"/>
                              </w:rPr>
                              <w:t xml:space="preserve">(v) </w:t>
                            </w:r>
                            <w:r>
                              <w:rPr>
                                <w:rFonts w:ascii="Arial;Helvetica;Sans-Serif" w:hAnsi="Arial;Helvetica;Sans-Serif"/>
                                <w:b w:val="false"/>
                                <w:i w:val="false"/>
                                <w:caps w:val="false"/>
                                <w:smallCaps w:val="false"/>
                                <w:color w:val="58595B"/>
                                <w:sz w:val="18"/>
                              </w:rPr>
                              <w:t xml:space="preserve">the length of time the audit firm has served as our independent auditors, the fees for audit and non-audit services, capability and expertise in the financial services industry and in handling the breadth and complexity of our worldwide operations, the audit approach, and size and reputation. As part of its auditor engagement process, the audit committee considers whether to </w:t>
                            </w:r>
                            <w:r>
                              <w:rPr>
                                <w:rFonts w:ascii="Arial;Helvetica;Sans-Serif" w:hAnsi="Arial;Helvetica;Sans-Serif"/>
                                <w:b w:val="false"/>
                                <w:i w:val="false"/>
                                <w:caps w:val="false"/>
                                <w:smallCaps w:val="false"/>
                                <w:color w:val="58595B"/>
                                <w:spacing w:val="-3"/>
                                <w:sz w:val="18"/>
                              </w:rPr>
                              <w:t xml:space="preserve">rotate </w:t>
                            </w:r>
                            <w:r>
                              <w:rPr>
                                <w:rFonts w:ascii="Arial;Helvetica;Sans-Serif" w:hAnsi="Arial;Helvetica;Sans-Serif"/>
                                <w:b w:val="false"/>
                                <w:i w:val="false"/>
                                <w:caps w:val="false"/>
                                <w:smallCaps w:val="false"/>
                                <w:color w:val="58595B"/>
                                <w:sz w:val="18"/>
                              </w:rPr>
                              <w:t>the independent audit firm, and periodically solicits competitive bids for the independent auditor engagement to help ensure the competitiveness of the independent auditor with respect to each of the factors set forth above.</w:t>
                            </w:r>
                          </w:p>
                          <w:p>
                            <w:pPr>
                              <w:pStyle w:val="TextBody"/>
                              <w:spacing w:before="0" w:after="283"/>
                              <w:rPr>
                                <w:caps w:val="false"/>
                                <w:smallCaps w:val="false"/>
                                <w:color w:val="58595B"/>
                              </w:rPr>
                            </w:pPr>
                            <w:r>
                              <w:rPr>
                                <w:caps w:val="false"/>
                                <w:smallCaps w:val="false"/>
                                <w:color w:val="58595B"/>
                              </w:rPr>
                              <w: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6.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The audit committee recognizes the importance of maintaining the independence of the Company’s independent auditor, both in fact and appearance. Ernst &amp; </w:t>
                      </w:r>
                      <w:r>
                        <w:rPr>
                          <w:rFonts w:ascii="Arial;Helvetica;Sans-Serif" w:hAnsi="Arial;Helvetica;Sans-Serif"/>
                          <w:b w:val="false"/>
                          <w:i w:val="false"/>
                          <w:caps w:val="false"/>
                          <w:smallCaps w:val="false"/>
                          <w:color w:val="58595B"/>
                          <w:spacing w:val="-5"/>
                          <w:sz w:val="18"/>
                        </w:rPr>
                        <w:t xml:space="preserve">Young </w:t>
                      </w:r>
                      <w:r>
                        <w:rPr>
                          <w:rFonts w:ascii="Arial;Helvetica;Sans-Serif" w:hAnsi="Arial;Helvetica;Sans-Serif"/>
                          <w:b w:val="false"/>
                          <w:i w:val="false"/>
                          <w:caps w:val="false"/>
                          <w:smallCaps w:val="false"/>
                          <w:color w:val="58595B"/>
                          <w:sz w:val="18"/>
                        </w:rPr>
                        <w:t>LLP has audited the Compa</w:t>
                      </w:r>
                      <w:r>
                        <w:rPr>
                          <w:rFonts w:ascii="Arial;Helvetica;Sans-Serif" w:hAnsi="Arial;Helvetica;Sans-Serif"/>
                          <w:b w:val="false"/>
                          <w:i w:val="false"/>
                          <w:caps w:val="false"/>
                          <w:smallCaps w:val="false"/>
                          <w:color w:val="58595B"/>
                          <w:spacing w:val="-3"/>
                          <w:sz w:val="18"/>
                        </w:rPr>
                        <w:t xml:space="preserve">ny’s </w:t>
                      </w:r>
                      <w:r>
                        <w:rPr>
                          <w:rFonts w:ascii="Arial;Helvetica;Sans-Serif" w:hAnsi="Arial;Helvetica;Sans-Serif"/>
                          <w:b w:val="false"/>
                          <w:i w:val="false"/>
                          <w:caps w:val="false"/>
                          <w:smallCaps w:val="false"/>
                          <w:color w:val="58595B"/>
                          <w:sz w:val="18"/>
                        </w:rPr>
                        <w:t xml:space="preserve">consolidated financial statements annually since it was first appointed in 2002. Consistent with its charter, the audit committee, along with the Company management and internal auditors, reviewed EY’s performance as part of the audit committee’s consideration of whether to reappoint the firm as our independent auditors. As part of this review of </w:t>
                      </w:r>
                      <w:r>
                        <w:rPr>
                          <w:rFonts w:ascii="Arial;Helvetica;Sans-Serif" w:hAnsi="Arial;Helvetica;Sans-Serif"/>
                          <w:b w:val="false"/>
                          <w:i w:val="false"/>
                          <w:caps w:val="false"/>
                          <w:smallCaps w:val="false"/>
                          <w:color w:val="58595B"/>
                          <w:spacing w:val="-6"/>
                          <w:sz w:val="18"/>
                        </w:rPr>
                        <w:t xml:space="preserve">EY, </w:t>
                      </w:r>
                      <w:r>
                        <w:rPr>
                          <w:rFonts w:ascii="Arial;Helvetica;Sans-Serif" w:hAnsi="Arial;Helvetica;Sans-Serif"/>
                          <w:b w:val="false"/>
                          <w:i w:val="false"/>
                          <w:caps w:val="false"/>
                          <w:smallCaps w:val="false"/>
                          <w:color w:val="58595B"/>
                          <w:sz w:val="18"/>
                        </w:rPr>
                        <w:t xml:space="preserve">the audit committee considered independence and objectivity, quality of service, evaluations by our management and internal auditors, the quality and candor of communications with the audit committee and management, </w:t>
                      </w:r>
                      <w:r>
                        <w:rPr>
                          <w:rFonts w:ascii="Arial;Helvetica;Sans-Serif" w:hAnsi="Arial;Helvetica;Sans-Serif"/>
                          <w:b w:val="false"/>
                          <w:i w:val="false"/>
                          <w:caps w:val="false"/>
                          <w:smallCaps w:val="false"/>
                          <w:color w:val="58595B"/>
                          <w:spacing w:val="-4"/>
                          <w:sz w:val="18"/>
                        </w:rPr>
                        <w:t xml:space="preserve">(v) </w:t>
                      </w:r>
                      <w:r>
                        <w:rPr>
                          <w:rFonts w:ascii="Arial;Helvetica;Sans-Serif" w:hAnsi="Arial;Helvetica;Sans-Serif"/>
                          <w:b w:val="false"/>
                          <w:i w:val="false"/>
                          <w:caps w:val="false"/>
                          <w:smallCaps w:val="false"/>
                          <w:color w:val="58595B"/>
                          <w:sz w:val="18"/>
                        </w:rPr>
                        <w:t xml:space="preserve">the length of time the audit firm has served as our independent auditors, the fees for audit and non-audit services, capability and expertise in the financial services industry and in handling the breadth and complexity of our worldwide operations, the audit approach, and size and reputation. As part of its auditor engagement process, the audit committee considers whether to </w:t>
                      </w:r>
                      <w:r>
                        <w:rPr>
                          <w:rFonts w:ascii="Arial;Helvetica;Sans-Serif" w:hAnsi="Arial;Helvetica;Sans-Serif"/>
                          <w:b w:val="false"/>
                          <w:i w:val="false"/>
                          <w:caps w:val="false"/>
                          <w:smallCaps w:val="false"/>
                          <w:color w:val="58595B"/>
                          <w:spacing w:val="-3"/>
                          <w:sz w:val="18"/>
                        </w:rPr>
                        <w:t xml:space="preserve">rotate </w:t>
                      </w:r>
                      <w:r>
                        <w:rPr>
                          <w:rFonts w:ascii="Arial;Helvetica;Sans-Serif" w:hAnsi="Arial;Helvetica;Sans-Serif"/>
                          <w:b w:val="false"/>
                          <w:i w:val="false"/>
                          <w:caps w:val="false"/>
                          <w:smallCaps w:val="false"/>
                          <w:color w:val="58595B"/>
                          <w:sz w:val="18"/>
                        </w:rPr>
                        <w:t>the independent audit firm, and periodically solicits competitive bids for the independent auditor engagement to help ensure the competitiveness of the independent auditor with respect to each of the factors set forth above.</w:t>
                      </w:r>
                    </w:p>
                    <w:p>
                      <w:pPr>
                        <w:pStyle w:val="TextBody"/>
                        <w:spacing w:before="0" w:after="283"/>
                        <w:rPr>
                          <w:caps w:val="false"/>
                          <w:smallCaps w:val="false"/>
                          <w:color w:val="58595B"/>
                        </w:rPr>
                      </w:pPr>
                      <w:r>
                        <w:rPr>
                          <w:caps w:val="false"/>
                          <w:smallCaps w:val="false"/>
                          <w:color w:val="58595B"/>
                        </w:rPr>
                        <w:t> </w:t>
                      </w:r>
                    </w:p>
                  </w:txbxContent>
                </v:textbox>
                <w10:wrap type="square" side="right"/>
              </v:rect>
            </w:pict>
          </mc:Fallback>
        </mc:AlternateContent>
      </w:r>
    </w:p>
    <w:p>
      <w:pPr>
        <w:pStyle w:val="TextBody"/>
        <w:rPr/>
      </w:pPr>
      <w:r>
        <w:rPr/>
      </w:r>
    </w:p>
    <w:p>
      <w:pPr>
        <w:pStyle w:val="TextBody"/>
        <w:rPr>
          <w:caps w:val="false"/>
          <w:smallCaps w:val="false"/>
        </w:rPr>
      </w:pPr>
      <w:r>
        <w:rPr>
          <w:caps w:val="false"/>
          <w:smallCaps w:val="false"/>
        </w:rPr>
        <w:t> </w:t>
      </w:r>
    </w:p>
    <w:tbl>
      <w:tblPr>
        <w:tblW w:w="3865" w:type="dxa"/>
        <w:jc w:val="left"/>
        <w:tblInd w:w="0" w:type="dxa"/>
        <w:tblCellMar>
          <w:top w:w="0" w:type="dxa"/>
          <w:left w:w="0" w:type="dxa"/>
          <w:bottom w:w="0" w:type="dxa"/>
          <w:right w:w="0" w:type="dxa"/>
        </w:tblCellMar>
      </w:tblPr>
      <w:tblGrid>
        <w:gridCol w:w="3650"/>
        <w:gridCol w:w="215"/>
      </w:tblGrid>
      <w:tr>
        <w:trPr/>
        <w:tc>
          <w:tcPr>
            <w:tcW w:w="3650"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2023 Notice of Annual Meeting &amp; Proxy Statement</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59</w:t>
            </w:r>
          </w:p>
        </w:tc>
      </w:tr>
    </w:tbl>
    <w:p>
      <w:pPr>
        <w:pStyle w:val="TextBody"/>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FEC345"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215">
                <wp:simplePos x="0" y="0"/>
                <wp:positionH relativeFrom="column">
                  <wp:align>left</wp:align>
                </wp:positionH>
                <wp:positionV relativeFrom="line">
                  <wp:posOffset>635</wp:posOffset>
                </wp:positionV>
                <wp:extent cx="3110230" cy="8114665"/>
                <wp:effectExtent l="0" t="0" r="0" b="0"/>
                <wp:wrapSquare wrapText="largest"/>
                <wp:docPr id="477" name="Frame84"/>
                <a:graphic xmlns:a="http://schemas.openxmlformats.org/drawingml/2006/main">
                  <a:graphicData uri="http://schemas.microsoft.com/office/word/2010/wordprocessingShape">
                    <wps:wsp>
                      <wps:cNvSpPr txBox="1"/>
                      <wps:spPr>
                        <a:xfrm>
                          <a:off x="0" y="0"/>
                          <a:ext cx="3110230" cy="8114665"/>
                        </a:xfrm>
                        <a:prstGeom prst="rect"/>
                      </wps:spPr>
                      <wps:txbx>
                        <w:txbxContent>
                          <w:p>
                            <w:pPr>
                              <w:pStyle w:val="TextBody"/>
                              <w:spacing w:before="0" w:after="0"/>
                              <w:ind w:left="20" w:right="0" w:hanging="0"/>
                              <w:rPr>
                                <w:rFonts w:ascii="Arial;Helvetica;Sans-Serif" w:hAnsi="Arial;Helvetica;Sans-Serif"/>
                                <w:b w:val="false"/>
                                <w:i w:val="false"/>
                                <w:caps w:val="false"/>
                                <w:smallCaps w:val="false"/>
                                <w:sz w:val="20"/>
                              </w:rPr>
                            </w:pPr>
                            <w:bookmarkStart w:id="156" w:name="a091"/>
                            <w:bookmarkEnd w:id="156"/>
                            <w:r>
                              <w:rPr>
                                <w:rFonts w:ascii="Arial;Helvetica;Sans-Serif" w:hAnsi="Arial;Helvetica;Sans-Serif"/>
                                <w:b/>
                                <w:i w:val="false"/>
                                <w:caps w:val="false"/>
                                <w:smallCaps w:val="false"/>
                                <w:color w:val="231F20"/>
                                <w:sz w:val="20"/>
                              </w:rPr>
                              <w:t xml:space="preserve">16. </w:t>
                            </w:r>
                            <w:r>
                              <w:rPr>
                                <w:rFonts w:ascii="Arial;Helvetica;Sans-Serif" w:hAnsi="Arial;Helvetica;Sans-Serif"/>
                                <w:b w:val="false"/>
                                <w:i w:val="false"/>
                                <w:caps w:val="false"/>
                                <w:smallCaps w:val="false"/>
                                <w:color w:val="EE0027"/>
                                <w:sz w:val="20"/>
                              </w:rPr>
                              <w:t>AUDIT MATTERS</w:t>
                            </w:r>
                            <w:r>
                              <w:rPr>
                                <w:rFonts w:ascii="Arial;Helvetica;Sans-Serif" w:hAnsi="Arial;Helvetica;Sans-Serif"/>
                                <w:b w:val="false"/>
                                <w:i w:val="false"/>
                                <w:caps w:val="false"/>
                                <w:smallCaps w:val="false"/>
                                <w:sz w:val="20"/>
                              </w:rPr>
                              <w:t> </w:t>
                            </w:r>
                          </w:p>
                          <w:p>
                            <w:pPr>
                              <w:pStyle w:val="TextBody"/>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bookmarkStart w:id="157" w:name="a092"/>
                            <w:bookmarkEnd w:id="157"/>
                            <w:r>
                              <w:rPr>
                                <w:rFonts w:ascii="Arial;Helvetica;Sans-Serif" w:hAnsi="Arial;Helvetica;Sans-Serif"/>
                                <w:b/>
                                <w:i w:val="false"/>
                                <w:caps w:val="false"/>
                                <w:smallCaps w:val="false"/>
                                <w:color w:val="EE0027"/>
                                <w:sz w:val="20"/>
                              </w:rPr>
                              <w:t>Fees Billed by Ernst &amp; Young LLP</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presents fees for professional audit services rendered by Ernst &amp; Young LLP for the audit of our annual financial statements for the years ended December 31, 2022 and 2021, and fees billed for other services rendered by Ernst &amp; Young LLP during those periods.</w:t>
                            </w:r>
                          </w:p>
                          <w:p>
                            <w:pPr>
                              <w:pStyle w:val="TextBody"/>
                              <w:spacing w:before="0" w:after="0"/>
                              <w:rPr>
                                <w:caps w:val="false"/>
                                <w:smallCaps w:val="false"/>
                                <w:color w:val="58595B"/>
                              </w:rPr>
                            </w:pPr>
                            <w:r>
                              <w:rPr>
                                <w:caps w:val="false"/>
                                <w:smallCaps w:val="false"/>
                                <w:color w:val="58595B"/>
                              </w:rPr>
                              <w:t> </w:t>
                            </w:r>
                          </w:p>
                          <w:tbl>
                            <w:tblPr>
                              <w:tblW w:w="3615" w:type="dxa"/>
                              <w:jc w:val="left"/>
                              <w:tblInd w:w="0" w:type="dxa"/>
                              <w:tblCellMar>
                                <w:top w:w="0" w:type="dxa"/>
                                <w:left w:w="0" w:type="dxa"/>
                                <w:bottom w:w="0" w:type="dxa"/>
                                <w:right w:w="0" w:type="dxa"/>
                              </w:tblCellMar>
                            </w:tblPr>
                            <w:tblGrid>
                              <w:gridCol w:w="1595"/>
                              <w:gridCol w:w="1055"/>
                              <w:gridCol w:w="965"/>
                            </w:tblGrid>
                            <w:tr>
                              <w:trPr/>
                              <w:tc>
                                <w:tcPr>
                                  <w:tcW w:w="3615" w:type="dxa"/>
                                  <w:gridSpan w:val="3"/>
                                  <w:tcBorders/>
                                  <w:shd w:fill="EE0027" w:val="clear"/>
                                  <w:vAlign w:val="center"/>
                                </w:tcPr>
                                <w:p>
                                  <w:pPr>
                                    <w:pStyle w:val="TableContents"/>
                                    <w:spacing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Year Ended December 31</w:t>
                                  </w:r>
                                </w:p>
                              </w:tc>
                            </w:tr>
                            <w:tr>
                              <w:trPr/>
                              <w:tc>
                                <w:tcPr>
                                  <w:tcW w:w="1595" w:type="dxa"/>
                                  <w:tcBorders/>
                                  <w:shd w:fill="auto" w:val="clear"/>
                                  <w:vAlign w:val="center"/>
                                </w:tcPr>
                                <w:p>
                                  <w:pPr>
                                    <w:pStyle w:val="TableContents"/>
                                    <w:spacing w:before="0" w:after="283"/>
                                    <w:rPr>
                                      <w:caps w:val="false"/>
                                      <w:smallCaps w:val="false"/>
                                    </w:rPr>
                                  </w:pPr>
                                  <w:r>
                                    <w:rPr>
                                      <w:caps w:val="false"/>
                                      <w:smallCaps w:val="false"/>
                                    </w:rPr>
                                    <w:t> </w:t>
                                  </w:r>
                                </w:p>
                              </w:tc>
                              <w:tc>
                                <w:tcPr>
                                  <w:tcW w:w="1055" w:type="dxa"/>
                                  <w:tcBorders>
                                    <w:bottom w:val="single" w:sz="8" w:space="0" w:color="231F20"/>
                                  </w:tcBorders>
                                  <w:shd w:fill="auto" w:val="clear"/>
                                  <w:tcMar>
                                    <w:bottom w:w="28" w:type="dxa"/>
                                  </w:tcMar>
                                  <w:vAlign w:val="center"/>
                                </w:tcPr>
                                <w:p>
                                  <w:pPr>
                                    <w:pStyle w:val="TableContents"/>
                                    <w:spacing w:before="0" w:after="283"/>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2022</w:t>
                                  </w:r>
                                </w:p>
                              </w:tc>
                              <w:tc>
                                <w:tcPr>
                                  <w:tcW w:w="965" w:type="dxa"/>
                                  <w:tcBorders>
                                    <w:bottom w:val="single" w:sz="8" w:space="0" w:color="231F20"/>
                                  </w:tcBorders>
                                  <w:shd w:fill="auto" w:val="clear"/>
                                  <w:tcMar>
                                    <w:bottom w:w="28" w:type="dxa"/>
                                  </w:tcMar>
                                  <w:vAlign w:val="center"/>
                                </w:tcPr>
                                <w:p>
                                  <w:pPr>
                                    <w:pStyle w:val="TableContents"/>
                                    <w:spacing w:before="0" w:after="283"/>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2021</w:t>
                                  </w:r>
                                </w:p>
                              </w:tc>
                            </w:tr>
                            <w:tr>
                              <w:trPr/>
                              <w:tc>
                                <w:tcPr>
                                  <w:tcW w:w="159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Audit Fees</w:t>
                                  </w:r>
                                </w:p>
                              </w:tc>
                              <w:tc>
                                <w:tcPr>
                                  <w:tcW w:w="105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$9,289,000</w:t>
                                  </w:r>
                                </w:p>
                              </w:tc>
                              <w:tc>
                                <w:tcPr>
                                  <w:tcW w:w="96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$8,712,000</w:t>
                                  </w:r>
                                </w:p>
                              </w:tc>
                            </w:tr>
                            <w:tr>
                              <w:trPr/>
                              <w:tc>
                                <w:tcPr>
                                  <w:tcW w:w="159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Audit Related Fees</w:t>
                                  </w:r>
                                </w:p>
                              </w:tc>
                              <w:tc>
                                <w:tcPr>
                                  <w:tcW w:w="105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$712,000</w:t>
                                  </w:r>
                                </w:p>
                              </w:tc>
                              <w:tc>
                                <w:tcPr>
                                  <w:tcW w:w="96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$864,000</w:t>
                                  </w:r>
                                </w:p>
                              </w:tc>
                            </w:tr>
                            <w:tr>
                              <w:trPr/>
                              <w:tc>
                                <w:tcPr>
                                  <w:tcW w:w="159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Tax Fees</w:t>
                                  </w:r>
                                </w:p>
                              </w:tc>
                              <w:tc>
                                <w:tcPr>
                                  <w:tcW w:w="105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$1,155,000</w:t>
                                  </w:r>
                                </w:p>
                              </w:tc>
                              <w:tc>
                                <w:tcPr>
                                  <w:tcW w:w="96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$252,000</w:t>
                                  </w:r>
                                </w:p>
                              </w:tc>
                            </w:tr>
                            <w:tr>
                              <w:trPr/>
                              <w:tc>
                                <w:tcPr>
                                  <w:tcW w:w="159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All Other Fees</w:t>
                                  </w:r>
                                </w:p>
                              </w:tc>
                              <w:tc>
                                <w:tcPr>
                                  <w:tcW w:w="1055" w:type="dxa"/>
                                  <w:tcBorders>
                                    <w:bottom w:val="single" w:sz="8" w:space="0" w:color="231F20"/>
                                  </w:tcBorders>
                                  <w:shd w:fill="auto" w:val="clear"/>
                                  <w:tcMar>
                                    <w:bottom w:w="28"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$4,000</w:t>
                                  </w:r>
                                </w:p>
                              </w:tc>
                              <w:tc>
                                <w:tcPr>
                                  <w:tcW w:w="965" w:type="dxa"/>
                                  <w:tcBorders>
                                    <w:bottom w:val="single" w:sz="8" w:space="0" w:color="231F20"/>
                                  </w:tcBorders>
                                  <w:shd w:fill="auto" w:val="clear"/>
                                  <w:tcMar>
                                    <w:bottom w:w="28"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$4,000</w:t>
                                  </w:r>
                                </w:p>
                              </w:tc>
                            </w:tr>
                            <w:tr>
                              <w:trPr/>
                              <w:tc>
                                <w:tcPr>
                                  <w:tcW w:w="159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Total</w:t>
                                  </w:r>
                                </w:p>
                              </w:tc>
                              <w:tc>
                                <w:tcPr>
                                  <w:tcW w:w="105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$11,159,000</w:t>
                                  </w:r>
                                </w:p>
                              </w:tc>
                              <w:tc>
                                <w:tcPr>
                                  <w:tcW w:w="96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$9,832,000</w:t>
                                  </w:r>
                                </w:p>
                              </w:tc>
                            </w:tr>
                          </w:tbl>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158" w:name="a093"/>
                            <w:bookmarkEnd w:id="158"/>
                            <w:r>
                              <w:rPr>
                                <w:rFonts w:ascii="Arial;Helvetica;Sans-Serif" w:hAnsi="Arial;Helvetica;Sans-Serif"/>
                                <w:b/>
                                <w:i w:val="false"/>
                                <w:caps w:val="false"/>
                                <w:smallCaps w:val="false"/>
                                <w:color w:val="231F20"/>
                                <w:sz w:val="18"/>
                              </w:rPr>
                              <w:t>Audit Fees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These amounts represent fees for professional services for the audit of our annual consolidated financial statements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as applicable.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Audit Fees also include advice on accounting matters that arose in connection with or as a result of the audit or the review of periodic consolidated financial statements and statutory audits that non-U.S. jurisdictions require.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159" w:name="a094"/>
                            <w:bookmarkEnd w:id="159"/>
                            <w:r>
                              <w:rPr>
                                <w:rFonts w:ascii="Arial;Helvetica;Sans-Serif" w:hAnsi="Arial;Helvetica;Sans-Serif"/>
                                <w:b/>
                                <w:i w:val="false"/>
                                <w:caps w:val="false"/>
                                <w:smallCaps w:val="false"/>
                                <w:color w:val="231F20"/>
                                <w:sz w:val="18"/>
                              </w:rPr>
                              <w:t>Audit Related Fees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Audit related fees consist of assurance and related services that are reasonably related to the performance of the audit or review of our consolidated financial statements.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performance of the review or audit of our financial statements, and accounting consultations about the application of GAAP to proposed transactions.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63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20" w:right="0" w:hanging="0"/>
                        <w:rPr>
                          <w:rFonts w:ascii="Arial;Helvetica;Sans-Serif" w:hAnsi="Arial;Helvetica;Sans-Serif"/>
                          <w:b w:val="false"/>
                          <w:i w:val="false"/>
                          <w:caps w:val="false"/>
                          <w:smallCaps w:val="false"/>
                          <w:sz w:val="20"/>
                        </w:rPr>
                      </w:pPr>
                      <w:bookmarkStart w:id="160" w:name="a091"/>
                      <w:bookmarkEnd w:id="160"/>
                      <w:r>
                        <w:rPr>
                          <w:rFonts w:ascii="Arial;Helvetica;Sans-Serif" w:hAnsi="Arial;Helvetica;Sans-Serif"/>
                          <w:b/>
                          <w:i w:val="false"/>
                          <w:caps w:val="false"/>
                          <w:smallCaps w:val="false"/>
                          <w:color w:val="231F20"/>
                          <w:sz w:val="20"/>
                        </w:rPr>
                        <w:t xml:space="preserve">16. </w:t>
                      </w:r>
                      <w:r>
                        <w:rPr>
                          <w:rFonts w:ascii="Arial;Helvetica;Sans-Serif" w:hAnsi="Arial;Helvetica;Sans-Serif"/>
                          <w:b w:val="false"/>
                          <w:i w:val="false"/>
                          <w:caps w:val="false"/>
                          <w:smallCaps w:val="false"/>
                          <w:color w:val="EE0027"/>
                          <w:sz w:val="20"/>
                        </w:rPr>
                        <w:t>AUDIT MATTERS</w:t>
                      </w:r>
                      <w:r>
                        <w:rPr>
                          <w:rFonts w:ascii="Arial;Helvetica;Sans-Serif" w:hAnsi="Arial;Helvetica;Sans-Serif"/>
                          <w:b w:val="false"/>
                          <w:i w:val="false"/>
                          <w:caps w:val="false"/>
                          <w:smallCaps w:val="false"/>
                          <w:sz w:val="20"/>
                        </w:rPr>
                        <w:t> </w:t>
                      </w:r>
                    </w:p>
                    <w:p>
                      <w:pPr>
                        <w:pStyle w:val="TextBody"/>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bookmarkStart w:id="161" w:name="a092"/>
                      <w:bookmarkEnd w:id="161"/>
                      <w:r>
                        <w:rPr>
                          <w:rFonts w:ascii="Arial;Helvetica;Sans-Serif" w:hAnsi="Arial;Helvetica;Sans-Serif"/>
                          <w:b/>
                          <w:i w:val="false"/>
                          <w:caps w:val="false"/>
                          <w:smallCaps w:val="false"/>
                          <w:color w:val="EE0027"/>
                          <w:sz w:val="20"/>
                        </w:rPr>
                        <w:t>Fees Billed by Ernst &amp; Young LLP</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following table presents fees for professional audit services rendered by Ernst &amp; Young LLP for the audit of our annual financial statements for the years ended December 31, 2022 and 2021, and fees billed for other services rendered by Ernst &amp; Young LLP during those periods.</w:t>
                      </w:r>
                    </w:p>
                    <w:p>
                      <w:pPr>
                        <w:pStyle w:val="TextBody"/>
                        <w:spacing w:before="0" w:after="0"/>
                        <w:rPr>
                          <w:caps w:val="false"/>
                          <w:smallCaps w:val="false"/>
                          <w:color w:val="58595B"/>
                        </w:rPr>
                      </w:pPr>
                      <w:r>
                        <w:rPr>
                          <w:caps w:val="false"/>
                          <w:smallCaps w:val="false"/>
                          <w:color w:val="58595B"/>
                        </w:rPr>
                        <w:t> </w:t>
                      </w:r>
                    </w:p>
                    <w:tbl>
                      <w:tblPr>
                        <w:tblW w:w="3615" w:type="dxa"/>
                        <w:jc w:val="left"/>
                        <w:tblInd w:w="0" w:type="dxa"/>
                        <w:tblCellMar>
                          <w:top w:w="0" w:type="dxa"/>
                          <w:left w:w="0" w:type="dxa"/>
                          <w:bottom w:w="0" w:type="dxa"/>
                          <w:right w:w="0" w:type="dxa"/>
                        </w:tblCellMar>
                      </w:tblPr>
                      <w:tblGrid>
                        <w:gridCol w:w="1595"/>
                        <w:gridCol w:w="1055"/>
                        <w:gridCol w:w="965"/>
                      </w:tblGrid>
                      <w:tr>
                        <w:trPr/>
                        <w:tc>
                          <w:tcPr>
                            <w:tcW w:w="3615" w:type="dxa"/>
                            <w:gridSpan w:val="3"/>
                            <w:tcBorders/>
                            <w:shd w:fill="EE0027" w:val="clear"/>
                            <w:vAlign w:val="center"/>
                          </w:tcPr>
                          <w:p>
                            <w:pPr>
                              <w:pStyle w:val="TableContents"/>
                              <w:spacing w:before="0" w:after="283"/>
                              <w:jc w:val="center"/>
                              <w:rPr>
                                <w:rFonts w:ascii="Arial;Helvetica;Sans-Serif" w:hAnsi="Arial;Helvetica;Sans-Serif"/>
                                <w:b/>
                                <w:i w:val="false"/>
                                <w:caps w:val="false"/>
                                <w:smallCaps w:val="false"/>
                                <w:color w:val="FFFFFF"/>
                                <w:sz w:val="20"/>
                              </w:rPr>
                            </w:pPr>
                            <w:r>
                              <w:rPr>
                                <w:rFonts w:ascii="Arial;Helvetica;Sans-Serif" w:hAnsi="Arial;Helvetica;Sans-Serif"/>
                                <w:b/>
                                <w:i w:val="false"/>
                                <w:caps w:val="false"/>
                                <w:smallCaps w:val="false"/>
                                <w:color w:val="FFFFFF"/>
                                <w:sz w:val="20"/>
                              </w:rPr>
                              <w:t>Year Ended December 31</w:t>
                            </w:r>
                          </w:p>
                        </w:tc>
                      </w:tr>
                      <w:tr>
                        <w:trPr/>
                        <w:tc>
                          <w:tcPr>
                            <w:tcW w:w="1595" w:type="dxa"/>
                            <w:tcBorders/>
                            <w:shd w:fill="auto" w:val="clear"/>
                            <w:vAlign w:val="center"/>
                          </w:tcPr>
                          <w:p>
                            <w:pPr>
                              <w:pStyle w:val="TableContents"/>
                              <w:spacing w:before="0" w:after="283"/>
                              <w:rPr>
                                <w:caps w:val="false"/>
                                <w:smallCaps w:val="false"/>
                              </w:rPr>
                            </w:pPr>
                            <w:r>
                              <w:rPr>
                                <w:caps w:val="false"/>
                                <w:smallCaps w:val="false"/>
                              </w:rPr>
                              <w:t> </w:t>
                            </w:r>
                          </w:p>
                        </w:tc>
                        <w:tc>
                          <w:tcPr>
                            <w:tcW w:w="1055" w:type="dxa"/>
                            <w:tcBorders>
                              <w:bottom w:val="single" w:sz="8" w:space="0" w:color="231F20"/>
                            </w:tcBorders>
                            <w:shd w:fill="auto" w:val="clear"/>
                            <w:tcMar>
                              <w:bottom w:w="28" w:type="dxa"/>
                            </w:tcMar>
                            <w:vAlign w:val="center"/>
                          </w:tcPr>
                          <w:p>
                            <w:pPr>
                              <w:pStyle w:val="TableContents"/>
                              <w:spacing w:before="0" w:after="283"/>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2022</w:t>
                            </w:r>
                          </w:p>
                        </w:tc>
                        <w:tc>
                          <w:tcPr>
                            <w:tcW w:w="965" w:type="dxa"/>
                            <w:tcBorders>
                              <w:bottom w:val="single" w:sz="8" w:space="0" w:color="231F20"/>
                            </w:tcBorders>
                            <w:shd w:fill="auto" w:val="clear"/>
                            <w:tcMar>
                              <w:bottom w:w="28" w:type="dxa"/>
                            </w:tcMar>
                            <w:vAlign w:val="center"/>
                          </w:tcPr>
                          <w:p>
                            <w:pPr>
                              <w:pStyle w:val="TableContents"/>
                              <w:spacing w:before="0" w:after="283"/>
                              <w:rPr>
                                <w:rFonts w:ascii="Arial;Helvetica;Sans-Serif" w:hAnsi="Arial;Helvetica;Sans-Serif"/>
                                <w:b w:val="false"/>
                                <w:i w:val="false"/>
                                <w:caps w:val="false"/>
                                <w:smallCaps w:val="false"/>
                                <w:color w:val="58595B"/>
                                <w:sz w:val="20"/>
                              </w:rPr>
                            </w:pPr>
                            <w:r>
                              <w:rPr>
                                <w:rFonts w:ascii="Arial;Helvetica;Sans-Serif" w:hAnsi="Arial;Helvetica;Sans-Serif"/>
                                <w:b w:val="false"/>
                                <w:i w:val="false"/>
                                <w:caps w:val="false"/>
                                <w:smallCaps w:val="false"/>
                                <w:color w:val="58595B"/>
                                <w:sz w:val="20"/>
                              </w:rPr>
                              <w:t>2021</w:t>
                            </w:r>
                          </w:p>
                        </w:tc>
                      </w:tr>
                      <w:tr>
                        <w:trPr/>
                        <w:tc>
                          <w:tcPr>
                            <w:tcW w:w="159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Audit Fees</w:t>
                            </w:r>
                          </w:p>
                        </w:tc>
                        <w:tc>
                          <w:tcPr>
                            <w:tcW w:w="105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$9,289,000</w:t>
                            </w:r>
                          </w:p>
                        </w:tc>
                        <w:tc>
                          <w:tcPr>
                            <w:tcW w:w="96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$8,712,000</w:t>
                            </w:r>
                          </w:p>
                        </w:tc>
                      </w:tr>
                      <w:tr>
                        <w:trPr/>
                        <w:tc>
                          <w:tcPr>
                            <w:tcW w:w="159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Audit Related Fees</w:t>
                            </w:r>
                          </w:p>
                        </w:tc>
                        <w:tc>
                          <w:tcPr>
                            <w:tcW w:w="105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$712,000</w:t>
                            </w:r>
                          </w:p>
                        </w:tc>
                        <w:tc>
                          <w:tcPr>
                            <w:tcW w:w="96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$864,000</w:t>
                            </w:r>
                          </w:p>
                        </w:tc>
                      </w:tr>
                      <w:tr>
                        <w:trPr/>
                        <w:tc>
                          <w:tcPr>
                            <w:tcW w:w="159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8"/>
                              </w:rPr>
                            </w:pPr>
                            <w:r>
                              <w:rPr>
                                <w:rFonts w:ascii="Arial;Helvetica;Sans-Serif" w:hAnsi="Arial;Helvetica;Sans-Serif"/>
                                <w:b w:val="false"/>
                                <w:i w:val="false"/>
                                <w:caps w:val="false"/>
                                <w:smallCaps w:val="false"/>
                                <w:color w:val="231F20"/>
                                <w:sz w:val="18"/>
                              </w:rPr>
                              <w:t>Tax Fees</w:t>
                            </w:r>
                          </w:p>
                        </w:tc>
                        <w:tc>
                          <w:tcPr>
                            <w:tcW w:w="105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$1,155,000</w:t>
                            </w:r>
                          </w:p>
                        </w:tc>
                        <w:tc>
                          <w:tcPr>
                            <w:tcW w:w="96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$252,000</w:t>
                            </w:r>
                          </w:p>
                        </w:tc>
                      </w:tr>
                      <w:tr>
                        <w:trPr/>
                        <w:tc>
                          <w:tcPr>
                            <w:tcW w:w="159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All Other Fees</w:t>
                            </w:r>
                          </w:p>
                        </w:tc>
                        <w:tc>
                          <w:tcPr>
                            <w:tcW w:w="1055" w:type="dxa"/>
                            <w:tcBorders>
                              <w:bottom w:val="single" w:sz="8" w:space="0" w:color="231F20"/>
                            </w:tcBorders>
                            <w:shd w:fill="auto" w:val="clear"/>
                            <w:tcMar>
                              <w:bottom w:w="28"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$4,000</w:t>
                            </w:r>
                          </w:p>
                        </w:tc>
                        <w:tc>
                          <w:tcPr>
                            <w:tcW w:w="965" w:type="dxa"/>
                            <w:tcBorders>
                              <w:bottom w:val="single" w:sz="8" w:space="0" w:color="231F20"/>
                            </w:tcBorders>
                            <w:shd w:fill="auto" w:val="clear"/>
                            <w:tcMar>
                              <w:bottom w:w="28"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$4,000</w:t>
                            </w:r>
                          </w:p>
                        </w:tc>
                      </w:tr>
                      <w:tr>
                        <w:trPr/>
                        <w:tc>
                          <w:tcPr>
                            <w:tcW w:w="159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Total</w:t>
                            </w:r>
                          </w:p>
                        </w:tc>
                        <w:tc>
                          <w:tcPr>
                            <w:tcW w:w="105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$11,159,000</w:t>
                            </w:r>
                          </w:p>
                        </w:tc>
                        <w:tc>
                          <w:tcPr>
                            <w:tcW w:w="96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$9,832,000</w:t>
                            </w:r>
                          </w:p>
                        </w:tc>
                      </w:tr>
                    </w:tbl>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162" w:name="a093"/>
                      <w:bookmarkEnd w:id="162"/>
                      <w:r>
                        <w:rPr>
                          <w:rFonts w:ascii="Arial;Helvetica;Sans-Serif" w:hAnsi="Arial;Helvetica;Sans-Serif"/>
                          <w:b/>
                          <w:i w:val="false"/>
                          <w:caps w:val="false"/>
                          <w:smallCaps w:val="false"/>
                          <w:color w:val="231F20"/>
                          <w:sz w:val="18"/>
                        </w:rPr>
                        <w:t>Audit Fees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These amounts represent fees for professional services for the audit of our annual consolidated financial statements and the services that an independent auditor would customarily provide in connection with subsidiary audits, statutory requirements, regulatory filings and similar engagements for the fiscal year, such as comfort letters, attest services, consents and assistance with review of documents filed with the SEC, as applicable.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Audit Fees also include advice on accounting matters that arose in connection with or as a result of the audit or the review of periodic consolidated financial statements and statutory audits that non-U.S. jurisdictions require.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163" w:name="a094"/>
                      <w:bookmarkEnd w:id="163"/>
                      <w:r>
                        <w:rPr>
                          <w:rFonts w:ascii="Arial;Helvetica;Sans-Serif" w:hAnsi="Arial;Helvetica;Sans-Serif"/>
                          <w:b/>
                          <w:i w:val="false"/>
                          <w:caps w:val="false"/>
                          <w:smallCaps w:val="false"/>
                          <w:color w:val="231F20"/>
                          <w:sz w:val="18"/>
                        </w:rPr>
                        <w:t>Audit Related Fees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Audit related fees consist of assurance and related services that are reasonably related to the performance of the audit or review of our consolidated financial statements. This category may include fees related to the performance of audits and attest services not required by statute or regulations, audits of our employee benefit plans, due diligence related to mergers, acquisitions, and investments, additional revenue and license compliance procedures related to performance of the review or audit of our financial statements, and accounting consultations about the application of GAAP to proposed transactions.</w:t>
                      </w:r>
                    </w:p>
                  </w:txbxContent>
                </v:textbox>
                <w10:wrap type="square" side="right"/>
              </v:rect>
            </w:pict>
          </mc:Fallback>
        </mc:AlternateContent>
      </w:r>
      <w:r>
        <mc:AlternateContent>
          <mc:Choice Requires="wps">
            <w:drawing>
              <wp:anchor behindDoc="0" distT="0" distB="0" distL="0" distR="0" simplePos="0" locked="0" layoutInCell="1" allowOverlap="1" relativeHeight="216">
                <wp:simplePos x="0" y="0"/>
                <wp:positionH relativeFrom="column">
                  <wp:align>right</wp:align>
                </wp:positionH>
                <wp:positionV relativeFrom="line">
                  <wp:posOffset>635</wp:posOffset>
                </wp:positionV>
                <wp:extent cx="3110230" cy="5652135"/>
                <wp:effectExtent l="0" t="0" r="0" b="0"/>
                <wp:wrapSquare wrapText="largest"/>
                <wp:docPr id="478" name="Frame85"/>
                <a:graphic xmlns:a="http://schemas.openxmlformats.org/drawingml/2006/main">
                  <a:graphicData uri="http://schemas.microsoft.com/office/word/2010/wordprocessingShape">
                    <wps:wsp>
                      <wps:cNvSpPr txBox="1"/>
                      <wps:spPr>
                        <a:xfrm>
                          <a:off x="0" y="0"/>
                          <a:ext cx="3110230" cy="5652135"/>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164" w:name="a095"/>
                            <w:bookmarkEnd w:id="164"/>
                            <w:r>
                              <w:rPr>
                                <w:rFonts w:ascii="Arial;Helvetica;Sans-Serif" w:hAnsi="Arial;Helvetica;Sans-Serif"/>
                                <w:b/>
                                <w:i w:val="false"/>
                                <w:caps w:val="false"/>
                                <w:smallCaps w:val="false"/>
                                <w:color w:val="231F20"/>
                                <w:sz w:val="18"/>
                              </w:rPr>
                              <w:t>Tax Fees and All Other Fees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Fees and expenses paid to our Ernst &amp; Young LLP for tax compliance, planning and advice. The audit committee has concluded the provision of the non-audit services listed above is compatible with maintaining the independence of Ernst &amp; Young LLP. None of the services related to the fees described above was approved pursuant to the waiver of pre-approval provisions set forth in the SEC rules.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65" w:name="a096"/>
                            <w:bookmarkEnd w:id="165"/>
                            <w:r>
                              <w:rPr>
                                <w:rFonts w:ascii="Arial;Helvetica;Sans-Serif" w:hAnsi="Arial;Helvetica;Sans-Serif"/>
                                <w:b/>
                                <w:i w:val="false"/>
                                <w:caps w:val="false"/>
                                <w:smallCaps w:val="false"/>
                                <w:color w:val="EE0027"/>
                                <w:sz w:val="20"/>
                              </w:rPr>
                              <w:t>Policy on Audit Committee Pre-Approval of Audit and Permissible Non-Audit Services of Independent Auditor</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has established a policy for pre-approval of audit and permissible non-audit services provided by the independent auditor and is responsible for fee negotiations with the independent auditor. Each year, the audit committee approves the terms on which the independent auditor is engaged for the ensuing fiscal year. At least quarterly, the Committee will review and, if appropriate, pre-approve services to be performed by the independent auditor, review a report summarizing fiscal year-to-date services provided by the independent auditor, and review an updated projection of the fiscal year’s estimated fees. The audit committee, as permitted by its pre-approval policy, from time to time delegates the approval of certain permitted services or classes of services to a member of the Committee. The Committee will then review the delegate’s approval decisions each quarter. Independent auditor fees are evaluated based on the scope of the proposed work, the overall hours and fees and a reconciliation of overall hours and fees from one year to the next, reasonable and customary fees in the industry, periodic competitive bids, expected increases and decreases based on changes in the Company’s business and other changes such as new acquisitions, expected decrease in hours in the second and subsequent years of ownership of an acquired company, and expected impact of any new processes.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5.0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i w:val="false"/>
                          <w:caps w:val="false"/>
                          <w:smallCaps w:val="false"/>
                          <w:color w:val="231F20"/>
                          <w:sz w:val="18"/>
                        </w:rPr>
                      </w:pPr>
                      <w:bookmarkStart w:id="166" w:name="a095"/>
                      <w:bookmarkEnd w:id="166"/>
                      <w:r>
                        <w:rPr>
                          <w:rFonts w:ascii="Arial;Helvetica;Sans-Serif" w:hAnsi="Arial;Helvetica;Sans-Serif"/>
                          <w:b/>
                          <w:i w:val="false"/>
                          <w:caps w:val="false"/>
                          <w:smallCaps w:val="false"/>
                          <w:color w:val="231F20"/>
                          <w:sz w:val="18"/>
                        </w:rPr>
                        <w:t>Tax Fees and All Other Fees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Fees and expenses paid to our Ernst &amp; Young LLP for tax compliance, planning and advice. The audit committee has concluded the provision of the non-audit services listed above is compatible with maintaining the independence of Ernst &amp; Young LLP. None of the services related to the fees described above was approved pursuant to the waiver of pre-approval provisions set forth in the SEC rules.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67" w:name="a096"/>
                      <w:bookmarkEnd w:id="167"/>
                      <w:r>
                        <w:rPr>
                          <w:rFonts w:ascii="Arial;Helvetica;Sans-Serif" w:hAnsi="Arial;Helvetica;Sans-Serif"/>
                          <w:b/>
                          <w:i w:val="false"/>
                          <w:caps w:val="false"/>
                          <w:smallCaps w:val="false"/>
                          <w:color w:val="EE0027"/>
                          <w:sz w:val="20"/>
                        </w:rPr>
                        <w:t>Policy on Audit Committee Pre-Approval of Audit and Permissible Non-Audit Services of Independent Auditor</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has established a policy for pre-approval of audit and permissible non-audit services provided by the independent auditor and is responsible for fee negotiations with the independent auditor. Each year, the audit committee approves the terms on which the independent auditor is engaged for the ensuing fiscal year. At least quarterly, the Committee will review and, if appropriate, pre-approve services to be performed by the independent auditor, review a report summarizing fiscal year-to-date services provided by the independent auditor, and review an updated projection of the fiscal year’s estimated fees. The audit committee, as permitted by its pre-approval policy, from time to time delegates the approval of certain permitted services or classes of services to a member of the Committee. The Committee will then review the delegate’s approval decisions each quarter. Independent auditor fees are evaluated based on the scope of the proposed work, the overall hours and fees and a reconciliation of overall hours and fees from one year to the next, reasonable and customary fees in the industry, periodic competitive bids, expected increases and decreases based on changes in the Company’s business and other changes such as new acquisitions, expected decrease in hours in the second and subsequent years of ownership of an acquired company, and expected impact of any new processes.</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60</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217">
                <wp:simplePos x="0" y="0"/>
                <wp:positionH relativeFrom="column">
                  <wp:align>left</wp:align>
                </wp:positionH>
                <wp:positionV relativeFrom="line">
                  <wp:posOffset>635</wp:posOffset>
                </wp:positionV>
                <wp:extent cx="3110230" cy="2512060"/>
                <wp:effectExtent l="0" t="0" r="0" b="0"/>
                <wp:wrapSquare wrapText="largest"/>
                <wp:docPr id="479" name="Frame86"/>
                <a:graphic xmlns:a="http://schemas.openxmlformats.org/drawingml/2006/main">
                  <a:graphicData uri="http://schemas.microsoft.com/office/word/2010/wordprocessingShape">
                    <wps:wsp>
                      <wps:cNvSpPr txBox="1"/>
                      <wps:spPr>
                        <a:xfrm>
                          <a:off x="0" y="0"/>
                          <a:ext cx="3110230" cy="2512060"/>
                        </a:xfrm>
                        <a:prstGeom prst="rect"/>
                      </wps:spPr>
                      <wps:txbx>
                        <w:txbxContent>
                          <w:p>
                            <w:pPr>
                              <w:pStyle w:val="TextBody"/>
                              <w:spacing w:before="0" w:after="0"/>
                              <w:ind w:left="20" w:right="0" w:hanging="0"/>
                              <w:rPr>
                                <w:rFonts w:ascii="Arial;Helvetica;Sans-Serif" w:hAnsi="Arial;Helvetica;Sans-Serif"/>
                                <w:b w:val="false"/>
                                <w:i w:val="false"/>
                                <w:caps w:val="false"/>
                                <w:smallCaps w:val="false"/>
                                <w:sz w:val="20"/>
                              </w:rPr>
                            </w:pPr>
                            <w:bookmarkStart w:id="168" w:name="a097"/>
                            <w:bookmarkEnd w:id="168"/>
                            <w:r>
                              <w:rPr>
                                <w:rFonts w:ascii="Arial;Helvetica;Sans-Serif" w:hAnsi="Arial;Helvetica;Sans-Serif"/>
                                <w:b/>
                                <w:i w:val="false"/>
                                <w:caps w:val="false"/>
                                <w:smallCaps w:val="false"/>
                                <w:color w:val="231F20"/>
                                <w:sz w:val="20"/>
                              </w:rPr>
                              <w:t xml:space="preserve">17. </w:t>
                            </w:r>
                            <w:r>
                              <w:rPr>
                                <w:rFonts w:ascii="Arial;Helvetica;Sans-Serif" w:hAnsi="Arial;Helvetica;Sans-Serif"/>
                                <w:b w:val="false"/>
                                <w:i w:val="false"/>
                                <w:caps w:val="false"/>
                                <w:smallCaps w:val="false"/>
                                <w:color w:val="EE0027"/>
                                <w:sz w:val="20"/>
                              </w:rPr>
                              <w:t>PROPOSAL 1: ELECTION OF DIRECTORS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of Directors currently consists of eleven members. Except for our CEO, all of our directors are independent under the NYSE rules.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2019, we began to phase out the classified board structure that had been in effect since before we went public in 2010. All directors whose terms expire at this year’s annual meeting will stand for election for a one-year term, expiring at the following annual meeting. At and after the annual meeting, all directors will be elected annually and we will have no classified director terms.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Accordingly, all eleven of our directors — Steven T. Stull, Annabelle Bexiga, Michael Buckman, Ronald F. Clarke, Joseph W. Farrelly, Rahul Gupta, Thomas M. Hagerty, Archie L. Jones,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97.8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spacing w:before="0" w:after="0"/>
                        <w:ind w:left="20" w:right="0" w:hanging="0"/>
                        <w:rPr>
                          <w:rFonts w:ascii="Arial;Helvetica;Sans-Serif" w:hAnsi="Arial;Helvetica;Sans-Serif"/>
                          <w:b w:val="false"/>
                          <w:i w:val="false"/>
                          <w:caps w:val="false"/>
                          <w:smallCaps w:val="false"/>
                          <w:sz w:val="20"/>
                        </w:rPr>
                      </w:pPr>
                      <w:bookmarkStart w:id="169" w:name="a097"/>
                      <w:bookmarkEnd w:id="169"/>
                      <w:r>
                        <w:rPr>
                          <w:rFonts w:ascii="Arial;Helvetica;Sans-Serif" w:hAnsi="Arial;Helvetica;Sans-Serif"/>
                          <w:b/>
                          <w:i w:val="false"/>
                          <w:caps w:val="false"/>
                          <w:smallCaps w:val="false"/>
                          <w:color w:val="231F20"/>
                          <w:sz w:val="20"/>
                        </w:rPr>
                        <w:t xml:space="preserve">17. </w:t>
                      </w:r>
                      <w:r>
                        <w:rPr>
                          <w:rFonts w:ascii="Arial;Helvetica;Sans-Serif" w:hAnsi="Arial;Helvetica;Sans-Serif"/>
                          <w:b w:val="false"/>
                          <w:i w:val="false"/>
                          <w:caps w:val="false"/>
                          <w:smallCaps w:val="false"/>
                          <w:color w:val="EE0027"/>
                          <w:sz w:val="20"/>
                        </w:rPr>
                        <w:t>PROPOSAL 1: ELECTION OF DIRECTORS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of Directors currently consists of eleven members. Except for our CEO, all of our directors are independent under the NYSE rules.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2019, we began to phase out the classified board structure that had been in effect since before we went public in 2010. All directors whose terms expire at this year’s annual meeting will stand for election for a one-year term, expiring at the following annual meeting. At and after the annual meeting, all directors will be elected annually and we will have no classified director terms.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Accordingly, all eleven of our directors — Steven T. Stull, Annabelle Bexiga, Michael Buckman, Ronald F. Clarke, Joseph W. Farrelly, Rahul Gupta, Thomas M. Hagerty, Archie L. Jones,</w:t>
                      </w:r>
                    </w:p>
                  </w:txbxContent>
                </v:textbox>
                <w10:wrap type="square" side="right"/>
              </v:rect>
            </w:pict>
          </mc:Fallback>
        </mc:AlternateContent>
      </w:r>
      <w:r>
        <mc:AlternateContent>
          <mc:Choice Requires="wps">
            <w:drawing>
              <wp:anchor behindDoc="0" distT="0" distB="0" distL="0" distR="0" simplePos="0" locked="0" layoutInCell="1" allowOverlap="1" relativeHeight="218">
                <wp:simplePos x="0" y="0"/>
                <wp:positionH relativeFrom="column">
                  <wp:align>right</wp:align>
                </wp:positionH>
                <wp:positionV relativeFrom="line">
                  <wp:posOffset>635</wp:posOffset>
                </wp:positionV>
                <wp:extent cx="3110230" cy="1971675"/>
                <wp:effectExtent l="0" t="0" r="0" b="0"/>
                <wp:wrapSquare wrapText="largest"/>
                <wp:docPr id="480" name="Frame87"/>
                <a:graphic xmlns:a="http://schemas.openxmlformats.org/drawingml/2006/main">
                  <a:graphicData uri="http://schemas.microsoft.com/office/word/2010/wordprocessingShape">
                    <wps:wsp>
                      <wps:cNvSpPr txBox="1"/>
                      <wps:spPr>
                        <a:xfrm>
                          <a:off x="0" y="0"/>
                          <a:ext cx="3110230" cy="1971675"/>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Richard Macchia, Hala G. Moddelmog and Jeffrey S. Sloan — will stand for election to the Board for a one-year term. The accompanying proxy will be voted in favor of each individual to serve as a director unless the shareholder indicates to the contrary on the proxy. The Board expects that each of the nominees will be available to serve, but if any of them is unable to serve at the time the election occurs, the Board may, by resolution, provide for a lesser number of directors or designate a substitute nominee.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Our Board of Directors recommends that you vote “FOR” each of the director nominees named above.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5.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Richard Macchia, Hala G. Moddelmog and Jeffrey S. Sloan — will stand for election to the Board for a one-year term. The accompanying proxy will be voted in favor of each individual to serve as a director unless the shareholder indicates to the contrary on the proxy. The Board expects that each of the nominees will be available to serve, but if any of them is unable to serve at the time the election occurs, the Board may, by resolution, provide for a lesser number of directors or designate a substitute nominee.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Our Board of Directors recommends that you vote “FOR” each of the director nominees named above.</w:t>
                      </w:r>
                    </w:p>
                  </w:txbxContent>
                </v:textbox>
                <w10:wrap type="square" side="left"/>
              </v:rect>
            </w:pict>
          </mc:Fallback>
        </mc:AlternateContent>
      </w:r>
    </w:p>
    <w:p>
      <w:pPr>
        <w:pStyle w:val="TextBody"/>
        <w:rPr/>
      </w:pPr>
      <w:r>
        <w:rPr/>
      </w:r>
    </w:p>
    <w:p>
      <w:pPr>
        <w:pStyle w:val="TextBody"/>
        <w:spacing w:before="60" w:after="60"/>
        <w:jc w:val="center"/>
        <w:rPr>
          <w:caps w:val="false"/>
          <w:smallCaps w:val="false"/>
          <w:bdr w:val="single" w:sz="8" w:space="1" w:color="000000"/>
        </w:rPr>
      </w:pPr>
      <w:r>
        <w:rPr>
          <w:caps w:val="false"/>
          <w:smallCaps w:val="false"/>
          <w:bdr w:val="single" w:sz="8" w:space="1" w:color="000000"/>
        </w:rPr>
        <w:t> </w:t>
      </w:r>
    </w:p>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219">
                <wp:simplePos x="0" y="0"/>
                <wp:positionH relativeFrom="column">
                  <wp:align>left</wp:align>
                </wp:positionH>
                <wp:positionV relativeFrom="line">
                  <wp:posOffset>635</wp:posOffset>
                </wp:positionV>
                <wp:extent cx="3110230" cy="1942465"/>
                <wp:effectExtent l="0" t="0" r="0" b="0"/>
                <wp:wrapSquare wrapText="largest"/>
                <wp:docPr id="481" name="Frame88"/>
                <a:graphic xmlns:a="http://schemas.openxmlformats.org/drawingml/2006/main">
                  <a:graphicData uri="http://schemas.microsoft.com/office/word/2010/wordprocessingShape">
                    <wps:wsp>
                      <wps:cNvSpPr txBox="1"/>
                      <wps:spPr>
                        <a:xfrm>
                          <a:off x="0" y="0"/>
                          <a:ext cx="3110230" cy="1942465"/>
                        </a:xfrm>
                        <a:prstGeom prst="rect"/>
                      </wps:spPr>
                      <wps:txbx>
                        <w:txbxContent>
                          <w:p>
                            <w:pPr>
                              <w:pStyle w:val="TextBody"/>
                              <w:spacing w:before="0" w:after="0"/>
                              <w:ind w:left="0" w:right="0" w:hanging="0"/>
                              <w:rPr>
                                <w:rFonts w:ascii="Arial;Helvetica;Sans-Serif" w:hAnsi="Arial;Helvetica;Sans-Serif"/>
                                <w:b w:val="false"/>
                                <w:i w:val="false"/>
                                <w:caps w:val="false"/>
                                <w:smallCaps w:val="false"/>
                                <w:sz w:val="20"/>
                              </w:rPr>
                            </w:pPr>
                            <w:bookmarkStart w:id="170" w:name="a098"/>
                            <w:bookmarkEnd w:id="170"/>
                            <w:r>
                              <w:rPr>
                                <w:rFonts w:ascii="Arial;Helvetica;Sans-Serif" w:hAnsi="Arial;Helvetica;Sans-Serif"/>
                                <w:b/>
                                <w:i w:val="false"/>
                                <w:caps w:val="false"/>
                                <w:smallCaps w:val="false"/>
                                <w:color w:val="231F20"/>
                                <w:sz w:val="20"/>
                              </w:rPr>
                              <w:t xml:space="preserve">18.   </w:t>
                            </w:r>
                            <w:r>
                              <w:rPr>
                                <w:rFonts w:ascii="Arial;Helvetica;Sans-Serif" w:hAnsi="Arial;Helvetica;Sans-Serif"/>
                                <w:b w:val="false"/>
                                <w:i w:val="false"/>
                                <w:caps w:val="false"/>
                                <w:smallCaps w:val="false"/>
                                <w:color w:val="EE0027"/>
                                <w:sz w:val="20"/>
                              </w:rPr>
                              <w:t>PROPOSAL 2: RATIFICATION OF ERNST &amp; YOUNG LLP AS OUR INDEPENDENT REGISTERED PUBLIC ACCOUNTING FIRM FOR FISCAL YEAR 2023</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of the Board has selected Ernst &amp; Young LLP as the independent registered public accounting firm for fiscal year 2023. Shareholder ratification of the appointment is not legally required but the audit committee has decided to request that the shareholders ratify the appointment. A representative of Ernst &amp; Young LLP will be present at the annual meeting to answer appropriate questions from shareholders and will have the opportunity to make a statement on behalf of the firm, if desired.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52.9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spacing w:before="0" w:after="0"/>
                        <w:ind w:left="0" w:right="0" w:hanging="0"/>
                        <w:rPr>
                          <w:rFonts w:ascii="Arial;Helvetica;Sans-Serif" w:hAnsi="Arial;Helvetica;Sans-Serif"/>
                          <w:b w:val="false"/>
                          <w:i w:val="false"/>
                          <w:caps w:val="false"/>
                          <w:smallCaps w:val="false"/>
                          <w:sz w:val="20"/>
                        </w:rPr>
                      </w:pPr>
                      <w:bookmarkStart w:id="171" w:name="a098"/>
                      <w:bookmarkEnd w:id="171"/>
                      <w:r>
                        <w:rPr>
                          <w:rFonts w:ascii="Arial;Helvetica;Sans-Serif" w:hAnsi="Arial;Helvetica;Sans-Serif"/>
                          <w:b/>
                          <w:i w:val="false"/>
                          <w:caps w:val="false"/>
                          <w:smallCaps w:val="false"/>
                          <w:color w:val="231F20"/>
                          <w:sz w:val="20"/>
                        </w:rPr>
                        <w:t xml:space="preserve">18.   </w:t>
                      </w:r>
                      <w:r>
                        <w:rPr>
                          <w:rFonts w:ascii="Arial;Helvetica;Sans-Serif" w:hAnsi="Arial;Helvetica;Sans-Serif"/>
                          <w:b w:val="false"/>
                          <w:i w:val="false"/>
                          <w:caps w:val="false"/>
                          <w:smallCaps w:val="false"/>
                          <w:color w:val="EE0027"/>
                          <w:sz w:val="20"/>
                        </w:rPr>
                        <w:t>PROPOSAL 2: RATIFICATION OF ERNST &amp; YOUNG LLP AS OUR INDEPENDENT REGISTERED PUBLIC ACCOUNTING FIRM FOR FISCAL YEAR 2023</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audit committee of the Board has selected Ernst &amp; Young LLP as the independent registered public accounting firm for fiscal year 2023. Shareholder ratification of the appointment is not legally required but the audit committee has decided to request that the shareholders ratify the appointment. A representative of Ernst &amp; Young LLP will be present at the annual meeting to answer appropriate questions from shareholders and will have the opportunity to make a statement on behalf of the firm, if desired.</w:t>
                      </w:r>
                    </w:p>
                  </w:txbxContent>
                </v:textbox>
                <w10:wrap type="square" side="right"/>
              </v:rect>
            </w:pict>
          </mc:Fallback>
        </mc:AlternateContent>
      </w:r>
      <w:r>
        <mc:AlternateContent>
          <mc:Choice Requires="wps">
            <w:drawing>
              <wp:anchor behindDoc="0" distT="0" distB="0" distL="0" distR="0" simplePos="0" locked="0" layoutInCell="1" allowOverlap="1" relativeHeight="220">
                <wp:simplePos x="0" y="0"/>
                <wp:positionH relativeFrom="column">
                  <wp:align>right</wp:align>
                </wp:positionH>
                <wp:positionV relativeFrom="line">
                  <wp:posOffset>635</wp:posOffset>
                </wp:positionV>
                <wp:extent cx="3110230" cy="2190750"/>
                <wp:effectExtent l="0" t="0" r="0" b="0"/>
                <wp:wrapSquare wrapText="largest"/>
                <wp:docPr id="482" name="Frame89"/>
                <a:graphic xmlns:a="http://schemas.openxmlformats.org/drawingml/2006/main">
                  <a:graphicData uri="http://schemas.microsoft.com/office/word/2010/wordprocessingShape">
                    <wps:wsp>
                      <wps:cNvSpPr txBox="1"/>
                      <wps:spPr>
                        <a:xfrm>
                          <a:off x="0" y="0"/>
                          <a:ext cx="3110230" cy="2190750"/>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If this proposal is not approved by our shareholders at the annual meeting, the audit committee will reconsider its selection of Ernst &amp; Young LLP. Even if the selection is ratified, the audit committee may, in its discretion, select a different registered public accounting firm at any point during the year if it determines that making a change would be in the best interests of the Company and our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Our Board of Directors recommends that you vote “FOR” the ratification of Ernst &amp; Young LLP as our independent registered public accounting firm for 2023.</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7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If this proposal is not approved by our shareholders at the annual meeting, the audit committee will reconsider its selection of Ernst &amp; Young LLP. Even if the selection is ratified, the audit committee may, in its discretion, select a different registered public accounting firm at any point during the year if it determines that making a change would be in the best interests of the Company and our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Our Board of Directors recommends that you vote “FOR” the ratification of Ernst &amp; Young LLP as our independent registered public accounting firm for 2023.</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910" w:type="dxa"/>
        <w:jc w:val="left"/>
        <w:tblInd w:w="0" w:type="dxa"/>
        <w:tblCellMar>
          <w:top w:w="0" w:type="dxa"/>
          <w:left w:w="0" w:type="dxa"/>
          <w:bottom w:w="0" w:type="dxa"/>
          <w:right w:w="0" w:type="dxa"/>
        </w:tblCellMar>
      </w:tblPr>
      <w:tblGrid>
        <w:gridCol w:w="3695"/>
        <w:gridCol w:w="215"/>
      </w:tblGrid>
      <w:tr>
        <w:trPr/>
        <w:tc>
          <w:tcPr>
            <w:tcW w:w="3695"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 xml:space="preserve">2023 Notice of Annual Meeting &amp; Proxy Statement </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61</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221">
                <wp:simplePos x="0" y="0"/>
                <wp:positionH relativeFrom="column">
                  <wp:align>left</wp:align>
                </wp:positionH>
                <wp:positionV relativeFrom="line">
                  <wp:posOffset>635</wp:posOffset>
                </wp:positionV>
                <wp:extent cx="3110230" cy="2877185"/>
                <wp:effectExtent l="0" t="0" r="0" b="0"/>
                <wp:wrapSquare wrapText="largest"/>
                <wp:docPr id="483" name="Frame90"/>
                <a:graphic xmlns:a="http://schemas.openxmlformats.org/drawingml/2006/main">
                  <a:graphicData uri="http://schemas.microsoft.com/office/word/2010/wordprocessingShape">
                    <wps:wsp>
                      <wps:cNvSpPr txBox="1"/>
                      <wps:spPr>
                        <a:xfrm>
                          <a:off x="0" y="0"/>
                          <a:ext cx="3110230" cy="2877185"/>
                        </a:xfrm>
                        <a:prstGeom prst="rect"/>
                      </wps:spPr>
                      <wps:txbx>
                        <w:txbxContent>
                          <w:p>
                            <w:pPr>
                              <w:pStyle w:val="TextBody"/>
                              <w:spacing w:before="0" w:after="0"/>
                              <w:ind w:left="0" w:right="0" w:hanging="0"/>
                              <w:rPr>
                                <w:rFonts w:ascii="Arial;Helvetica;Sans-Serif" w:hAnsi="Arial;Helvetica;Sans-Serif"/>
                                <w:b w:val="false"/>
                                <w:i w:val="false"/>
                                <w:caps w:val="false"/>
                                <w:smallCaps w:val="false"/>
                                <w:sz w:val="20"/>
                              </w:rPr>
                            </w:pPr>
                            <w:bookmarkStart w:id="172" w:name="a099"/>
                            <w:bookmarkEnd w:id="172"/>
                            <w:r>
                              <w:rPr>
                                <w:rFonts w:ascii="Arial;Helvetica;Sans-Serif" w:hAnsi="Arial;Helvetica;Sans-Serif"/>
                                <w:b/>
                                <w:i w:val="false"/>
                                <w:caps w:val="false"/>
                                <w:smallCaps w:val="false"/>
                                <w:color w:val="231F20"/>
                                <w:sz w:val="20"/>
                              </w:rPr>
                              <w:t xml:space="preserve">19.   </w:t>
                            </w:r>
                            <w:r>
                              <w:rPr>
                                <w:rFonts w:ascii="Arial;Helvetica;Sans-Serif" w:hAnsi="Arial;Helvetica;Sans-Serif"/>
                                <w:b w:val="false"/>
                                <w:i w:val="false"/>
                                <w:caps w:val="false"/>
                                <w:smallCaps w:val="false"/>
                                <w:color w:val="EE0027"/>
                                <w:sz w:val="20"/>
                              </w:rPr>
                              <w:t>PROPOSAL 3: ADVISORY VOTE TO APPROVE NAMED EXECUTIVE OFFICER COMPENSATION</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and our shareholders have determined to hold an advisory vote on executive compensation, as required pursuant to Section 14A of the Exchange Act, every year. Accordingly, we are asking shareholders to vote to approve the 2022 compensation of our named executive officers as such compensation is disclosed pursuant to Item 402 of the SEC’s Regulation S-K, including the Compensation Discussion and Analysis, the compensation tables, and other narrative compensation disclosures required by Item 402. This Proxy Statement contains all of these required disclosures. The following resolution is submitted:</w:t>
                            </w:r>
                          </w:p>
                          <w:p>
                            <w:pPr>
                              <w:pStyle w:val="TextBody"/>
                              <w:spacing w:before="0" w:after="0"/>
                              <w:rPr>
                                <w:caps w:val="false"/>
                                <w:smallCaps w:val="false"/>
                                <w:color w:val="58595B"/>
                              </w:rPr>
                            </w:pPr>
                            <w:r>
                              <w:rPr>
                                <w:caps w:val="false"/>
                                <w:smallCaps w:val="false"/>
                                <w:color w:val="58595B"/>
                              </w:rPr>
                              <w:t> </w:t>
                            </w:r>
                          </w:p>
                          <w:p>
                            <w:pPr>
                              <w:pStyle w:val="TextBody"/>
                              <w:spacing w:before="0" w:after="0"/>
                              <w:ind w:left="360" w:right="0" w:hanging="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RESOLVED, that the compensation paid to our named executive officers, as disclosed pursuant to Item 402 of the SEC’s Regulation S-K, including the Compensation Discussion and Analysis, compensation tables and other narrative compensation disclosure set forth in this Proxy Statement is hereby APPROVED.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26.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0" w:right="0" w:hanging="0"/>
                        <w:rPr>
                          <w:rFonts w:ascii="Arial;Helvetica;Sans-Serif" w:hAnsi="Arial;Helvetica;Sans-Serif"/>
                          <w:b w:val="false"/>
                          <w:i w:val="false"/>
                          <w:caps w:val="false"/>
                          <w:smallCaps w:val="false"/>
                          <w:sz w:val="20"/>
                        </w:rPr>
                      </w:pPr>
                      <w:bookmarkStart w:id="173" w:name="a099"/>
                      <w:bookmarkEnd w:id="173"/>
                      <w:r>
                        <w:rPr>
                          <w:rFonts w:ascii="Arial;Helvetica;Sans-Serif" w:hAnsi="Arial;Helvetica;Sans-Serif"/>
                          <w:b/>
                          <w:i w:val="false"/>
                          <w:caps w:val="false"/>
                          <w:smallCaps w:val="false"/>
                          <w:color w:val="231F20"/>
                          <w:sz w:val="20"/>
                        </w:rPr>
                        <w:t xml:space="preserve">19.   </w:t>
                      </w:r>
                      <w:r>
                        <w:rPr>
                          <w:rFonts w:ascii="Arial;Helvetica;Sans-Serif" w:hAnsi="Arial;Helvetica;Sans-Serif"/>
                          <w:b w:val="false"/>
                          <w:i w:val="false"/>
                          <w:caps w:val="false"/>
                          <w:smallCaps w:val="false"/>
                          <w:color w:val="EE0027"/>
                          <w:sz w:val="20"/>
                        </w:rPr>
                        <w:t>PROPOSAL 3: ADVISORY VOTE TO APPROVE NAMED EXECUTIVE OFFICER COMPENSATION</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Our Board and our shareholders have determined to hold an advisory vote on executive compensation, as required pursuant to Section 14A of the Exchange Act, every year. Accordingly, we are asking shareholders to vote to approve the 2022 compensation of our named executive officers as such compensation is disclosed pursuant to Item 402 of the SEC’s Regulation S-K, including the Compensation Discussion and Analysis, the compensation tables, and other narrative compensation disclosures required by Item 402. This Proxy Statement contains all of these required disclosures. The following resolution is submitted:</w:t>
                      </w:r>
                    </w:p>
                    <w:p>
                      <w:pPr>
                        <w:pStyle w:val="TextBody"/>
                        <w:spacing w:before="0" w:after="0"/>
                        <w:rPr>
                          <w:caps w:val="false"/>
                          <w:smallCaps w:val="false"/>
                          <w:color w:val="58595B"/>
                        </w:rPr>
                      </w:pPr>
                      <w:r>
                        <w:rPr>
                          <w:caps w:val="false"/>
                          <w:smallCaps w:val="false"/>
                          <w:color w:val="58595B"/>
                        </w:rPr>
                        <w:t> </w:t>
                      </w:r>
                    </w:p>
                    <w:p>
                      <w:pPr>
                        <w:pStyle w:val="TextBody"/>
                        <w:spacing w:before="0" w:after="0"/>
                        <w:ind w:left="360" w:right="0" w:hanging="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RESOLVED, that the compensation paid to our named executive officers, as disclosed pursuant to Item 402 of the SEC’s Regulation S-K, including the Compensation Discussion and Analysis, compensation tables and other narrative compensation disclosure set forth in this Proxy Statement is hereby APPROVED.</w:t>
                      </w:r>
                    </w:p>
                  </w:txbxContent>
                </v:textbox>
                <w10:wrap type="square" side="right"/>
              </v:rect>
            </w:pict>
          </mc:Fallback>
        </mc:AlternateContent>
      </w:r>
      <w:r>
        <mc:AlternateContent>
          <mc:Choice Requires="wps">
            <w:drawing>
              <wp:anchor behindDoc="0" distT="0" distB="0" distL="0" distR="0" simplePos="0" locked="0" layoutInCell="1" allowOverlap="1" relativeHeight="222">
                <wp:simplePos x="0" y="0"/>
                <wp:positionH relativeFrom="column">
                  <wp:align>right</wp:align>
                </wp:positionH>
                <wp:positionV relativeFrom="line">
                  <wp:posOffset>635</wp:posOffset>
                </wp:positionV>
                <wp:extent cx="3110230" cy="2585085"/>
                <wp:effectExtent l="0" t="0" r="0" b="0"/>
                <wp:wrapSquare wrapText="largest"/>
                <wp:docPr id="484" name="Frame91"/>
                <a:graphic xmlns:a="http://schemas.openxmlformats.org/drawingml/2006/main">
                  <a:graphicData uri="http://schemas.microsoft.com/office/word/2010/wordprocessingShape">
                    <wps:wsp>
                      <wps:cNvSpPr txBox="1"/>
                      <wps:spPr>
                        <a:xfrm>
                          <a:off x="0" y="0"/>
                          <a:ext cx="3110230" cy="2585085"/>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Because the vote on this proposal is advisory, it will not affect compensation already paid or awarded to any named executive officer and will not be binding on the Company, the Board, or the compensation committee. The Board and compensation committee, however, will review the voting results and take into account the outcome in determining future annual compensation for the named executive officers.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currently conduct a say-on-pay vote annually. Our next say-on-pay vote is expected to occur at the 2024 annual meeting of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Our Board of Directors recommends that you vote “FOR” the approval of named executive officer compensation as set forth above.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3.5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Because the vote on this proposal is advisory, it will not affect compensation already paid or awarded to any named executive officer and will not be binding on the Company, the Board, or the compensation committee. The Board and compensation committee, however, will review the voting results and take into account the outcome in determining future annual compensation for the named executive officers.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currently conduct a say-on-pay vote annually. Our next say-on-pay vote is expected to occur at the 2024 annual meeting of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Our Board of Directors recommends that you vote “FOR” the approval of named executive officer compensation as set forth above.</w:t>
                      </w:r>
                    </w:p>
                  </w:txbxContent>
                </v:textbox>
                <w10:wrap type="square" side="left"/>
              </v:rect>
            </w:pict>
          </mc:Fallback>
        </mc:AlternateContent>
      </w:r>
    </w:p>
    <w:p>
      <w:pPr>
        <w:pStyle w:val="TextBody"/>
        <w:rPr/>
      </w:pPr>
      <w:r>
        <w:rPr/>
      </w:r>
    </w:p>
    <w:p>
      <w:pPr>
        <w:pStyle w:val="TextBody"/>
        <w:spacing w:before="60" w:after="60"/>
        <w:jc w:val="center"/>
        <w:rPr>
          <w:caps w:val="false"/>
          <w:smallCaps w:val="false"/>
          <w:bdr w:val="single" w:sz="8" w:space="1" w:color="000000"/>
        </w:rPr>
      </w:pPr>
      <w:r>
        <w:rPr>
          <w:caps w:val="false"/>
          <w:smallCaps w:val="false"/>
          <w:bdr w:val="single" w:sz="8" w:space="1" w:color="000000"/>
        </w:rPr>
        <w:t> </w:t>
      </w:r>
    </w:p>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223">
                <wp:simplePos x="0" y="0"/>
                <wp:positionH relativeFrom="column">
                  <wp:align>left</wp:align>
                </wp:positionH>
                <wp:positionV relativeFrom="line">
                  <wp:posOffset>635</wp:posOffset>
                </wp:positionV>
                <wp:extent cx="3110230" cy="3738880"/>
                <wp:effectExtent l="0" t="0" r="0" b="0"/>
                <wp:wrapSquare wrapText="largest"/>
                <wp:docPr id="485" name="Frame92"/>
                <a:graphic xmlns:a="http://schemas.openxmlformats.org/drawingml/2006/main">
                  <a:graphicData uri="http://schemas.microsoft.com/office/word/2010/wordprocessingShape">
                    <wps:wsp>
                      <wps:cNvSpPr txBox="1"/>
                      <wps:spPr>
                        <a:xfrm>
                          <a:off x="0" y="0"/>
                          <a:ext cx="3110230" cy="3738880"/>
                        </a:xfrm>
                        <a:prstGeom prst="rect"/>
                      </wps:spPr>
                      <wps:txbx>
                        <w:txbxContent>
                          <w:p>
                            <w:pPr>
                              <w:pStyle w:val="TextBody"/>
                              <w:spacing w:before="0" w:after="0"/>
                              <w:ind w:left="0" w:right="0" w:hanging="0"/>
                              <w:rPr>
                                <w:rFonts w:ascii="Arial;Helvetica;Sans-Serif" w:hAnsi="Arial;Helvetica;Sans-Serif"/>
                                <w:b w:val="false"/>
                                <w:i w:val="false"/>
                                <w:caps w:val="false"/>
                                <w:smallCaps w:val="false"/>
                                <w:sz w:val="20"/>
                              </w:rPr>
                            </w:pPr>
                            <w:bookmarkStart w:id="174" w:name="a100"/>
                            <w:bookmarkEnd w:id="174"/>
                            <w:r>
                              <w:rPr>
                                <w:rFonts w:ascii="Arial;Helvetica;Sans-Serif" w:hAnsi="Arial;Helvetica;Sans-Serif"/>
                                <w:b/>
                                <w:i w:val="false"/>
                                <w:caps w:val="false"/>
                                <w:smallCaps w:val="false"/>
                                <w:color w:val="231F20"/>
                                <w:sz w:val="20"/>
                              </w:rPr>
                              <w:t xml:space="preserve">20.    </w:t>
                            </w:r>
                            <w:r>
                              <w:rPr>
                                <w:rFonts w:ascii="Arial;Helvetica;Sans-Serif" w:hAnsi="Arial;Helvetica;Sans-Serif"/>
                                <w:b w:val="false"/>
                                <w:i w:val="false"/>
                                <w:caps w:val="false"/>
                                <w:smallCaps w:val="false"/>
                                <w:color w:val="EE0027"/>
                                <w:sz w:val="20"/>
                              </w:rPr>
                              <w:t>PROPOSAL 4: ADVISORY VOTE TO APPROVE THE FREQUENCY OF SHAREHOLDER VOTING ON COMPENSATION OF NAMED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Dodd-Frank Act also provides stockholders with the opportunity to indicate, on an advisory basis, their preference as to the frequency of future say on pay votes, often referred to as say when on pay. For this proposal, stockholders may indicate whether they would prefer that we hold future advisory votes on executive compensation every one, two or three years. Stockholders also may abstain from casting a vote on this proposal.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recommends that future advisory votes on executive compensation should be held every one year; that is, on an annual basis, so that the next advisory vote would be held at our 2024 annual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Upon review, our Board of Directors has determined that an advisory vote on executive compensation that occurs annually is the most appropriate choice for our Company. The Company and the Board feel that an advisory vote each year on executive compensation encourages ongoing engagement and dialogue. While the Company’s executive compensation programs are designed to promote a connection between pay and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94.4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spacing w:before="0" w:after="0"/>
                        <w:ind w:left="0" w:right="0" w:hanging="0"/>
                        <w:rPr>
                          <w:rFonts w:ascii="Arial;Helvetica;Sans-Serif" w:hAnsi="Arial;Helvetica;Sans-Serif"/>
                          <w:b w:val="false"/>
                          <w:i w:val="false"/>
                          <w:caps w:val="false"/>
                          <w:smallCaps w:val="false"/>
                          <w:sz w:val="20"/>
                        </w:rPr>
                      </w:pPr>
                      <w:bookmarkStart w:id="175" w:name="a100"/>
                      <w:bookmarkEnd w:id="175"/>
                      <w:r>
                        <w:rPr>
                          <w:rFonts w:ascii="Arial;Helvetica;Sans-Serif" w:hAnsi="Arial;Helvetica;Sans-Serif"/>
                          <w:b/>
                          <w:i w:val="false"/>
                          <w:caps w:val="false"/>
                          <w:smallCaps w:val="false"/>
                          <w:color w:val="231F20"/>
                          <w:sz w:val="20"/>
                        </w:rPr>
                        <w:t xml:space="preserve">20.    </w:t>
                      </w:r>
                      <w:r>
                        <w:rPr>
                          <w:rFonts w:ascii="Arial;Helvetica;Sans-Serif" w:hAnsi="Arial;Helvetica;Sans-Serif"/>
                          <w:b w:val="false"/>
                          <w:i w:val="false"/>
                          <w:caps w:val="false"/>
                          <w:smallCaps w:val="false"/>
                          <w:color w:val="EE0027"/>
                          <w:sz w:val="20"/>
                        </w:rPr>
                        <w:t>PROPOSAL 4: ADVISORY VOTE TO APPROVE THE FREQUENCY OF SHAREHOLDER VOTING ON COMPENSATION OF NAMED EXECUTIVE OFFICERS</w:t>
                      </w:r>
                    </w:p>
                    <w:p>
                      <w:pPr>
                        <w:pStyle w:val="TextBody"/>
                        <w:spacing w:before="0" w:after="0"/>
                        <w:ind w:left="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Dodd-Frank Act also provides stockholders with the opportunity to indicate, on an advisory basis, their preference as to the frequency of future say on pay votes, often referred to as say when on pay. For this proposal, stockholders may indicate whether they would prefer that we hold future advisory votes on executive compensation every one, two or three years. Stockholders also may abstain from casting a vote on this proposal.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recommends that future advisory votes on executive compensation should be held every one year; that is, on an annual basis, so that the next advisory vote would be held at our 2024 annual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Upon review, our Board of Directors has determined that an advisory vote on executive compensation that occurs annually is the most appropriate choice for our Company. The Company and the Board feel that an advisory vote each year on executive compensation encourages ongoing engagement and dialogue. While the Company’s executive compensation programs are designed to promote a connection between pay and</w:t>
                      </w:r>
                    </w:p>
                  </w:txbxContent>
                </v:textbox>
                <w10:wrap type="square" side="right"/>
              </v:rect>
            </w:pict>
          </mc:Fallback>
        </mc:AlternateContent>
      </w:r>
      <w:r>
        <mc:AlternateContent>
          <mc:Choice Requires="wps">
            <w:drawing>
              <wp:anchor behindDoc="0" distT="0" distB="0" distL="0" distR="0" simplePos="0" locked="0" layoutInCell="1" allowOverlap="1" relativeHeight="224">
                <wp:simplePos x="0" y="0"/>
                <wp:positionH relativeFrom="column">
                  <wp:align>right</wp:align>
                </wp:positionH>
                <wp:positionV relativeFrom="line">
                  <wp:posOffset>635</wp:posOffset>
                </wp:positionV>
                <wp:extent cx="3110230" cy="3811905"/>
                <wp:effectExtent l="0" t="0" r="0" b="0"/>
                <wp:wrapSquare wrapText="largest"/>
                <wp:docPr id="486" name="Frame93"/>
                <a:graphic xmlns:a="http://schemas.openxmlformats.org/drawingml/2006/main">
                  <a:graphicData uri="http://schemas.microsoft.com/office/word/2010/wordprocessingShape">
                    <wps:wsp>
                      <wps:cNvSpPr txBox="1"/>
                      <wps:spPr>
                        <a:xfrm>
                          <a:off x="0" y="0"/>
                          <a:ext cx="3110230" cy="3811905"/>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performance, the Board recognizes that executive compensation disclosures are made annually and welcomes stockholder input on our compensation philosophy, policies and practices. Such annual vote complements our goal of creating and implementing a compensation philosophy, objectives, programs and practices that enhance stockholder value, and can maximize accountability and communication.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Although the vote is non-binding, the Board and the compensation committee will review the voting results in making a decision as to the policy to be adopted by the Board on the frequency of future advisory votes on executive compensation. As required by the Dodd-Frank Act, this vote does not overrule any decisions by the Board of Directors, will not create or imply any change to or any additional fiduciary duties of the Board of Directors and will not restrict or limit the ability of stockholders generally to make proposals for inclusion in proxy materials related to executive compensation.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Our Board of Directors recommends that you vote for every “ONE YEAR” for the frequency of advisory voting on compensation of named executive officers.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00.1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performance, the Board recognizes that executive compensation disclosures are made annually and welcomes stockholder input on our compensation philosophy, policies and practices. Such annual vote complements our goal of creating and implementing a compensation philosophy, objectives, programs and practices that enhance stockholder value, and can maximize accountability and communication.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Although the vote is non-binding, the Board and the compensation committee will review the voting results in making a decision as to the policy to be adopted by the Board on the frequency of future advisory votes on executive compensation. As required by the Dodd-Frank Act, this vote does not overrule any decisions by the Board of Directors, will not create or imply any change to or any additional fiduciary duties of the Board of Directors and will not restrict or limit the ability of stockholders generally to make proposals for inclusion in proxy materials related to executive compensation.</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Our Board of Directors recommends that you vote for every “ONE YEAR” for the frequency of advisory voting on compensation of named executive officers.</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62</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3110230" cy="4875530"/>
                <wp:effectExtent l="0" t="0" r="0" b="0"/>
                <wp:wrapSquare wrapText="largest"/>
                <wp:docPr id="487" name="Frame94"/>
                <a:graphic xmlns:a="http://schemas.openxmlformats.org/drawingml/2006/main">
                  <a:graphicData uri="http://schemas.microsoft.com/office/word/2010/wordprocessingShape">
                    <wps:wsp>
                      <wps:cNvSpPr txBox="1"/>
                      <wps:spPr>
                        <a:xfrm>
                          <a:off x="0" y="0"/>
                          <a:ext cx="3110230" cy="4875530"/>
                        </a:xfrm>
                        <a:prstGeom prst="rect"/>
                      </wps:spPr>
                      <wps:txbx>
                        <w:txbxContent>
                          <w:p>
                            <w:pPr>
                              <w:pStyle w:val="TextBody"/>
                              <w:spacing w:before="0" w:after="0"/>
                              <w:ind w:left="20" w:right="0" w:hanging="0"/>
                              <w:rPr>
                                <w:rFonts w:ascii="Arial;Helvetica;Sans-Serif" w:hAnsi="Arial;Helvetica;Sans-Serif"/>
                                <w:b w:val="false"/>
                                <w:i w:val="false"/>
                                <w:caps w:val="false"/>
                                <w:smallCaps w:val="false"/>
                                <w:sz w:val="20"/>
                              </w:rPr>
                            </w:pPr>
                            <w:bookmarkStart w:id="176" w:name="a101"/>
                            <w:bookmarkEnd w:id="176"/>
                            <w:r>
                              <w:rPr>
                                <w:rFonts w:ascii="Arial;Helvetica;Sans-Serif" w:hAnsi="Arial;Helvetica;Sans-Serif"/>
                                <w:b/>
                                <w:i w:val="false"/>
                                <w:caps w:val="false"/>
                                <w:smallCaps w:val="false"/>
                                <w:color w:val="231F20"/>
                                <w:sz w:val="20"/>
                              </w:rPr>
                              <w:t xml:space="preserve">21. </w:t>
                            </w:r>
                            <w:r>
                              <w:rPr>
                                <w:rFonts w:ascii="Arial;Helvetica;Sans-Serif" w:hAnsi="Arial;Helvetica;Sans-Serif"/>
                                <w:b w:val="false"/>
                                <w:i w:val="false"/>
                                <w:caps w:val="false"/>
                                <w:smallCaps w:val="false"/>
                                <w:color w:val="EE0027"/>
                                <w:sz w:val="20"/>
                              </w:rPr>
                              <w:t>PROPOSAL 5: PROPOSAL TO AMEND THE SHAREHOLDERS’ RIGHT TO CALL A SPECIAL MEETING</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John Chevedden, whose address and share ownership will be furnished promptly by the Company upon receipt of an oral or written request, submitted the following proposal: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77" w:name="a102"/>
                            <w:bookmarkEnd w:id="177"/>
                            <w:r>
                              <w:rPr>
                                <w:rFonts w:ascii="Arial;Helvetica;Sans-Serif" w:hAnsi="Arial;Helvetica;Sans-Serif"/>
                                <w:b/>
                                <w:i w:val="false"/>
                                <w:caps w:val="false"/>
                                <w:smallCaps w:val="false"/>
                                <w:color w:val="EE0027"/>
                                <w:sz w:val="20"/>
                              </w:rPr>
                              <w:t>Proposal 5 — Special Shareholder Meeting Improvement</w:t>
                            </w:r>
                          </w:p>
                          <w:p>
                            <w:pPr>
                              <w:pStyle w:val="TextBody"/>
                              <w:spacing w:before="0" w:after="0"/>
                              <w:rPr>
                                <w:caps w:val="false"/>
                                <w:smallCaps w:val="false"/>
                                <w:color w:val="EE0027"/>
                              </w:rPr>
                            </w:pPr>
                            <w:r>
                              <w:rPr>
                                <w:caps w:val="false"/>
                                <w:smallCaps w:val="false"/>
                                <w:color w:val="EE0027"/>
                              </w:rPr>
                              <w:t> </w:t>
                            </w:r>
                          </w:p>
                          <w:p>
                            <w:pPr>
                              <w:pStyle w:val="TextBody"/>
                              <w:spacing w:before="0" w:after="0"/>
                              <w:rPr>
                                <w:caps w:val="false"/>
                                <w:smallCaps w:val="false"/>
                                <w:color w:val="EE0027"/>
                              </w:rPr>
                            </w:pPr>
                            <w:r>
                              <w:rPr>
                                <w:caps w:val="false"/>
                                <w:smallCaps w:val="false"/>
                                <w:color w:val="EE0027"/>
                              </w:rPr>
                              <w:drawing>
                                <wp:inline distT="0" distB="0" distL="0" distR="0">
                                  <wp:extent cx="1628775" cy="333375"/>
                                  <wp:effectExtent l="0" t="0" r="0" b="0"/>
                                  <wp:docPr id="488"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Image229" descr=""/>
                                          <pic:cNvPicPr>
                                            <a:picLocks noChangeAspect="1" noChangeArrowheads="1"/>
                                          </pic:cNvPicPr>
                                        </pic:nvPicPr>
                                        <pic:blipFill>
                                          <a:blip r:embed="rId230"/>
                                          <a:stretch>
                                            <a:fillRect/>
                                          </a:stretch>
                                        </pic:blipFill>
                                        <pic:spPr bwMode="auto">
                                          <a:xfrm>
                                            <a:off x="0" y="0"/>
                                            <a:ext cx="1628775" cy="333375"/>
                                          </a:xfrm>
                                          <a:prstGeom prst="rect">
                                            <a:avLst/>
                                          </a:prstGeom>
                                        </pic:spPr>
                                      </pic:pic>
                                    </a:graphicData>
                                  </a:graphic>
                                </wp:inline>
                              </w:drawing>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Shareholders ask our board to take the steps necessary to amend the appropriate company governing documents to give the owners of a combined 10% of our outstanding common stock the power to call a special shareholder meeting. This includes that each share shall have an equal right per share to formally participate in the calling for a special shareholder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current FleetCor Technologies right to call for a special shareholder meeting is like a bait and switch right. The bait is the 25% figure which seems favorable.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However the 25% figure goes downhill fast. Only non-street name shares have a right to call a special shareholder meeting. Thus if one makes the reasonable estimate that 50% of FleetCor stock is non-street name stock, it means that our current requirement that 25% of shares are needed to call for a special shareholder meeting translates into 50% of this one category of stock and all other FleetCor shares are 100% excluded.</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83.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20" w:right="0" w:hanging="0"/>
                        <w:rPr>
                          <w:rFonts w:ascii="Arial;Helvetica;Sans-Serif" w:hAnsi="Arial;Helvetica;Sans-Serif"/>
                          <w:b w:val="false"/>
                          <w:i w:val="false"/>
                          <w:caps w:val="false"/>
                          <w:smallCaps w:val="false"/>
                          <w:sz w:val="20"/>
                        </w:rPr>
                      </w:pPr>
                      <w:bookmarkStart w:id="178" w:name="a101"/>
                      <w:bookmarkEnd w:id="178"/>
                      <w:r>
                        <w:rPr>
                          <w:rFonts w:ascii="Arial;Helvetica;Sans-Serif" w:hAnsi="Arial;Helvetica;Sans-Serif"/>
                          <w:b/>
                          <w:i w:val="false"/>
                          <w:caps w:val="false"/>
                          <w:smallCaps w:val="false"/>
                          <w:color w:val="231F20"/>
                          <w:sz w:val="20"/>
                        </w:rPr>
                        <w:t xml:space="preserve">21. </w:t>
                      </w:r>
                      <w:r>
                        <w:rPr>
                          <w:rFonts w:ascii="Arial;Helvetica;Sans-Serif" w:hAnsi="Arial;Helvetica;Sans-Serif"/>
                          <w:b w:val="false"/>
                          <w:i w:val="false"/>
                          <w:caps w:val="false"/>
                          <w:smallCaps w:val="false"/>
                          <w:color w:val="EE0027"/>
                          <w:sz w:val="20"/>
                        </w:rPr>
                        <w:t>PROPOSAL 5: PROPOSAL TO AMEND THE SHAREHOLDERS’ RIGHT TO CALL A SPECIAL MEETING</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John Chevedden, whose address and share ownership will be furnished promptly by the Company upon receipt of an oral or written request, submitted the following proposal:</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79" w:name="a102"/>
                      <w:bookmarkEnd w:id="179"/>
                      <w:r>
                        <w:rPr>
                          <w:rFonts w:ascii="Arial;Helvetica;Sans-Serif" w:hAnsi="Arial;Helvetica;Sans-Serif"/>
                          <w:b/>
                          <w:i w:val="false"/>
                          <w:caps w:val="false"/>
                          <w:smallCaps w:val="false"/>
                          <w:color w:val="EE0027"/>
                          <w:sz w:val="20"/>
                        </w:rPr>
                        <w:t>Proposal 5 — Special Shareholder Meeting Improvement</w:t>
                      </w:r>
                    </w:p>
                    <w:p>
                      <w:pPr>
                        <w:pStyle w:val="TextBody"/>
                        <w:spacing w:before="0" w:after="0"/>
                        <w:rPr>
                          <w:caps w:val="false"/>
                          <w:smallCaps w:val="false"/>
                          <w:color w:val="EE0027"/>
                        </w:rPr>
                      </w:pPr>
                      <w:r>
                        <w:rPr>
                          <w:caps w:val="false"/>
                          <w:smallCaps w:val="false"/>
                          <w:color w:val="EE0027"/>
                        </w:rPr>
                        <w:t> </w:t>
                      </w:r>
                    </w:p>
                    <w:p>
                      <w:pPr>
                        <w:pStyle w:val="TextBody"/>
                        <w:spacing w:before="0" w:after="0"/>
                        <w:rPr>
                          <w:caps w:val="false"/>
                          <w:smallCaps w:val="false"/>
                          <w:color w:val="EE0027"/>
                        </w:rPr>
                      </w:pPr>
                      <w:r>
                        <w:rPr>
                          <w:caps w:val="false"/>
                          <w:smallCaps w:val="false"/>
                          <w:color w:val="EE0027"/>
                        </w:rPr>
                        <w:drawing>
                          <wp:inline distT="0" distB="0" distL="0" distR="0">
                            <wp:extent cx="1628775" cy="333375"/>
                            <wp:effectExtent l="0" t="0" r="0" b="0"/>
                            <wp:docPr id="489" name="Image2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 name="Image229" descr=""/>
                                    <pic:cNvPicPr>
                                      <a:picLocks noChangeAspect="1" noChangeArrowheads="1"/>
                                    </pic:cNvPicPr>
                                  </pic:nvPicPr>
                                  <pic:blipFill>
                                    <a:blip r:embed="rId230"/>
                                    <a:stretch>
                                      <a:fillRect/>
                                    </a:stretch>
                                  </pic:blipFill>
                                  <pic:spPr bwMode="auto">
                                    <a:xfrm>
                                      <a:off x="0" y="0"/>
                                      <a:ext cx="1628775" cy="333375"/>
                                    </a:xfrm>
                                    <a:prstGeom prst="rect">
                                      <a:avLst/>
                                    </a:prstGeom>
                                  </pic:spPr>
                                </pic:pic>
                              </a:graphicData>
                            </a:graphic>
                          </wp:inline>
                        </w:drawing>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Shareholders ask our board to take the steps necessary to amend the appropriate company governing documents to give the owners of a combined 10% of our outstanding common stock the power to call a special shareholder meeting. This includes that each share shall have an equal right per share to formally participate in the calling for a special shareholder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current FleetCor Technologies right to call for a special shareholder meeting is like a bait and switch right. The bait is the 25% figure which seems favorable.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However the 25% figure goes downhill fast. Only non-street name shares have a right to call a special shareholder meeting. Thus if one makes the reasonable estimate that 50% of FleetCor stock is non-street name stock, it means that our current requirement that 25% of shares are needed to call for a special shareholder meeting translates into 50% of this one category of stock and all other FleetCor shares are 100% excluded.</w:t>
                      </w:r>
                    </w:p>
                  </w:txbxContent>
                </v:textbox>
                <w10:wrap type="square" side="right"/>
              </v:rect>
            </w:pict>
          </mc:Fallback>
        </mc:AlternateContent>
      </w:r>
      <w:r>
        <mc:AlternateContent>
          <mc:Choice Requires="wps">
            <w:drawing>
              <wp:anchor behindDoc="0" distT="0" distB="0" distL="0" distR="0" simplePos="0" locked="0" layoutInCell="1" allowOverlap="1" relativeHeight="225">
                <wp:simplePos x="0" y="0"/>
                <wp:positionH relativeFrom="column">
                  <wp:align>right</wp:align>
                </wp:positionH>
                <wp:positionV relativeFrom="line">
                  <wp:posOffset>635</wp:posOffset>
                </wp:positionV>
                <wp:extent cx="3110230" cy="4600575"/>
                <wp:effectExtent l="0" t="0" r="0" b="0"/>
                <wp:wrapSquare wrapText="largest"/>
                <wp:docPr id="490" name="Frame95"/>
                <a:graphic xmlns:a="http://schemas.openxmlformats.org/drawingml/2006/main">
                  <a:graphicData uri="http://schemas.microsoft.com/office/word/2010/wordprocessingShape">
                    <wps:wsp>
                      <wps:cNvSpPr txBox="1"/>
                      <wps:spPr>
                        <a:xfrm>
                          <a:off x="0" y="0"/>
                          <a:ext cx="3110230" cy="4600575"/>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next downhill bump is that all shares not owned for one full continuous year are 100% excluded. Thus the owners of such 50% of FleetCor stock could determine that they own 65% of the category of FleetCor stock that can call a special shareholder meeting if they include the shares that are owned for less than a full continuous year. Thus a somewhat favorable figure of 25% can translate into an unfavorable 65% of shares to call a special shareholder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10% figure, that gives each share an equal right to formally participate in calling for a special shareholder meeting, is also reasonable because the laws of some states mandate that 10% of shares be able to call a Special shareholder meeting. Another sign that a 10% of shares is reasonable is that a number of companies that have a 25% figure then allow the 10% figure to apply to one shareholder who owns 10% of shares.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Calling for a special shareholder meeting is hardly ever used by shareholders but the main point of the right to call for a special shareholder meeting is that it gives shareholders at least significant standing to engage effectively with management. Management will have an incentive to genuinely engage with shareholders, instead of stonewalling, if shareholders seeking engagement with management will have a realistic Plan B option of calling a special shareholder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Please vote yes: Special Shareholder Meeting Improvement — Proposal 5</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62.25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next downhill bump is that all shares not owned for one full continuous year are 100% excluded. Thus the owners of such 50% of FleetCor stock could determine that they own 65% of the category of FleetCor stock that can call a special shareholder meeting if they include the shares that are owned for less than a full continuous year. Thus a somewhat favorable figure of 25% can translate into an unfavorable 65% of shares to call a special shareholder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10% figure, that gives each share an equal right to formally participate in calling for a special shareholder meeting, is also reasonable because the laws of some states mandate that 10% of shares be able to call a Special shareholder meeting. Another sign that a 10% of shares is reasonable is that a number of companies that have a 25% figure then allow the 10% figure to apply to one shareholder who owns 10% of shares.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Calling for a special shareholder meeting is hardly ever used by shareholders but the main point of the right to call for a special shareholder meeting is that it gives shareholders at least significant standing to engage effectively with management. Management will have an incentive to genuinely engage with shareholders, instead of stonewalling, if shareholders seeking engagement with management will have a realistic Plan B option of calling a special shareholder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Please vote yes: Special Shareholder Meeting Improvement — Proposal 5</w:t>
                      </w:r>
                    </w:p>
                  </w:txbxContent>
                </v:textbox>
                <w10:wrap type="square" side="left"/>
              </v:rect>
            </w:pict>
          </mc:Fallback>
        </mc:AlternateContent>
      </w:r>
    </w:p>
    <w:p>
      <w:pPr>
        <w:pStyle w:val="TextBody"/>
        <w:rPr/>
      </w:pPr>
      <w:r>
        <w:rPr/>
      </w:r>
    </w:p>
    <w:p>
      <w:pPr>
        <w:pStyle w:val="TextBody"/>
        <w:spacing w:before="60" w:after="60"/>
        <w:jc w:val="center"/>
        <w:rPr>
          <w:caps w:val="false"/>
          <w:smallCaps w:val="false"/>
          <w:bdr w:val="single" w:sz="8" w:space="1" w:color="000000"/>
        </w:rPr>
      </w:pPr>
      <w:r>
        <w:rPr>
          <w:caps w:val="false"/>
          <w:smallCaps w:val="false"/>
          <w:bdr w:val="single" w:sz="8" w:space="1" w:color="000000"/>
        </w:rPr>
        <w:t> </w:t>
      </w:r>
    </w:p>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226">
                <wp:simplePos x="0" y="0"/>
                <wp:positionH relativeFrom="column">
                  <wp:align>left</wp:align>
                </wp:positionH>
                <wp:positionV relativeFrom="line">
                  <wp:posOffset>635</wp:posOffset>
                </wp:positionV>
                <wp:extent cx="3110230" cy="2643505"/>
                <wp:effectExtent l="0" t="0" r="0" b="0"/>
                <wp:wrapSquare wrapText="largest"/>
                <wp:docPr id="491" name="Frame96"/>
                <a:graphic xmlns:a="http://schemas.openxmlformats.org/drawingml/2006/main">
                  <a:graphicData uri="http://schemas.microsoft.com/office/word/2010/wordprocessingShape">
                    <wps:wsp>
                      <wps:cNvSpPr txBox="1"/>
                      <wps:spPr>
                        <a:xfrm>
                          <a:off x="0" y="0"/>
                          <a:ext cx="3110230" cy="2643505"/>
                        </a:xfrm>
                        <a:prstGeom prst="rect"/>
                      </wps:spPr>
                      <wps:txbx>
                        <w:txbxContent>
                          <w:p>
                            <w:pPr>
                              <w:pStyle w:val="TextBody"/>
                              <w:spacing w:before="0" w:after="0"/>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 xml:space="preserve">Board of Directors Statement of Opposition </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The Board recommends a vote AGAINST this proposal</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recommends that you vote against this proposal. The Company already provides a meaningful and balanced right for shareholders to call a special meeting and the proposed decrease in the percentage of shares required to call a special meeting is neither necessary nor in the best interests of the Company and its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Company currently provides that shareholders holding in aggregate at least 25% of the outstanding shares of the Company’s common stock on a “net long” basis may request a special meeting. A 25% threshold, which is common among public companies, strikes an appropriate balance between avoiding an imprudent use of Company and shareholder resources to address the special interests of a select group of shareholders,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8.1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spacing w:before="0" w:after="0"/>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 xml:space="preserve">Board of Directors Statement of Opposition </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The Board recommends a vote AGAINST this proposal</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Board recommends that you vote against this proposal. The Company already provides a meaningful and balanced right for shareholders to call a special meeting and the proposed decrease in the percentage of shares required to call a special meeting is neither necessary nor in the best interests of the Company and its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Company currently provides that shareholders holding in aggregate at least 25% of the outstanding shares of the Company’s common stock on a “net long” basis may request a special meeting. A 25% threshold, which is common among public companies, strikes an appropriate balance between avoiding an imprudent use of Company and shareholder resources to address the special interests of a select group of shareholders,</w:t>
                      </w:r>
                    </w:p>
                  </w:txbxContent>
                </v:textbox>
                <w10:wrap type="square" side="right"/>
              </v:rect>
            </w:pict>
          </mc:Fallback>
        </mc:AlternateContent>
      </w:r>
      <w:r>
        <mc:AlternateContent>
          <mc:Choice Requires="wps">
            <w:drawing>
              <wp:anchor behindDoc="0" distT="0" distB="0" distL="0" distR="0" simplePos="0" locked="0" layoutInCell="1" allowOverlap="1" relativeHeight="227">
                <wp:simplePos x="0" y="0"/>
                <wp:positionH relativeFrom="column">
                  <wp:align>right</wp:align>
                </wp:positionH>
                <wp:positionV relativeFrom="line">
                  <wp:posOffset>635</wp:posOffset>
                </wp:positionV>
                <wp:extent cx="3110230" cy="2672715"/>
                <wp:effectExtent l="0" t="0" r="0" b="0"/>
                <wp:wrapSquare wrapText="largest"/>
                <wp:docPr id="492" name="Frame97"/>
                <a:graphic xmlns:a="http://schemas.openxmlformats.org/drawingml/2006/main">
                  <a:graphicData uri="http://schemas.microsoft.com/office/word/2010/wordprocessingShape">
                    <wps:wsp>
                      <wps:cNvSpPr txBox="1"/>
                      <wps:spPr>
                        <a:xfrm>
                          <a:off x="0" y="0"/>
                          <a:ext cx="3110230" cy="2672715"/>
                        </a:xfrm>
                        <a:prstGeom prst="rect"/>
                      </wps:spPr>
                      <wps:txb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while at the same time ensuring that shareholders holding a meaningful minority of our outstanding shares have a mechanism to call a special meeting if they deem it appropriate.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Special meetings require the expenditure of considerable time, effort and resources, including significant costs in legal and administrative fees, costs for preparing, printing and distributing materials and soliciting proxies, and diversion of Board and management time away from overseeing and running our business. Accordingly, special meetings should be limited to circumstances where shareholders holding a meaningful minority of the Company’s common stock believe a matter is sufficiently urgent or extraordinary to justify considering such matters between annual meetings. By reducing the ownership threshold to 10%, a small minority of shareholders could use the special meeting mechanism to advance their own more narrow agenda, without regard to the broader interests of the Company and its other shareholders.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10.4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while at the same time ensuring that shareholders holding a meaningful minority of our outstanding shares have a mechanism to call a special meeting if they deem it appropriate.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Special meetings require the expenditure of considerable time, effort and resources, including significant costs in legal and administrative fees, costs for preparing, printing and distributing materials and soliciting proxies, and diversion of Board and management time away from overseeing and running our business. Accordingly, special meetings should be limited to circumstances where shareholders holding a meaningful minority of the Company’s common stock believe a matter is sufficiently urgent or extraordinary to justify considering such matters between annual meetings. By reducing the ownership threshold to 10%, a small minority of shareholders could use the special meeting mechanism to advance their own more narrow agenda, without regard to the broader interests of the Company and its other shareholders.</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910" w:type="dxa"/>
        <w:jc w:val="left"/>
        <w:tblInd w:w="0" w:type="dxa"/>
        <w:tblCellMar>
          <w:top w:w="0" w:type="dxa"/>
          <w:left w:w="0" w:type="dxa"/>
          <w:bottom w:w="0" w:type="dxa"/>
          <w:right w:w="0" w:type="dxa"/>
        </w:tblCellMar>
      </w:tblPr>
      <w:tblGrid>
        <w:gridCol w:w="3695"/>
        <w:gridCol w:w="215"/>
      </w:tblGrid>
      <w:tr>
        <w:trPr/>
        <w:tc>
          <w:tcPr>
            <w:tcW w:w="3695"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 xml:space="preserve">2023 Notice of Annual Meeting &amp; Proxy Statement </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63</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228">
                <wp:simplePos x="0" y="0"/>
                <wp:positionH relativeFrom="column">
                  <wp:align>left</wp:align>
                </wp:positionH>
                <wp:positionV relativeFrom="line">
                  <wp:posOffset>635</wp:posOffset>
                </wp:positionV>
                <wp:extent cx="3110230" cy="2585085"/>
                <wp:effectExtent l="0" t="0" r="0" b="0"/>
                <wp:wrapSquare wrapText="largest"/>
                <wp:docPr id="493" name="Frame98"/>
                <a:graphic xmlns:a="http://schemas.openxmlformats.org/drawingml/2006/main">
                  <a:graphicData uri="http://schemas.microsoft.com/office/word/2010/wordprocessingShape">
                    <wps:wsp>
                      <wps:cNvSpPr txBox="1"/>
                      <wps:spPr>
                        <a:xfrm>
                          <a:off x="0" y="0"/>
                          <a:ext cx="3110230" cy="2585085"/>
                        </a:xfrm>
                        <a:prstGeom prst="rect"/>
                      </wps:spPr>
                      <wps:txbx>
                        <w:txbxContent>
                          <w:p>
                            <w:pPr>
                              <w:pStyle w:val="TextBody"/>
                              <w:spacing w:before="0" w:after="0"/>
                              <w:ind w:left="2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21. </w:t>
                            </w:r>
                            <w:r>
                              <w:rPr>
                                <w:rFonts w:ascii="Arial;Helvetica;Sans-Serif" w:hAnsi="Arial;Helvetica;Sans-Serif"/>
                                <w:b w:val="false"/>
                                <w:i w:val="false"/>
                                <w:caps w:val="false"/>
                                <w:smallCaps w:val="false"/>
                                <w:color w:val="EE0027"/>
                                <w:sz w:val="20"/>
                              </w:rPr>
                              <w:t>PROPOSAL 5: PROPOSAL TO AMEND THE SHAREHOLDERS’ RIGHT TO CALL A SPECIAL MEETING</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Nor is such a measure necessary to enable the views of particular shareholders to be expressed. The Company maintains a robust shareholder engagement program with a track record of taking action in direct response to shareholder feedback. Along with strong corporate governance practices, including a proxy access provision and annual director elections with majority voting, this provides our shareholders with numerous avenues to make their views known and to communicate with our Board, management, and other shareholders to effect change. We encourage and facilitate regular communication with large and small shareholders about important issues relating to our business and governance and regularly incorporate feedback from those engagements into our governing documents, policies, and practices.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2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21. </w:t>
                      </w:r>
                      <w:r>
                        <w:rPr>
                          <w:rFonts w:ascii="Arial;Helvetica;Sans-Serif" w:hAnsi="Arial;Helvetica;Sans-Serif"/>
                          <w:b w:val="false"/>
                          <w:i w:val="false"/>
                          <w:caps w:val="false"/>
                          <w:smallCaps w:val="false"/>
                          <w:color w:val="EE0027"/>
                          <w:sz w:val="20"/>
                        </w:rPr>
                        <w:t>PROPOSAL 5: PROPOSAL TO AMEND THE SHAREHOLDERS’ RIGHT TO CALL A SPECIAL MEETING</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Nor is such a measure necessary to enable the views of particular shareholders to be expressed. The Company maintains a robust shareholder engagement program with a track record of taking action in direct response to shareholder feedback. Along with strong corporate governance practices, including a proxy access provision and annual director elections with majority voting, this provides our shareholders with numerous avenues to make their views known and to communicate with our Board, management, and other shareholders to effect change. We encourage and facilitate regular communication with large and small shareholders about important issues relating to our business and governance and regularly incorporate feedback from those engagements into our governing documents, policies, and practices.</w:t>
                      </w:r>
                    </w:p>
                  </w:txbxContent>
                </v:textbox>
                <w10:wrap type="square" side="right"/>
              </v:rect>
            </w:pict>
          </mc:Fallback>
        </mc:AlternateContent>
      </w:r>
      <w:r>
        <mc:AlternateContent>
          <mc:Choice Requires="wps">
            <w:drawing>
              <wp:anchor behindDoc="0" distT="0" distB="0" distL="0" distR="0" simplePos="0" locked="0" layoutInCell="1" allowOverlap="1" relativeHeight="229">
                <wp:simplePos x="0" y="0"/>
                <wp:positionH relativeFrom="column">
                  <wp:align>right</wp:align>
                </wp:positionH>
                <wp:positionV relativeFrom="line">
                  <wp:posOffset>635</wp:posOffset>
                </wp:positionV>
                <wp:extent cx="3110230" cy="2541270"/>
                <wp:effectExtent l="0" t="0" r="0" b="0"/>
                <wp:wrapSquare wrapText="largest"/>
                <wp:docPr id="494" name="Frame99"/>
                <a:graphic xmlns:a="http://schemas.openxmlformats.org/drawingml/2006/main">
                  <a:graphicData uri="http://schemas.microsoft.com/office/word/2010/wordprocessingShape">
                    <wps:wsp>
                      <wps:cNvSpPr txBox="1"/>
                      <wps:spPr>
                        <a:xfrm>
                          <a:off x="0" y="0"/>
                          <a:ext cx="3110230" cy="2541270"/>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For example, and as described under “FLEETCOR At a Glance” above, we have taken decisive action in recent years around our shareholder outreach initiatives and we believe that our compensation practices address the feedback we received. Our stockholder engagement ensured that we heard the feedback of our shareholders – in addition to generous access to the management team, after we mailed the 2022 proxy, but before the 2022 stockholder meeting, we offered the opportunity to discuss our proxy with our top 10 stockholders (as of December 31, 2021).</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The Board of Directors unanimously recommends that you vote AGAINST Proposal 5 for the ability of only 10% holders of the Company’s common shares to call a special meeting of shareholders.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00.1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For example, and as described under “FLEETCOR At a Glance” above, we have taken decisive action in recent years around our shareholder outreach initiatives and we believe that our compensation practices address the feedback we received. Our stockholder engagement ensured that we heard the feedback of our shareholders – in addition to generous access to the management team, after we mailed the 2022 proxy, but before the 2022 stockholder meeting, we offered the opportunity to discuss our proxy with our top 10 stockholders (as of December 31, 2021).</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The Board of Directors unanimously recommends that you vote AGAINST Proposal 5 for the ability of only 10% holders of the Company’s common shares to call a special meeting of shareholders.</w:t>
                      </w:r>
                    </w:p>
                  </w:txbxContent>
                </v:textbox>
                <w10:wrap type="square" side="left"/>
              </v:rect>
            </w:pict>
          </mc:Fallback>
        </mc:AlternateContent>
      </w:r>
    </w:p>
    <w:p>
      <w:pPr>
        <w:pStyle w:val="TextBody"/>
        <w:rPr/>
      </w:pPr>
      <w:r>
        <w:rPr/>
      </w:r>
    </w:p>
    <w:p>
      <w:pPr>
        <w:pStyle w:val="TextBody"/>
        <w:spacing w:before="60" w:after="60"/>
        <w:jc w:val="center"/>
        <w:rPr>
          <w:caps w:val="false"/>
          <w:smallCaps w:val="false"/>
          <w:bdr w:val="single" w:sz="8" w:space="1" w:color="000000"/>
        </w:rPr>
      </w:pPr>
      <w:r>
        <w:rPr>
          <w:caps w:val="false"/>
          <w:smallCaps w:val="false"/>
          <w:bdr w:val="single" w:sz="8" w:space="1" w:color="000000"/>
        </w:rPr>
        <w:t> </w:t>
      </w:r>
    </w:p>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230">
                <wp:simplePos x="0" y="0"/>
                <wp:positionH relativeFrom="column">
                  <wp:align>left</wp:align>
                </wp:positionH>
                <wp:positionV relativeFrom="line">
                  <wp:posOffset>635</wp:posOffset>
                </wp:positionV>
                <wp:extent cx="3110230" cy="963930"/>
                <wp:effectExtent l="0" t="0" r="0" b="0"/>
                <wp:wrapSquare wrapText="largest"/>
                <wp:docPr id="495" name="Frame100"/>
                <a:graphic xmlns:a="http://schemas.openxmlformats.org/drawingml/2006/main">
                  <a:graphicData uri="http://schemas.microsoft.com/office/word/2010/wordprocessingShape">
                    <wps:wsp>
                      <wps:cNvSpPr txBox="1"/>
                      <wps:spPr>
                        <a:xfrm>
                          <a:off x="0" y="0"/>
                          <a:ext cx="3110230" cy="963930"/>
                        </a:xfrm>
                        <a:prstGeom prst="rect"/>
                      </wps:spPr>
                      <wps:txbx>
                        <w:txbxContent>
                          <w:p>
                            <w:pPr>
                              <w:pStyle w:val="TextBody"/>
                              <w:spacing w:before="0" w:after="0"/>
                              <w:rPr>
                                <w:rFonts w:ascii="Arial;Helvetica;Sans-Serif" w:hAnsi="Arial;Helvetica;Sans-Serif"/>
                                <w:b/>
                                <w:i w:val="false"/>
                                <w:caps w:val="false"/>
                                <w:smallCaps w:val="false"/>
                                <w:color w:val="231F20"/>
                                <w:sz w:val="18"/>
                              </w:rPr>
                            </w:pPr>
                            <w:bookmarkStart w:id="180" w:name="a103"/>
                            <w:bookmarkEnd w:id="180"/>
                            <w:r>
                              <w:rPr>
                                <w:rFonts w:ascii="Arial;Helvetica;Sans-Serif" w:hAnsi="Arial;Helvetica;Sans-Serif"/>
                                <w:b/>
                                <w:i w:val="false"/>
                                <w:caps w:val="false"/>
                                <w:smallCaps w:val="false"/>
                                <w:color w:val="231F20"/>
                                <w:sz w:val="18"/>
                              </w:rPr>
                              <w:t>Other Business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know of no other business to be considered at the meeting and the deadline for shareholders to submit proposals or nominations has passed. However, if other matters are properly presented at the meeting, or at any adjournment or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5.9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spacing w:before="0" w:after="0"/>
                        <w:rPr>
                          <w:rFonts w:ascii="Arial;Helvetica;Sans-Serif" w:hAnsi="Arial;Helvetica;Sans-Serif"/>
                          <w:b/>
                          <w:i w:val="false"/>
                          <w:caps w:val="false"/>
                          <w:smallCaps w:val="false"/>
                          <w:color w:val="231F20"/>
                          <w:sz w:val="18"/>
                        </w:rPr>
                      </w:pPr>
                      <w:bookmarkStart w:id="181" w:name="a103"/>
                      <w:bookmarkEnd w:id="181"/>
                      <w:r>
                        <w:rPr>
                          <w:rFonts w:ascii="Arial;Helvetica;Sans-Serif" w:hAnsi="Arial;Helvetica;Sans-Serif"/>
                          <w:b/>
                          <w:i w:val="false"/>
                          <w:caps w:val="false"/>
                          <w:smallCaps w:val="false"/>
                          <w:color w:val="231F20"/>
                          <w:sz w:val="18"/>
                        </w:rPr>
                        <w:t>Other Business</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know of no other business to be considered at the meeting and the deadline for shareholders to submit proposals or nominations has passed. However, if other matters are properly presented at the meeting, or at any adjournment or</w:t>
                      </w:r>
                    </w:p>
                  </w:txbxContent>
                </v:textbox>
                <w10:wrap type="square" side="right"/>
              </v:rect>
            </w:pict>
          </mc:Fallback>
        </mc:AlternateContent>
      </w:r>
      <w:r>
        <mc:AlternateContent>
          <mc:Choice Requires="wps">
            <w:drawing>
              <wp:anchor behindDoc="0" distT="0" distB="0" distL="0" distR="0" simplePos="0" locked="0" layoutInCell="1" allowOverlap="1" relativeHeight="231">
                <wp:simplePos x="0" y="0"/>
                <wp:positionH relativeFrom="column">
                  <wp:align>right</wp:align>
                </wp:positionH>
                <wp:positionV relativeFrom="line">
                  <wp:posOffset>635</wp:posOffset>
                </wp:positionV>
                <wp:extent cx="3110230" cy="744855"/>
                <wp:effectExtent l="0" t="0" r="0" b="0"/>
                <wp:wrapSquare wrapText="largest"/>
                <wp:docPr id="496" name="Frame101"/>
                <a:graphic xmlns:a="http://schemas.openxmlformats.org/drawingml/2006/main">
                  <a:graphicData uri="http://schemas.microsoft.com/office/word/2010/wordprocessingShape">
                    <wps:wsp>
                      <wps:cNvSpPr txBox="1"/>
                      <wps:spPr>
                        <a:xfrm>
                          <a:off x="0" y="0"/>
                          <a:ext cx="3110230" cy="744855"/>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postponement of the meeting, and you have properly submitted your proxy, then the named proxies will vote your shares on those matters according to their best judgment.</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6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postponement of the meeting, and you have properly submitted your proxy, then the named proxies will vote your shares on those matters according to their best judgment.</w:t>
                      </w:r>
                    </w:p>
                  </w:txbxContent>
                </v:textbox>
                <w10:wrap type="square" side="left"/>
              </v:rect>
            </w:pict>
          </mc:Fallback>
        </mc:AlternateContent>
      </w:r>
    </w:p>
    <w:p>
      <w:pPr>
        <w:pStyle w:val="TextBody"/>
        <w:rPr/>
      </w:pPr>
      <w:r>
        <w:rPr/>
      </w:r>
    </w:p>
    <w:p>
      <w:pPr>
        <w:pStyle w:val="TextBody"/>
        <w:spacing w:before="60" w:after="60"/>
        <w:jc w:val="center"/>
        <w:rPr>
          <w:caps w:val="false"/>
          <w:smallCaps w:val="false"/>
          <w:bdr w:val="single" w:sz="8" w:space="1" w:color="000000"/>
        </w:rPr>
      </w:pPr>
      <w:r>
        <w:rPr>
          <w:caps w:val="false"/>
          <w:smallCaps w:val="false"/>
          <w:bdr w:val="single" w:sz="8" w:space="1" w:color="000000"/>
        </w:rPr>
        <w:t> </w:t>
      </w:r>
    </w:p>
    <w:p>
      <w:pPr>
        <w:pStyle w:val="TextBody"/>
        <w:spacing w:before="0" w:after="0"/>
        <w:rPr>
          <w:caps w:val="false"/>
          <w:smallCaps w:val="false"/>
          <w:color w:val="58595B"/>
        </w:rPr>
      </w:pPr>
      <w:r>
        <w:rPr>
          <w:caps w:val="false"/>
          <w:smallCaps w:val="false"/>
          <w:color w:val="58595B"/>
        </w:rPr>
        <w:t> </w:t>
      </w:r>
    </w:p>
    <w:p>
      <w:pPr>
        <w:pStyle w:val="TextBody"/>
        <w:spacing w:before="0" w:after="0"/>
        <w:rPr/>
      </w:pPr>
      <w:r>
        <w:rPr/>
      </w:r>
      <w:r>
        <mc:AlternateContent>
          <mc:Choice Requires="wps">
            <w:drawing>
              <wp:anchor behindDoc="0" distT="0" distB="0" distL="0" distR="0" simplePos="0" locked="0" layoutInCell="1" allowOverlap="1" relativeHeight="232">
                <wp:simplePos x="0" y="0"/>
                <wp:positionH relativeFrom="column">
                  <wp:align>left</wp:align>
                </wp:positionH>
                <wp:positionV relativeFrom="line">
                  <wp:posOffset>635</wp:posOffset>
                </wp:positionV>
                <wp:extent cx="3110230" cy="3227705"/>
                <wp:effectExtent l="0" t="0" r="0" b="0"/>
                <wp:wrapSquare wrapText="largest"/>
                <wp:docPr id="497" name="Frame102"/>
                <a:graphic xmlns:a="http://schemas.openxmlformats.org/drawingml/2006/main">
                  <a:graphicData uri="http://schemas.microsoft.com/office/word/2010/wordprocessingShape">
                    <wps:wsp>
                      <wps:cNvSpPr txBox="1"/>
                      <wps:spPr>
                        <a:xfrm>
                          <a:off x="0" y="0"/>
                          <a:ext cx="3110230" cy="3227705"/>
                        </a:xfrm>
                        <a:prstGeom prst="rect"/>
                      </wps:spPr>
                      <wps:txbx>
                        <w:txbxContent>
                          <w:p>
                            <w:pPr>
                              <w:pStyle w:val="TextBody"/>
                              <w:spacing w:before="0" w:after="0"/>
                              <w:rPr>
                                <w:rFonts w:ascii="Arial;Helvetica;Sans-Serif" w:hAnsi="Arial;Helvetica;Sans-Serif"/>
                                <w:b w:val="false"/>
                                <w:i w:val="false"/>
                                <w:caps w:val="false"/>
                                <w:smallCaps w:val="false"/>
                                <w:sz w:val="20"/>
                              </w:rPr>
                            </w:pPr>
                            <w:bookmarkStart w:id="182" w:name="a104"/>
                            <w:bookmarkEnd w:id="182"/>
                            <w:r>
                              <w:rPr>
                                <w:rFonts w:ascii="Arial;Helvetica;Sans-Serif" w:hAnsi="Arial;Helvetica;Sans-Serif"/>
                                <w:b/>
                                <w:i w:val="false"/>
                                <w:caps w:val="false"/>
                                <w:smallCaps w:val="false"/>
                                <w:color w:val="231F20"/>
                                <w:sz w:val="20"/>
                              </w:rPr>
                              <w:t xml:space="preserve">22. </w:t>
                            </w:r>
                            <w:r>
                              <w:rPr>
                                <w:rFonts w:ascii="Arial;Helvetica;Sans-Serif" w:hAnsi="Arial;Helvetica;Sans-Serif"/>
                                <w:b w:val="false"/>
                                <w:i w:val="false"/>
                                <w:caps w:val="false"/>
                                <w:smallCaps w:val="false"/>
                                <w:color w:val="EE0027"/>
                                <w:sz w:val="20"/>
                              </w:rPr>
                              <w:t>ADDITIONAL INFORMATION</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bookmarkStart w:id="183" w:name="a105"/>
                            <w:bookmarkEnd w:id="183"/>
                            <w:r>
                              <w:rPr>
                                <w:rFonts w:ascii="Arial;Helvetica;Sans-Serif" w:hAnsi="Arial;Helvetica;Sans-Serif"/>
                                <w:b/>
                                <w:i w:val="false"/>
                                <w:caps w:val="false"/>
                                <w:smallCaps w:val="false"/>
                                <w:color w:val="EE0027"/>
                                <w:sz w:val="20"/>
                              </w:rPr>
                              <w:t>Shareholder Proposals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Any proposal that a shareholder wishes to be considered for inclusion in our proxy statement and proxy card for the 2024 annual meeting of shareholders must comply with the requirements of Rule 14a-8 under the Exchange Act and be received no later than December 29, 2023 at the following address, FLEETCOR Technologies, Inc., Attention: Corporate Secretary, 3280 Peachtree Road, Suite 2400, Atlanta, Georgia 30305.</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However, in the event that the annual meeting is called for a date that is not within 30 days before or after June 9, 2024, notice must be received a reasonable time before we begin to print and mail our proxy materials for the 2024 annual meeting of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If a shareholder wishes to present a proposal before the 2024 annual meeting but does not wish to have a proposal considered for inclusion in our proxy statement and proxy in accor-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54.15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spacing w:before="0" w:after="0"/>
                        <w:rPr>
                          <w:rFonts w:ascii="Arial;Helvetica;Sans-Serif" w:hAnsi="Arial;Helvetica;Sans-Serif"/>
                          <w:b w:val="false"/>
                          <w:i w:val="false"/>
                          <w:caps w:val="false"/>
                          <w:smallCaps w:val="false"/>
                          <w:sz w:val="20"/>
                        </w:rPr>
                      </w:pPr>
                      <w:bookmarkStart w:id="184" w:name="a104"/>
                      <w:bookmarkEnd w:id="184"/>
                      <w:r>
                        <w:rPr>
                          <w:rFonts w:ascii="Arial;Helvetica;Sans-Serif" w:hAnsi="Arial;Helvetica;Sans-Serif"/>
                          <w:b/>
                          <w:i w:val="false"/>
                          <w:caps w:val="false"/>
                          <w:smallCaps w:val="false"/>
                          <w:color w:val="231F20"/>
                          <w:sz w:val="20"/>
                        </w:rPr>
                        <w:t xml:space="preserve">22. </w:t>
                      </w:r>
                      <w:r>
                        <w:rPr>
                          <w:rFonts w:ascii="Arial;Helvetica;Sans-Serif" w:hAnsi="Arial;Helvetica;Sans-Serif"/>
                          <w:b w:val="false"/>
                          <w:i w:val="false"/>
                          <w:caps w:val="false"/>
                          <w:smallCaps w:val="false"/>
                          <w:color w:val="EE0027"/>
                          <w:sz w:val="20"/>
                        </w:rPr>
                        <w:t>ADDITIONAL INFORMATION</w:t>
                      </w:r>
                    </w:p>
                    <w:p>
                      <w:pPr>
                        <w:pStyle w:val="TextBody"/>
                        <w:spacing w:before="0" w:after="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bookmarkStart w:id="185" w:name="a105"/>
                      <w:bookmarkEnd w:id="185"/>
                      <w:r>
                        <w:rPr>
                          <w:rFonts w:ascii="Arial;Helvetica;Sans-Serif" w:hAnsi="Arial;Helvetica;Sans-Serif"/>
                          <w:b/>
                          <w:i w:val="false"/>
                          <w:caps w:val="false"/>
                          <w:smallCaps w:val="false"/>
                          <w:color w:val="EE0027"/>
                          <w:sz w:val="20"/>
                        </w:rPr>
                        <w:t>Shareholder Proposals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Any proposal that a shareholder wishes to be considered for inclusion in our proxy statement and proxy card for the 2024 annual meeting of shareholders must comply with the requirements of Rule 14a-8 under the Exchange Act and be received no later than December 29, 2023 at the following address, FLEETCOR Technologies, Inc., Attention: Corporate Secretary, 3280 Peachtree Road, Suite 2400, Atlanta, Georgia 30305.</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However, in the event that the annual meeting is called for a date that is not within 30 days before or after June 9, 2024, notice must be received a reasonable time before we begin to print and mail our proxy materials for the 2024 annual meeting of shareholders.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If a shareholder wishes to present a proposal before the 2024 annual meeting but does not wish to have a proposal considered for inclusion in our proxy statement and proxy in accor-</w:t>
                      </w:r>
                    </w:p>
                  </w:txbxContent>
                </v:textbox>
                <w10:wrap type="square" side="right"/>
              </v:rect>
            </w:pict>
          </mc:Fallback>
        </mc:AlternateContent>
      </w:r>
      <w:r>
        <mc:AlternateContent>
          <mc:Choice Requires="wps">
            <w:drawing>
              <wp:anchor behindDoc="0" distT="0" distB="0" distL="0" distR="0" simplePos="0" locked="0" layoutInCell="1" allowOverlap="1" relativeHeight="233">
                <wp:simplePos x="0" y="0"/>
                <wp:positionH relativeFrom="column">
                  <wp:align>right</wp:align>
                </wp:positionH>
                <wp:positionV relativeFrom="line">
                  <wp:posOffset>635</wp:posOffset>
                </wp:positionV>
                <wp:extent cx="3110230" cy="3067050"/>
                <wp:effectExtent l="0" t="0" r="0" b="0"/>
                <wp:wrapSquare wrapText="largest"/>
                <wp:docPr id="498" name="Frame103"/>
                <a:graphic xmlns:a="http://schemas.openxmlformats.org/drawingml/2006/main">
                  <a:graphicData uri="http://schemas.microsoft.com/office/word/2010/wordprocessingShape">
                    <wps:wsp>
                      <wps:cNvSpPr txBox="1"/>
                      <wps:spPr>
                        <a:xfrm>
                          <a:off x="0" y="0"/>
                          <a:ext cx="3110230" cy="3067050"/>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dance with Rule 14a-8 or to nominate someone for election as a director, the shareholder must give written notice to our Corporate Secretary at the address noted above. To be timely, a shareholder’s notice to the Corporate Secretary must be received no earlier than February 10, 2024, which is 120 days prior to the anniversary of this year’s annual meeting, or later than March 11, 2024, which is 90 days prior to the anniversary of this year’s annual meeting. However, in the event that the annual meeting is called for a date that is not within thirty days before or after June 9, 2024, notice by the shareholder must be received by the later of the tenth day following the date of the public announcement and the 90th day prior to the annual meeting. Our bylaws contain specific procedural requirements regarding a shareholder’s ability to nominate a director or submit a proposal to be considered at a meeting of shareholders. The Bylaws are available on our website at https://investor. FLEETCOR.com under Corporate Governance.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41.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dance with Rule 14a-8 or to nominate someone for election as a director, the shareholder must give written notice to our Corporate Secretary at the address noted above. To be timely, a shareholder’s notice to the Corporate Secretary must be received no earlier than February 10, 2024, which is 120 days prior to the anniversary of this year’s annual meeting, or later than March 11, 2024, which is 90 days prior to the anniversary of this year’s annual meeting. However, in the event that the annual meeting is called for a date that is not within thirty days before or after June 9, 2024, notice by the shareholder must be received by the later of the tenth day following the date of the public announcement and the 90th day prior to the annual meeting. Our bylaws contain specific procedural requirements regarding a shareholder’s ability to nominate a director or submit a proposal to be considered at a meeting of shareholders. The Bylaws are available on our website at https://investor. FLEETCOR.com under Corporate Governance.</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64</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234">
                <wp:simplePos x="0" y="0"/>
                <wp:positionH relativeFrom="column">
                  <wp:align>left</wp:align>
                </wp:positionH>
                <wp:positionV relativeFrom="line">
                  <wp:posOffset>635</wp:posOffset>
                </wp:positionV>
                <wp:extent cx="3110230" cy="4994910"/>
                <wp:effectExtent l="0" t="0" r="0" b="0"/>
                <wp:wrapSquare wrapText="largest"/>
                <wp:docPr id="499" name="Frame104"/>
                <a:graphic xmlns:a="http://schemas.openxmlformats.org/drawingml/2006/main">
                  <a:graphicData uri="http://schemas.microsoft.com/office/word/2010/wordprocessingShape">
                    <wps:wsp>
                      <wps:cNvSpPr txBox="1"/>
                      <wps:spPr>
                        <a:xfrm>
                          <a:off x="0" y="0"/>
                          <a:ext cx="3110230" cy="4994910"/>
                        </a:xfrm>
                        <a:prstGeom prst="rect"/>
                      </wps:spPr>
                      <wps:txbx>
                        <w:txbxContent>
                          <w:p>
                            <w:pPr>
                              <w:pStyle w:val="TextBody"/>
                              <w:spacing w:before="0" w:after="0"/>
                              <w:ind w:left="2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22. </w:t>
                            </w:r>
                            <w:r>
                              <w:rPr>
                                <w:rFonts w:ascii="Arial;Helvetica;Sans-Serif" w:hAnsi="Arial;Helvetica;Sans-Serif"/>
                                <w:b w:val="false"/>
                                <w:i w:val="false"/>
                                <w:caps w:val="false"/>
                                <w:smallCaps w:val="false"/>
                                <w:color w:val="EE0027"/>
                                <w:sz w:val="20"/>
                              </w:rPr>
                              <w:t>ADDITIONAL INFORMATION</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Universal Proxy Rules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addition to satisfying the requirements under our Bylaws, if a shareholder intends to comply with the universal proxy rules and to solicit proxies in support of director nominees other than the Company’s nominees, the shareholder must provide notice that sets forth the information required by Rule 14a-19 under the Exchange Act, which notice must be postmarked or transmitted electronically to our Corporate Secretary at the address noted above no later than 60 calendar days prior to the one-year anniversary of this year’s annual meeting (for the 2024 annual meeting, no later than April 10, 2024). If the date of the 2024 annual meeting is changed by more than 30 calendar days from such anniversary date, however, then the shareholder must provide notice by the later of 60 calendar days prior to the date of the 2024 annual meeting and the 10th calendar day following the date on which public announcement of the date of the 2024 annual meeting is first made.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86" w:name="a106"/>
                            <w:bookmarkEnd w:id="186"/>
                            <w:r>
                              <w:rPr>
                                <w:rFonts w:ascii="Arial;Helvetica;Sans-Serif" w:hAnsi="Arial;Helvetica;Sans-Serif"/>
                                <w:b/>
                                <w:i w:val="false"/>
                                <w:caps w:val="false"/>
                                <w:smallCaps w:val="false"/>
                                <w:color w:val="EE0027"/>
                                <w:sz w:val="20"/>
                              </w:rPr>
                              <w:t>Solicitation of Proxies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Company is paying the costs of the solicitation of proxies. We have retained DF King &amp; Co., Inc. to assist in the solicitation of proxies from beneficial owners of shares for the annual meeting. We have agreed to pay DF King a fee of approximately $20,000 per year plus out-of-pocket expenses. You may contact DF King at (888) 548-6498.</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Proxies may be solicited by officers, directors and regular supervisory and executive employees of the Company, none of whom will receive any additional compensation for their services. These solicitations may be made personally or by mail,</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93.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2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22. </w:t>
                      </w:r>
                      <w:r>
                        <w:rPr>
                          <w:rFonts w:ascii="Arial;Helvetica;Sans-Serif" w:hAnsi="Arial;Helvetica;Sans-Serif"/>
                          <w:b w:val="false"/>
                          <w:i w:val="false"/>
                          <w:caps w:val="false"/>
                          <w:smallCaps w:val="false"/>
                          <w:color w:val="EE0027"/>
                          <w:sz w:val="20"/>
                        </w:rPr>
                        <w:t>ADDITIONAL INFORMATION</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r>
                        <w:rPr>
                          <w:rFonts w:ascii="Arial;Helvetica;Sans-Serif" w:hAnsi="Arial;Helvetica;Sans-Serif"/>
                          <w:b/>
                          <w:i w:val="false"/>
                          <w:caps w:val="false"/>
                          <w:smallCaps w:val="false"/>
                          <w:color w:val="EE0027"/>
                          <w:sz w:val="20"/>
                        </w:rPr>
                        <w:t>Universal Proxy Rules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In addition to satisfying the requirements under our Bylaws, if a shareholder intends to comply with the universal proxy rules and to solicit proxies in support of director nominees other than the Company’s nominees, the shareholder must provide notice that sets forth the information required by Rule 14a-19 under the Exchange Act, which notice must be postmarked or transmitted electronically to our Corporate Secretary at the address noted above no later than 60 calendar days prior to the one-year anniversary of this year’s annual meeting (for the 2024 annual meeting, no later than April 10, 2024). If the date of the 2024 annual meeting is changed by more than 30 calendar days from such anniversary date, however, then the shareholder must provide notice by the later of 60 calendar days prior to the date of the 2024 annual meeting and the 10th calendar day following the date on which public announcement of the date of the 2024 annual meeting is first made.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87" w:name="a106"/>
                      <w:bookmarkEnd w:id="187"/>
                      <w:r>
                        <w:rPr>
                          <w:rFonts w:ascii="Arial;Helvetica;Sans-Serif" w:hAnsi="Arial;Helvetica;Sans-Serif"/>
                          <w:b/>
                          <w:i w:val="false"/>
                          <w:caps w:val="false"/>
                          <w:smallCaps w:val="false"/>
                          <w:color w:val="EE0027"/>
                          <w:sz w:val="20"/>
                        </w:rPr>
                        <w:t>Solicitation of Proxies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Company is paying the costs of the solicitation of proxies. We have retained DF King &amp; Co., Inc. to assist in the solicitation of proxies from beneficial owners of shares for the annual meeting. We have agreed to pay DF King a fee of approximately $20,000 per year plus out-of-pocket expenses. You may contact DF King at (888) 548-6498.</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Proxies may be solicited by officers, directors and regular supervisory and executive employees of the Company, none of whom will receive any additional compensation for their services. These solicitations may be made personally or by mail,</w:t>
                      </w:r>
                    </w:p>
                  </w:txbxContent>
                </v:textbox>
                <w10:wrap type="square" side="right"/>
              </v:rect>
            </w:pict>
          </mc:Fallback>
        </mc:AlternateContent>
      </w:r>
      <w:r>
        <mc:AlternateContent>
          <mc:Choice Requires="wps">
            <w:drawing>
              <wp:anchor behindDoc="0" distT="0" distB="0" distL="0" distR="0" simplePos="0" locked="0" layoutInCell="1" allowOverlap="1" relativeHeight="235">
                <wp:simplePos x="0" y="0"/>
                <wp:positionH relativeFrom="column">
                  <wp:align>right</wp:align>
                </wp:positionH>
                <wp:positionV relativeFrom="line">
                  <wp:posOffset>635</wp:posOffset>
                </wp:positionV>
                <wp:extent cx="3110230" cy="5433060"/>
                <wp:effectExtent l="0" t="0" r="0" b="0"/>
                <wp:wrapSquare wrapText="largest"/>
                <wp:docPr id="500" name="Frame105"/>
                <a:graphic xmlns:a="http://schemas.openxmlformats.org/drawingml/2006/main">
                  <a:graphicData uri="http://schemas.microsoft.com/office/word/2010/wordprocessingShape">
                    <wps:wsp>
                      <wps:cNvSpPr txBox="1"/>
                      <wps:spPr>
                        <a:xfrm>
                          <a:off x="0" y="0"/>
                          <a:ext cx="3110230" cy="5433060"/>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facsimile, telephone, messenger, or via the Internet. The Company will pay persons holding common shares in their names or in the names of nominees, but not owning such shares beneficially, such as brokerage houses, banks, and other fiduciaries, in accordance with NYSE Rule 451 for the expense of forwarding solicitation materials to their principals. The Company will pay all proxy solicitation costs in accordance with NYSE Rule 451.</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88" w:name="a107"/>
                            <w:bookmarkEnd w:id="188"/>
                            <w:r>
                              <w:rPr>
                                <w:rFonts w:ascii="Arial;Helvetica;Sans-Serif" w:hAnsi="Arial;Helvetica;Sans-Serif"/>
                                <w:b/>
                                <w:i w:val="false"/>
                                <w:caps w:val="false"/>
                                <w:smallCaps w:val="false"/>
                                <w:color w:val="EE0027"/>
                                <w:sz w:val="20"/>
                              </w:rPr>
                              <w:t>Voting Procedures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Tabulation </w:t>
                            </w:r>
                            <w:r>
                              <w:rPr>
                                <w:rFonts w:ascii="Arial;Helvetica;Sans-Serif" w:hAnsi="Arial;Helvetica;Sans-Serif"/>
                                <w:b w:val="false"/>
                                <w:i w:val="false"/>
                                <w:caps w:val="false"/>
                                <w:smallCaps w:val="false"/>
                                <w:color w:val="58595B"/>
                                <w:sz w:val="20"/>
                              </w:rPr>
                              <w:t>of Votes: Broadridge Investor Communication Solutions, Inc. will tabulate votes cast by proxy or in person at the meeting. We will report the results in a Form 8-K filed with the SEC within four business days of the annual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Vote </w:t>
                            </w:r>
                            <w:r>
                              <w:rPr>
                                <w:rFonts w:ascii="Arial;Helvetica;Sans-Serif" w:hAnsi="Arial;Helvetica;Sans-Serif"/>
                                <w:b w:val="false"/>
                                <w:i w:val="false"/>
                                <w:caps w:val="false"/>
                                <w:smallCaps w:val="false"/>
                                <w:color w:val="58595B"/>
                                <w:sz w:val="20"/>
                              </w:rPr>
                              <w:t>Required; Effect of an Abstention and Broker Non-Votes: The shares of a holder whose ballot on any or all proposals is marked as “abstain” will be included in the number of shares present at the annual meeting for the purpose of determining the presence of a quorum. If you are the beneficial owner of shares held by a broker or other custodian, you may instruct your broker how you would like your shares voted. If you wish to vote the shares you own beneficially at the meeting, you must first request and obtain a proxy from your broker or other custodian. If you choose not to provide instructions or a legal proxy, your shares are referred to as uninstructed shares. Whether your broker or custodian has the discretion to vote these shares on your behalf depends on the ballot item. The following table summarizes the vote threshold required for passage of each proposal and the effect of abstentions and uninstructed shares held by brokers.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27.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facsimile, telephone, messenger, or via the Internet. The Company will pay persons holding common shares in their names or in the names of nominees, but not owning such shares beneficially, such as brokerage houses, banks, and other fiduciaries, in accordance with NYSE Rule 451 for the expense of forwarding solicitation materials to their principals. The Company will pay all proxy solicitation costs in accordance with NYSE Rule 451.</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89" w:name="a107"/>
                      <w:bookmarkEnd w:id="189"/>
                      <w:r>
                        <w:rPr>
                          <w:rFonts w:ascii="Arial;Helvetica;Sans-Serif" w:hAnsi="Arial;Helvetica;Sans-Serif"/>
                          <w:b/>
                          <w:i w:val="false"/>
                          <w:caps w:val="false"/>
                          <w:smallCaps w:val="false"/>
                          <w:color w:val="EE0027"/>
                          <w:sz w:val="20"/>
                        </w:rPr>
                        <w:t>Voting Procedures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Tabulation </w:t>
                      </w:r>
                      <w:r>
                        <w:rPr>
                          <w:rFonts w:ascii="Arial;Helvetica;Sans-Serif" w:hAnsi="Arial;Helvetica;Sans-Serif"/>
                          <w:b w:val="false"/>
                          <w:i w:val="false"/>
                          <w:caps w:val="false"/>
                          <w:smallCaps w:val="false"/>
                          <w:color w:val="58595B"/>
                          <w:sz w:val="20"/>
                        </w:rPr>
                        <w:t>of Votes: Broadridge Investor Communication Solutions, Inc. will tabulate votes cast by proxy or in person at the meeting. We will report the results in a Form 8-K filed with the SEC within four business days of the annual meeting.</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 xml:space="preserve">Vote </w:t>
                      </w:r>
                      <w:r>
                        <w:rPr>
                          <w:rFonts w:ascii="Arial;Helvetica;Sans-Serif" w:hAnsi="Arial;Helvetica;Sans-Serif"/>
                          <w:b w:val="false"/>
                          <w:i w:val="false"/>
                          <w:caps w:val="false"/>
                          <w:smallCaps w:val="false"/>
                          <w:color w:val="58595B"/>
                          <w:sz w:val="20"/>
                        </w:rPr>
                        <w:t>Required; Effect of an Abstention and Broker Non-Votes: The shares of a holder whose ballot on any or all proposals is marked as “abstain” will be included in the number of shares present at the annual meeting for the purpose of determining the presence of a quorum. If you are the beneficial owner of shares held by a broker or other custodian, you may instruct your broker how you would like your shares voted. If you wish to vote the shares you own beneficially at the meeting, you must first request and obtain a proxy from your broker or other custodian. If you choose not to provide instructions or a legal proxy, your shares are referred to as uninstructed shares. Whether your broker or custodian has the discretion to vote these shares on your behalf depends on the ballot item. The following table summarizes the vote threshold required for passage of each proposal and the effect of abstentions and uninstructed shares held by brokers.</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759"/>
        <w:gridCol w:w="4721"/>
        <w:gridCol w:w="1100"/>
        <w:gridCol w:w="995"/>
        <w:gridCol w:w="1183"/>
        <w:gridCol w:w="1447"/>
      </w:tblGrid>
      <w:tr>
        <w:trPr/>
        <w:tc>
          <w:tcPr>
            <w:tcW w:w="759"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Proposal </w:t>
              <w:br/>
              <w:t>Number</w:t>
            </w:r>
          </w:p>
        </w:tc>
        <w:tc>
          <w:tcPr>
            <w:tcW w:w="4721"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Item</w:t>
            </w:r>
          </w:p>
        </w:tc>
        <w:tc>
          <w:tcPr>
            <w:tcW w:w="1100" w:type="dxa"/>
            <w:tcBorders/>
            <w:shd w:fill="EE0027" w:val="clear"/>
            <w:vAlign w:val="center"/>
          </w:tcPr>
          <w:p>
            <w:pPr>
              <w:pStyle w:val="TableContents"/>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Vote</w:t>
            </w:r>
          </w:p>
          <w:p>
            <w:pPr>
              <w:pStyle w:val="TableContents"/>
              <w:spacing w:before="0" w:after="283"/>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Required for </w:t>
              <w:br/>
              <w:t>Approval</w:t>
            </w:r>
          </w:p>
        </w:tc>
        <w:tc>
          <w:tcPr>
            <w:tcW w:w="995"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Abstentions</w:t>
            </w:r>
          </w:p>
        </w:tc>
        <w:tc>
          <w:tcPr>
            <w:tcW w:w="1183"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Uninstructed </w:t>
              <w:br/>
              <w:t>Shares</w:t>
            </w:r>
          </w:p>
        </w:tc>
        <w:tc>
          <w:tcPr>
            <w:tcW w:w="1447" w:type="dxa"/>
            <w:tcBorders/>
            <w:shd w:fill="EE0027" w:val="clear"/>
            <w:vAlign w:val="center"/>
          </w:tcPr>
          <w:p>
            <w:pPr>
              <w:pStyle w:val="TableContents"/>
              <w:spacing w:before="0" w:after="0"/>
              <w:jc w:val="left"/>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 xml:space="preserve">Board Voting </w:t>
              <w:br/>
              <w:t>Recommendation</w:t>
            </w:r>
          </w:p>
        </w:tc>
      </w:tr>
      <w:tr>
        <w:trPr/>
        <w:tc>
          <w:tcPr>
            <w:tcW w:w="759" w:type="dxa"/>
            <w:tcBorders/>
            <w:shd w:fill="auto" w:val="clear"/>
            <w:vAlign w:val="center"/>
          </w:tcPr>
          <w:p>
            <w:pPr>
              <w:pStyle w:val="TableContents"/>
              <w:spacing w:before="0" w:after="283"/>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1</w:t>
            </w:r>
          </w:p>
        </w:tc>
        <w:tc>
          <w:tcPr>
            <w:tcW w:w="4721"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To elect the eleven directors</w:t>
            </w:r>
          </w:p>
        </w:tc>
        <w:tc>
          <w:tcPr>
            <w:tcW w:w="110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Majority of votes cast</w:t>
            </w:r>
          </w:p>
        </w:tc>
        <w:tc>
          <w:tcPr>
            <w:tcW w:w="995"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counted</w:t>
            </w:r>
          </w:p>
        </w:tc>
        <w:tc>
          <w:tcPr>
            <w:tcW w:w="1183"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voted</w:t>
            </w:r>
          </w:p>
        </w:tc>
        <w:tc>
          <w:tcPr>
            <w:tcW w:w="1447"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FOR</w:t>
            </w:r>
          </w:p>
        </w:tc>
      </w:tr>
      <w:tr>
        <w:trPr/>
        <w:tc>
          <w:tcPr>
            <w:tcW w:w="759"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2</w:t>
            </w:r>
          </w:p>
        </w:tc>
        <w:tc>
          <w:tcPr>
            <w:tcW w:w="4721"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To ratify the reappointment of Ernst &amp; Young LLP as our independent public accounting firm for 2023</w:t>
            </w:r>
          </w:p>
        </w:tc>
        <w:tc>
          <w:tcPr>
            <w:tcW w:w="1100"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Majority of votes cast</w:t>
            </w:r>
          </w:p>
        </w:tc>
        <w:tc>
          <w:tcPr>
            <w:tcW w:w="995"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counted</w:t>
            </w:r>
          </w:p>
        </w:tc>
        <w:tc>
          <w:tcPr>
            <w:tcW w:w="1183"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Discretionary vote</w:t>
            </w:r>
          </w:p>
        </w:tc>
        <w:tc>
          <w:tcPr>
            <w:tcW w:w="1447"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FOR</w:t>
            </w:r>
          </w:p>
        </w:tc>
      </w:tr>
      <w:tr>
        <w:trPr/>
        <w:tc>
          <w:tcPr>
            <w:tcW w:w="759"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3</w:t>
            </w:r>
          </w:p>
        </w:tc>
        <w:tc>
          <w:tcPr>
            <w:tcW w:w="4721"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To approve, on an advisory basis, named executive officer compensation</w:t>
            </w:r>
          </w:p>
        </w:tc>
        <w:tc>
          <w:tcPr>
            <w:tcW w:w="1100"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Majority of votes cast</w:t>
            </w:r>
          </w:p>
        </w:tc>
        <w:tc>
          <w:tcPr>
            <w:tcW w:w="995"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counted</w:t>
            </w:r>
          </w:p>
        </w:tc>
        <w:tc>
          <w:tcPr>
            <w:tcW w:w="1183"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voted</w:t>
            </w:r>
          </w:p>
        </w:tc>
        <w:tc>
          <w:tcPr>
            <w:tcW w:w="1447"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FOR</w:t>
            </w:r>
          </w:p>
        </w:tc>
      </w:tr>
      <w:tr>
        <w:trPr/>
        <w:tc>
          <w:tcPr>
            <w:tcW w:w="759"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4</w:t>
            </w:r>
          </w:p>
        </w:tc>
        <w:tc>
          <w:tcPr>
            <w:tcW w:w="4721"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To approve, on an advisory basis, the frequency of shareholder voting on compensation of the company’s named executive officers</w:t>
            </w:r>
          </w:p>
        </w:tc>
        <w:tc>
          <w:tcPr>
            <w:tcW w:w="1100"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Majority of votes cast</w:t>
            </w:r>
          </w:p>
        </w:tc>
        <w:tc>
          <w:tcPr>
            <w:tcW w:w="995"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counted</w:t>
            </w:r>
          </w:p>
        </w:tc>
        <w:tc>
          <w:tcPr>
            <w:tcW w:w="1183" w:type="dxa"/>
            <w:tcBorders/>
            <w:shd w:fill="DCDDDE"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voted</w:t>
            </w:r>
          </w:p>
        </w:tc>
        <w:tc>
          <w:tcPr>
            <w:tcW w:w="1447" w:type="dxa"/>
            <w:tcBorders/>
            <w:shd w:fill="DCDDDE" w:val="cle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ONE YEAR</w:t>
            </w:r>
          </w:p>
        </w:tc>
      </w:tr>
      <w:tr>
        <w:trPr/>
        <w:tc>
          <w:tcPr>
            <w:tcW w:w="759"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58595B"/>
                <w:sz w:val="16"/>
              </w:rPr>
            </w:pPr>
            <w:r>
              <w:rPr>
                <w:rFonts w:ascii="Arial;Helvetica;Sans-Serif" w:hAnsi="Arial;Helvetica;Sans-Serif"/>
                <w:b/>
                <w:i w:val="false"/>
                <w:caps w:val="false"/>
                <w:smallCaps w:val="false"/>
                <w:color w:val="58595B"/>
                <w:sz w:val="16"/>
              </w:rPr>
              <w:t>5</w:t>
            </w:r>
          </w:p>
        </w:tc>
        <w:tc>
          <w:tcPr>
            <w:tcW w:w="4721"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To vote on a shareholder proposal to modify the shareholder right to call a special shareholder meeting, if properly presented</w:t>
            </w:r>
          </w:p>
        </w:tc>
        <w:tc>
          <w:tcPr>
            <w:tcW w:w="1100"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Majority of votes cast</w:t>
            </w:r>
          </w:p>
        </w:tc>
        <w:tc>
          <w:tcPr>
            <w:tcW w:w="995"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counted</w:t>
            </w:r>
          </w:p>
        </w:tc>
        <w:tc>
          <w:tcPr>
            <w:tcW w:w="1183" w:type="dxa"/>
            <w:tcBorders/>
            <w:shd w:fill="auto" w:val="clear"/>
            <w:vAlign w:val="center"/>
          </w:tcPr>
          <w:p>
            <w:pPr>
              <w:pStyle w:val="TableContents"/>
              <w:spacing w:before="0" w:after="0"/>
              <w:jc w:val="left"/>
              <w:rPr>
                <w:rFonts w:ascii="Arial;Helvetica;Sans-Serif" w:hAnsi="Arial;Helvetica;Sans-Serif"/>
                <w:b w:val="false"/>
                <w:i w:val="false"/>
                <w:caps w:val="false"/>
                <w:smallCaps w:val="false"/>
                <w:color w:val="58595B"/>
                <w:sz w:val="16"/>
              </w:rPr>
            </w:pPr>
            <w:r>
              <w:rPr>
                <w:rFonts w:ascii="Arial;Helvetica;Sans-Serif" w:hAnsi="Arial;Helvetica;Sans-Serif"/>
                <w:b w:val="false"/>
                <w:i w:val="false"/>
                <w:caps w:val="false"/>
                <w:smallCaps w:val="false"/>
                <w:color w:val="58595B"/>
                <w:sz w:val="16"/>
              </w:rPr>
              <w:t>Not voted</w:t>
            </w:r>
          </w:p>
        </w:tc>
        <w:tc>
          <w:tcPr>
            <w:tcW w:w="1447" w:type="dxa"/>
            <w:tcBorders/>
            <w:shd w:fill="auto" w:val="clear"/>
            <w:vAlign w:val="center"/>
          </w:tcPr>
          <w:p>
            <w:pPr>
              <w:pStyle w:val="TableContents"/>
              <w:spacing w:before="0" w:after="0"/>
              <w:jc w:val="left"/>
              <w:rPr>
                <w:rFonts w:ascii="Arial;Helvetica;Sans-Serif" w:hAnsi="Arial;Helvetica;Sans-Serif"/>
                <w:b/>
                <w:i w:val="false"/>
                <w:caps w:val="false"/>
                <w:smallCaps w:val="false"/>
                <w:color w:val="EE0027"/>
                <w:sz w:val="16"/>
              </w:rPr>
            </w:pPr>
            <w:r>
              <w:rPr>
                <w:rFonts w:ascii="Arial;Helvetica;Sans-Serif" w:hAnsi="Arial;Helvetica;Sans-Serif"/>
                <w:b/>
                <w:i w:val="false"/>
                <w:caps w:val="false"/>
                <w:smallCaps w:val="false"/>
                <w:color w:val="EE0027"/>
                <w:sz w:val="16"/>
              </w:rPr>
              <w:t>AGAINST</w:t>
            </w:r>
          </w:p>
        </w:tc>
      </w:tr>
    </w:tbl>
    <w:p>
      <w:pPr>
        <w:pStyle w:val="TextBody"/>
        <w:spacing w:before="0" w:after="0"/>
        <w:jc w:val="right"/>
        <w:rPr>
          <w:caps w:val="false"/>
          <w:smallCaps w:val="false"/>
          <w:color w:val="58595B"/>
        </w:rPr>
      </w:pPr>
      <w:r>
        <w:rPr>
          <w:caps w:val="false"/>
          <w:smallCaps w:val="false"/>
          <w:color w:val="58595B"/>
        </w:rPr>
        <w:t> </w:t>
      </w:r>
    </w:p>
    <w:tbl>
      <w:tblPr>
        <w:tblW w:w="3910" w:type="dxa"/>
        <w:jc w:val="left"/>
        <w:tblInd w:w="0" w:type="dxa"/>
        <w:tblCellMar>
          <w:top w:w="0" w:type="dxa"/>
          <w:left w:w="0" w:type="dxa"/>
          <w:bottom w:w="0" w:type="dxa"/>
          <w:right w:w="0" w:type="dxa"/>
        </w:tblCellMar>
      </w:tblPr>
      <w:tblGrid>
        <w:gridCol w:w="3695"/>
        <w:gridCol w:w="215"/>
      </w:tblGrid>
      <w:tr>
        <w:trPr/>
        <w:tc>
          <w:tcPr>
            <w:tcW w:w="3695"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 xml:space="preserve">2023 Notice of Annual Meeting &amp; Proxy Statement </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65</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3110230" cy="5592445"/>
                <wp:effectExtent l="0" t="0" r="0" b="0"/>
                <wp:wrapSquare wrapText="largest"/>
                <wp:docPr id="501" name="Frame106"/>
                <a:graphic xmlns:a="http://schemas.openxmlformats.org/drawingml/2006/main">
                  <a:graphicData uri="http://schemas.microsoft.com/office/word/2010/wordprocessingShape">
                    <wps:wsp>
                      <wps:cNvSpPr txBox="1"/>
                      <wps:spPr>
                        <a:xfrm>
                          <a:off x="0" y="0"/>
                          <a:ext cx="3110230" cy="5592445"/>
                        </a:xfrm>
                        <a:prstGeom prst="rect"/>
                      </wps:spPr>
                      <wps:txbx>
                        <w:txbxContent>
                          <w:p>
                            <w:pPr>
                              <w:pStyle w:val="TextBody"/>
                              <w:spacing w:before="0" w:after="0"/>
                              <w:ind w:left="2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22. </w:t>
                            </w:r>
                            <w:r>
                              <w:rPr>
                                <w:rFonts w:ascii="Arial;Helvetica;Sans-Serif" w:hAnsi="Arial;Helvetica;Sans-Serif"/>
                                <w:b w:val="false"/>
                                <w:i w:val="false"/>
                                <w:caps w:val="false"/>
                                <w:smallCaps w:val="false"/>
                                <w:color w:val="EE0027"/>
                                <w:sz w:val="20"/>
                              </w:rPr>
                              <w:t>ADDITIONAL INFORMATION</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If you sign and return a proxy card or vote your shares via the Internet but do not provide voting instructions, your shares will be voted as listed in the “Board Voting Recommendation” column in the table above.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190" w:name="a108"/>
                            <w:bookmarkEnd w:id="190"/>
                            <w:r>
                              <w:rPr>
                                <w:rFonts w:ascii="Arial;Helvetica;Sans-Serif" w:hAnsi="Arial;Helvetica;Sans-Serif"/>
                                <w:b/>
                                <w:i w:val="false"/>
                                <w:caps w:val="false"/>
                                <w:smallCaps w:val="false"/>
                                <w:color w:val="231F20"/>
                                <w:sz w:val="18"/>
                              </w:rPr>
                              <w:t>Where to Find More Proxy Voting Information:</w:t>
                            </w:r>
                          </w:p>
                          <w:p>
                            <w:pPr>
                              <w:pStyle w:val="TextBody"/>
                              <w:spacing w:before="0" w:after="0"/>
                              <w:rPr>
                                <w:caps w:val="false"/>
                                <w:smallCaps w:val="false"/>
                                <w:color w:val="231F20"/>
                              </w:rPr>
                            </w:pPr>
                            <w:r>
                              <w:rPr>
                                <w:caps w:val="false"/>
                                <w:smallCaps w:val="false"/>
                                <w:color w:val="231F20"/>
                              </w:rPr>
                              <w:t> </w:t>
                            </w:r>
                          </w:p>
                          <w:tbl>
                            <w:tblPr>
                              <w:tblW w:w="10205" w:type="dxa"/>
                              <w:jc w:val="left"/>
                              <w:tblInd w:w="0" w:type="dxa"/>
                              <w:tblCellMar>
                                <w:top w:w="0" w:type="dxa"/>
                                <w:left w:w="0" w:type="dxa"/>
                                <w:bottom w:w="0" w:type="dxa"/>
                                <w:right w:w="0" w:type="dxa"/>
                              </w:tblCellMar>
                            </w:tblPr>
                            <w:tblGrid>
                              <w:gridCol w:w="38"/>
                              <w:gridCol w:w="225"/>
                              <w:gridCol w:w="9942"/>
                            </w:tblGrid>
                            <w:tr>
                              <w:trPr/>
                              <w:tc>
                                <w:tcPr>
                                  <w:tcW w:w="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pPr>
                                  <w:r>
                                    <w:rPr/>
                                    <w:drawing>
                                      <wp:inline distT="0" distB="0" distL="0" distR="0">
                                        <wp:extent cx="142875" cy="104775"/>
                                        <wp:effectExtent l="0" t="0" r="0" b="0"/>
                                        <wp:docPr id="502"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Image230" descr=""/>
                                                <pic:cNvPicPr>
                                                  <a:picLocks noChangeAspect="1" noChangeArrowheads="1"/>
                                                </pic:cNvPicPr>
                                              </pic:nvPicPr>
                                              <pic:blipFill>
                                                <a:blip r:embed="rId231"/>
                                                <a:stretch>
                                                  <a:fillRect/>
                                                </a:stretch>
                                              </pic:blipFill>
                                              <pic:spPr bwMode="auto">
                                                <a:xfrm>
                                                  <a:off x="0" y="0"/>
                                                  <a:ext cx="142875" cy="104775"/>
                                                </a:xfrm>
                                                <a:prstGeom prst="rect">
                                                  <a:avLst/>
                                                </a:prstGeom>
                                              </pic:spPr>
                                            </pic:pic>
                                          </a:graphicData>
                                        </a:graphic>
                                      </wp:inline>
                                    </w:drawing>
                                  </w:r>
                                </w:p>
                              </w:tc>
                              <w:tc>
                                <w:tcPr>
                                  <w:tcW w:w="994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The SEC’s website has a variety of information about the proxy voting process at www.sec.gov/spotlight/proxymatters.shtml.</w:t>
                                  </w:r>
                                </w:p>
                              </w:tc>
                            </w:tr>
                          </w:tbl>
                          <w:p>
                            <w:pPr>
                              <w:pStyle w:val="TextBody"/>
                              <w:spacing w:before="0" w:after="0"/>
                              <w:ind w:left="0" w:right="0" w:firstLine="27"/>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225"/>
                              <w:gridCol w:w="9942"/>
                            </w:tblGrid>
                            <w:tr>
                              <w:trPr/>
                              <w:tc>
                                <w:tcPr>
                                  <w:tcW w:w="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pPr>
                                  <w:r>
                                    <w:rPr/>
                                    <w:drawing>
                                      <wp:inline distT="0" distB="0" distL="0" distR="0">
                                        <wp:extent cx="142875" cy="104775"/>
                                        <wp:effectExtent l="0" t="0" r="0" b="0"/>
                                        <wp:docPr id="503"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Image231" descr=""/>
                                                <pic:cNvPicPr>
                                                  <a:picLocks noChangeAspect="1" noChangeArrowheads="1"/>
                                                </pic:cNvPicPr>
                                              </pic:nvPicPr>
                                              <pic:blipFill>
                                                <a:blip r:embed="rId232"/>
                                                <a:stretch>
                                                  <a:fillRect/>
                                                </a:stretch>
                                              </pic:blipFill>
                                              <pic:spPr bwMode="auto">
                                                <a:xfrm>
                                                  <a:off x="0" y="0"/>
                                                  <a:ext cx="142875" cy="104775"/>
                                                </a:xfrm>
                                                <a:prstGeom prst="rect">
                                                  <a:avLst/>
                                                </a:prstGeom>
                                              </pic:spPr>
                                            </pic:pic>
                                          </a:graphicData>
                                        </a:graphic>
                                      </wp:inline>
                                    </w:drawing>
                                  </w:r>
                                </w:p>
                              </w:tc>
                              <w:tc>
                                <w:tcPr>
                                  <w:tcW w:w="994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Contact the Investor Relations department through our website at https://investor.FLEETCOR.com or by phone at (770) 417-4697.</w:t>
                                  </w:r>
                                </w:p>
                              </w:tc>
                            </w:tr>
                          </w:tbl>
                          <w:p>
                            <w:pPr>
                              <w:pStyle w:val="TextBody"/>
                              <w:spacing w:before="0" w:after="0"/>
                              <w:ind w:left="0" w:right="0" w:hanging="313"/>
                              <w:rPr>
                                <w:caps w:val="false"/>
                                <w:smallCaps w:val="false"/>
                              </w:rPr>
                            </w:pPr>
                            <w:r>
                              <w:rPr>
                                <w:caps w:val="false"/>
                                <w:smallCaps w:val="false"/>
                              </w:rPr>
                              <w:t> </w:t>
                            </w:r>
                          </w:p>
                          <w:tbl>
                            <w:tblPr>
                              <w:tblW w:w="6418" w:type="dxa"/>
                              <w:jc w:val="left"/>
                              <w:tblInd w:w="0" w:type="dxa"/>
                              <w:tblCellMar>
                                <w:top w:w="0" w:type="dxa"/>
                                <w:left w:w="0" w:type="dxa"/>
                                <w:bottom w:w="0" w:type="dxa"/>
                                <w:right w:w="0" w:type="dxa"/>
                              </w:tblCellMar>
                            </w:tblPr>
                            <w:tblGrid>
                              <w:gridCol w:w="38"/>
                              <w:gridCol w:w="225"/>
                              <w:gridCol w:w="6155"/>
                            </w:tblGrid>
                            <w:tr>
                              <w:trPr/>
                              <w:tc>
                                <w:tcPr>
                                  <w:tcW w:w="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pPr>
                                  <w:r>
                                    <w:rPr/>
                                    <w:drawing>
                                      <wp:inline distT="0" distB="0" distL="0" distR="0">
                                        <wp:extent cx="142875" cy="104775"/>
                                        <wp:effectExtent l="0" t="0" r="0" b="0"/>
                                        <wp:docPr id="504"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Image232" descr=""/>
                                                <pic:cNvPicPr>
                                                  <a:picLocks noChangeAspect="1" noChangeArrowheads="1"/>
                                                </pic:cNvPicPr>
                                              </pic:nvPicPr>
                                              <pic:blipFill>
                                                <a:blip r:embed="rId233"/>
                                                <a:stretch>
                                                  <a:fillRect/>
                                                </a:stretch>
                                              </pic:blipFill>
                                              <pic:spPr bwMode="auto">
                                                <a:xfrm>
                                                  <a:off x="0" y="0"/>
                                                  <a:ext cx="142875" cy="104775"/>
                                                </a:xfrm>
                                                <a:prstGeom prst="rect">
                                                  <a:avLst/>
                                                </a:prstGeom>
                                              </pic:spPr>
                                            </pic:pic>
                                          </a:graphicData>
                                        </a:graphic>
                                      </wp:inline>
                                    </w:drawing>
                                  </w:r>
                                </w:p>
                              </w:tc>
                              <w:tc>
                                <w:tcPr>
                                  <w:tcW w:w="61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Contact the broker or bank through which you beneficially own your shares.</w:t>
                                  </w:r>
                                </w:p>
                              </w:tc>
                            </w:tr>
                          </w:tbl>
                          <w:p>
                            <w:pPr>
                              <w:pStyle w:val="TextBody"/>
                              <w:spacing w:before="0" w:after="0"/>
                              <w:ind w:left="0" w:right="0" w:hanging="317"/>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Revoking Your Proxy: </w:t>
                            </w:r>
                            <w:r>
                              <w:rPr>
                                <w:rFonts w:ascii="Arial;Helvetica;Sans-Serif" w:hAnsi="Arial;Helvetica;Sans-Serif"/>
                                <w:b w:val="false"/>
                                <w:i w:val="false"/>
                                <w:caps w:val="false"/>
                                <w:smallCaps w:val="false"/>
                                <w:color w:val="58595B"/>
                                <w:sz w:val="18"/>
                              </w:rPr>
                              <w:t>Shareholders of record may revoke their proxy and change their vote at any time before the polls close at the annual meeting by submitting a subsequent proxy (if you received a proxy card) or by using the Internet, by telephone or by mail to vote after the date of your proxy; sending written notice of revocation to our Corporate Secretary at FLEETCOR, 3280 Peachtree Road, Suite 2400, Atlanta, Georgia 30305; or voting in person at the annual meeting. If you hold shares through a bank or broker, please refer to your proxy card or other voting information form forwarded by your bank or broker to see how you can revoke your proxy (if you received one) and change your vote.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Proxy Authority: </w:t>
                            </w:r>
                            <w:r>
                              <w:rPr>
                                <w:rFonts w:ascii="Arial;Helvetica;Sans-Serif" w:hAnsi="Arial;Helvetica;Sans-Serif"/>
                                <w:b w:val="false"/>
                                <w:i w:val="false"/>
                                <w:caps w:val="false"/>
                                <w:smallCaps w:val="false"/>
                                <w:color w:val="58595B"/>
                                <w:sz w:val="18"/>
                              </w:rPr>
                              <w:t>When you submit your proxy, you authorize Ronald F. Clarke and Alissa Vickery, or either one of them, each with full power of substitution, to vote your shares at the annual meeting in accordance with your instructions or, if no instructions are given, in accordance with the Board’s recommendations as described in the table above.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4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ind w:left="2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22. </w:t>
                      </w:r>
                      <w:r>
                        <w:rPr>
                          <w:rFonts w:ascii="Arial;Helvetica;Sans-Serif" w:hAnsi="Arial;Helvetica;Sans-Serif"/>
                          <w:b w:val="false"/>
                          <w:i w:val="false"/>
                          <w:caps w:val="false"/>
                          <w:smallCaps w:val="false"/>
                          <w:color w:val="EE0027"/>
                          <w:sz w:val="20"/>
                        </w:rPr>
                        <w:t>ADDITIONAL INFORMATION</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If you sign and return a proxy card or vote your shares via the Internet but do not provide voting instructions, your shares will be voted as listed in the “Board Voting Recommendation” column in the table above.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231F20"/>
                          <w:sz w:val="18"/>
                        </w:rPr>
                      </w:pPr>
                      <w:bookmarkStart w:id="191" w:name="a108"/>
                      <w:bookmarkEnd w:id="191"/>
                      <w:r>
                        <w:rPr>
                          <w:rFonts w:ascii="Arial;Helvetica;Sans-Serif" w:hAnsi="Arial;Helvetica;Sans-Serif"/>
                          <w:b/>
                          <w:i w:val="false"/>
                          <w:caps w:val="false"/>
                          <w:smallCaps w:val="false"/>
                          <w:color w:val="231F20"/>
                          <w:sz w:val="18"/>
                        </w:rPr>
                        <w:t>Where to Find More Proxy Voting Information:</w:t>
                      </w:r>
                    </w:p>
                    <w:p>
                      <w:pPr>
                        <w:pStyle w:val="TextBody"/>
                        <w:spacing w:before="0" w:after="0"/>
                        <w:rPr>
                          <w:caps w:val="false"/>
                          <w:smallCaps w:val="false"/>
                          <w:color w:val="231F20"/>
                        </w:rPr>
                      </w:pPr>
                      <w:r>
                        <w:rPr>
                          <w:caps w:val="false"/>
                          <w:smallCaps w:val="false"/>
                          <w:color w:val="231F20"/>
                        </w:rPr>
                        <w:t> </w:t>
                      </w:r>
                    </w:p>
                    <w:tbl>
                      <w:tblPr>
                        <w:tblW w:w="10205" w:type="dxa"/>
                        <w:jc w:val="left"/>
                        <w:tblInd w:w="0" w:type="dxa"/>
                        <w:tblCellMar>
                          <w:top w:w="0" w:type="dxa"/>
                          <w:left w:w="0" w:type="dxa"/>
                          <w:bottom w:w="0" w:type="dxa"/>
                          <w:right w:w="0" w:type="dxa"/>
                        </w:tblCellMar>
                      </w:tblPr>
                      <w:tblGrid>
                        <w:gridCol w:w="38"/>
                        <w:gridCol w:w="225"/>
                        <w:gridCol w:w="9942"/>
                      </w:tblGrid>
                      <w:tr>
                        <w:trPr/>
                        <w:tc>
                          <w:tcPr>
                            <w:tcW w:w="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pPr>
                            <w:r>
                              <w:rPr/>
                              <w:drawing>
                                <wp:inline distT="0" distB="0" distL="0" distR="0">
                                  <wp:extent cx="142875" cy="104775"/>
                                  <wp:effectExtent l="0" t="0" r="0" b="0"/>
                                  <wp:docPr id="505" name="Image2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Image230" descr=""/>
                                          <pic:cNvPicPr>
                                            <a:picLocks noChangeAspect="1" noChangeArrowheads="1"/>
                                          </pic:cNvPicPr>
                                        </pic:nvPicPr>
                                        <pic:blipFill>
                                          <a:blip r:embed="rId231"/>
                                          <a:stretch>
                                            <a:fillRect/>
                                          </a:stretch>
                                        </pic:blipFill>
                                        <pic:spPr bwMode="auto">
                                          <a:xfrm>
                                            <a:off x="0" y="0"/>
                                            <a:ext cx="142875" cy="104775"/>
                                          </a:xfrm>
                                          <a:prstGeom prst="rect">
                                            <a:avLst/>
                                          </a:prstGeom>
                                        </pic:spPr>
                                      </pic:pic>
                                    </a:graphicData>
                                  </a:graphic>
                                </wp:inline>
                              </w:drawing>
                            </w:r>
                          </w:p>
                        </w:tc>
                        <w:tc>
                          <w:tcPr>
                            <w:tcW w:w="994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The SEC’s website has a variety of information about the proxy voting process at www.sec.gov/spotlight/proxymatters.shtml.</w:t>
                            </w:r>
                          </w:p>
                        </w:tc>
                      </w:tr>
                    </w:tbl>
                    <w:p>
                      <w:pPr>
                        <w:pStyle w:val="TextBody"/>
                        <w:spacing w:before="0" w:after="0"/>
                        <w:ind w:left="0" w:right="0" w:firstLine="27"/>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38"/>
                        <w:gridCol w:w="225"/>
                        <w:gridCol w:w="9942"/>
                      </w:tblGrid>
                      <w:tr>
                        <w:trPr/>
                        <w:tc>
                          <w:tcPr>
                            <w:tcW w:w="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pPr>
                            <w:r>
                              <w:rPr/>
                              <w:drawing>
                                <wp:inline distT="0" distB="0" distL="0" distR="0">
                                  <wp:extent cx="142875" cy="104775"/>
                                  <wp:effectExtent l="0" t="0" r="0" b="0"/>
                                  <wp:docPr id="506" name="Image2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 name="Image231" descr=""/>
                                          <pic:cNvPicPr>
                                            <a:picLocks noChangeAspect="1" noChangeArrowheads="1"/>
                                          </pic:cNvPicPr>
                                        </pic:nvPicPr>
                                        <pic:blipFill>
                                          <a:blip r:embed="rId232"/>
                                          <a:stretch>
                                            <a:fillRect/>
                                          </a:stretch>
                                        </pic:blipFill>
                                        <pic:spPr bwMode="auto">
                                          <a:xfrm>
                                            <a:off x="0" y="0"/>
                                            <a:ext cx="142875" cy="104775"/>
                                          </a:xfrm>
                                          <a:prstGeom prst="rect">
                                            <a:avLst/>
                                          </a:prstGeom>
                                        </pic:spPr>
                                      </pic:pic>
                                    </a:graphicData>
                                  </a:graphic>
                                </wp:inline>
                              </w:drawing>
                            </w:r>
                          </w:p>
                        </w:tc>
                        <w:tc>
                          <w:tcPr>
                            <w:tcW w:w="9942"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Contact the Investor Relations department through our website at https://investor.FLEETCOR.com or by phone at (770) 417-4697.</w:t>
                            </w:r>
                          </w:p>
                        </w:tc>
                      </w:tr>
                    </w:tbl>
                    <w:p>
                      <w:pPr>
                        <w:pStyle w:val="TextBody"/>
                        <w:spacing w:before="0" w:after="0"/>
                        <w:ind w:left="0" w:right="0" w:hanging="313"/>
                        <w:rPr>
                          <w:caps w:val="false"/>
                          <w:smallCaps w:val="false"/>
                        </w:rPr>
                      </w:pPr>
                      <w:r>
                        <w:rPr>
                          <w:caps w:val="false"/>
                          <w:smallCaps w:val="false"/>
                        </w:rPr>
                        <w:t> </w:t>
                      </w:r>
                    </w:p>
                    <w:tbl>
                      <w:tblPr>
                        <w:tblW w:w="6418" w:type="dxa"/>
                        <w:jc w:val="left"/>
                        <w:tblInd w:w="0" w:type="dxa"/>
                        <w:tblCellMar>
                          <w:top w:w="0" w:type="dxa"/>
                          <w:left w:w="0" w:type="dxa"/>
                          <w:bottom w:w="0" w:type="dxa"/>
                          <w:right w:w="0" w:type="dxa"/>
                        </w:tblCellMar>
                      </w:tblPr>
                      <w:tblGrid>
                        <w:gridCol w:w="38"/>
                        <w:gridCol w:w="225"/>
                        <w:gridCol w:w="6155"/>
                      </w:tblGrid>
                      <w:tr>
                        <w:trPr/>
                        <w:tc>
                          <w:tcPr>
                            <w:tcW w:w="3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jc w:val="left"/>
                              <w:rPr/>
                            </w:pPr>
                            <w:r>
                              <w:rPr/>
                              <w:drawing>
                                <wp:inline distT="0" distB="0" distL="0" distR="0">
                                  <wp:extent cx="142875" cy="104775"/>
                                  <wp:effectExtent l="0" t="0" r="0" b="0"/>
                                  <wp:docPr id="507" name="Image2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Image232" descr=""/>
                                          <pic:cNvPicPr>
                                            <a:picLocks noChangeAspect="1" noChangeArrowheads="1"/>
                                          </pic:cNvPicPr>
                                        </pic:nvPicPr>
                                        <pic:blipFill>
                                          <a:blip r:embed="rId233"/>
                                          <a:stretch>
                                            <a:fillRect/>
                                          </a:stretch>
                                        </pic:blipFill>
                                        <pic:spPr bwMode="auto">
                                          <a:xfrm>
                                            <a:off x="0" y="0"/>
                                            <a:ext cx="142875" cy="104775"/>
                                          </a:xfrm>
                                          <a:prstGeom prst="rect">
                                            <a:avLst/>
                                          </a:prstGeom>
                                        </pic:spPr>
                                      </pic:pic>
                                    </a:graphicData>
                                  </a:graphic>
                                </wp:inline>
                              </w:drawing>
                            </w:r>
                          </w:p>
                        </w:tc>
                        <w:tc>
                          <w:tcPr>
                            <w:tcW w:w="6155" w:type="dxa"/>
                            <w:tcBorders/>
                            <w:shd w:fill="auto" w:val="clear"/>
                            <w:vAlign w:val="center"/>
                          </w:tcPr>
                          <w:p>
                            <w:pPr>
                              <w:pStyle w:val="TableContents"/>
                              <w:spacing w:before="0" w:after="283"/>
                              <w:rPr>
                                <w:rFonts w:ascii="Arial;Helvetica;Sans-Serif" w:hAnsi="Arial;Helvetica;Sans-Serif"/>
                                <w:color w:val="58595B"/>
                                <w:sz w:val="18"/>
                              </w:rPr>
                            </w:pPr>
                            <w:r>
                              <w:rPr>
                                <w:rFonts w:ascii="Arial;Helvetica;Sans-Serif" w:hAnsi="Arial;Helvetica;Sans-Serif"/>
                                <w:color w:val="58595B"/>
                                <w:sz w:val="18"/>
                              </w:rPr>
                              <w:t>Contact the broker or bank through which you beneficially own your shares.</w:t>
                            </w:r>
                          </w:p>
                        </w:tc>
                      </w:tr>
                    </w:tbl>
                    <w:p>
                      <w:pPr>
                        <w:pStyle w:val="TextBody"/>
                        <w:spacing w:before="0" w:after="0"/>
                        <w:ind w:left="0" w:right="0" w:hanging="317"/>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Revoking Your Proxy: </w:t>
                      </w:r>
                      <w:r>
                        <w:rPr>
                          <w:rFonts w:ascii="Arial;Helvetica;Sans-Serif" w:hAnsi="Arial;Helvetica;Sans-Serif"/>
                          <w:b w:val="false"/>
                          <w:i w:val="false"/>
                          <w:caps w:val="false"/>
                          <w:smallCaps w:val="false"/>
                          <w:color w:val="58595B"/>
                          <w:sz w:val="18"/>
                        </w:rPr>
                        <w:t>Shareholders of record may revoke their proxy and change their vote at any time before the polls close at the annual meeting by submitting a subsequent proxy (if you received a proxy card) or by using the Internet, by telephone or by mail to vote after the date of your proxy; sending written notice of revocation to our Corporate Secretary at FLEETCOR, 3280 Peachtree Road, Suite 2400, Atlanta, Georgia 30305; or voting in person at the annual meeting. If you hold shares through a bank or broker, please refer to your proxy card or other voting information form forwarded by your bank or broker to see how you can revoke your proxy (if you received one) and change your vote.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i w:val="false"/>
                          <w:caps w:val="false"/>
                          <w:smallCaps w:val="false"/>
                          <w:color w:val="58595B"/>
                          <w:sz w:val="18"/>
                        </w:rPr>
                        <w:t xml:space="preserve">Proxy Authority: </w:t>
                      </w:r>
                      <w:r>
                        <w:rPr>
                          <w:rFonts w:ascii="Arial;Helvetica;Sans-Serif" w:hAnsi="Arial;Helvetica;Sans-Serif"/>
                          <w:b w:val="false"/>
                          <w:i w:val="false"/>
                          <w:caps w:val="false"/>
                          <w:smallCaps w:val="false"/>
                          <w:color w:val="58595B"/>
                          <w:sz w:val="18"/>
                        </w:rPr>
                        <w:t>When you submit your proxy, you authorize Ronald F. Clarke and Alissa Vickery, or either one of them, each with full power of substitution, to vote your shares at the annual meeting in accordance with your instructions or, if no instructions are given, in accordance with the Board’s recommendations as described in the table above.</w:t>
                      </w:r>
                    </w:p>
                  </w:txbxContent>
                </v:textbox>
                <w10:wrap type="square" side="right"/>
              </v:rect>
            </w:pict>
          </mc:Fallback>
        </mc:AlternateContent>
      </w:r>
      <w:r>
        <mc:AlternateContent>
          <mc:Choice Requires="wps">
            <w:drawing>
              <wp:anchor behindDoc="0" distT="0" distB="0" distL="0" distR="0" simplePos="0" locked="0" layoutInCell="1" allowOverlap="1" relativeHeight="236">
                <wp:simplePos x="0" y="0"/>
                <wp:positionH relativeFrom="column">
                  <wp:align>right</wp:align>
                </wp:positionH>
                <wp:positionV relativeFrom="line">
                  <wp:posOffset>635</wp:posOffset>
                </wp:positionV>
                <wp:extent cx="3110230" cy="6017260"/>
                <wp:effectExtent l="0" t="0" r="0" b="0"/>
                <wp:wrapSquare wrapText="largest"/>
                <wp:docPr id="508" name="Frame107"/>
                <a:graphic xmlns:a="http://schemas.openxmlformats.org/drawingml/2006/main">
                  <a:graphicData uri="http://schemas.microsoft.com/office/word/2010/wordprocessingShape">
                    <wps:wsp>
                      <wps:cNvSpPr txBox="1"/>
                      <wps:spPr>
                        <a:xfrm>
                          <a:off x="0" y="0"/>
                          <a:ext cx="3110230" cy="6017260"/>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proxies, in their discretion, are further authorized to vote on any adjournments or postponements of the annual meeting, for the election of one or more persons to the Board if any of the nominees becomes unable to serve or for good cause will not serve, on matters which the board does not know a reasonable time before making the proxy solicitations will be presented at the annual meeting or any other matters which may properly come before the annual meeting and any postponements or adjournments thereto.</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92" w:name="a109"/>
                            <w:bookmarkEnd w:id="192"/>
                            <w:r>
                              <w:rPr>
                                <w:rFonts w:ascii="Arial;Helvetica;Sans-Serif" w:hAnsi="Arial;Helvetica;Sans-Serif"/>
                                <w:b/>
                                <w:i w:val="false"/>
                                <w:caps w:val="false"/>
                                <w:smallCaps w:val="false"/>
                                <w:color w:val="EE0027"/>
                                <w:sz w:val="20"/>
                              </w:rPr>
                              <w:t>Householding of Proxy Materials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SEC has adopted rules that permit companies and intermediaries (such as banks and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This year, a number of banks and brokers with account holders who are shareholders will be “householding” our proxy materials. A single proxy statement will be delivered to multiple shareholders sharing an address unless contrary instructions have been received from the affected shareholders. Once you have received notice from your bank or broker that it will be “householding” communications to your address, “house- holding” will continue until you are notified otherwise or until you revoke your consent. If, at any time, you no longer wish to participate in “householding” and would prefer to receive a separate proxy statement, please notify your bank or broker, or direct your written request to FLEETCOR Technologies, Inc., Attention: Corporate Secretary, 3280 Peachtree Road, Suite 2400, Atlanta, Georgia 30305, HOUSEHOLDING, and we will deliver a separate copy of the proxy statement upon request. Shareholders who currently receive multiple copies of the proxy statement and annual report at their address and would like to request “householding” of their communications should contact their bank or broker.</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73.8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proxies, in their discretion, are further authorized to vote on any adjournments or postponements of the annual meeting, for the election of one or more persons to the Board if any of the nominees becomes unable to serve or for good cause will not serve, on matters which the board does not know a reasonable time before making the proxy solicitations will be presented at the annual meeting or any other matters which may properly come before the annual meeting and any postponements or adjournments thereto.</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i w:val="false"/>
                          <w:caps w:val="false"/>
                          <w:smallCaps w:val="false"/>
                          <w:color w:val="EE0027"/>
                          <w:sz w:val="20"/>
                        </w:rPr>
                      </w:pPr>
                      <w:bookmarkStart w:id="193" w:name="a109"/>
                      <w:bookmarkEnd w:id="193"/>
                      <w:r>
                        <w:rPr>
                          <w:rFonts w:ascii="Arial;Helvetica;Sans-Serif" w:hAnsi="Arial;Helvetica;Sans-Serif"/>
                          <w:b/>
                          <w:i w:val="false"/>
                          <w:caps w:val="false"/>
                          <w:smallCaps w:val="false"/>
                          <w:color w:val="EE0027"/>
                          <w:sz w:val="20"/>
                        </w:rPr>
                        <w:t>Householding of Proxy Materials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The SEC has adopted rules that permit companies and intermediaries (such as banks and brokers) to satisfy the delivery requirements for proxy statements and annual reports with respect to two or more shareholders sharing the same address by delivering a single proxy statement addressed to those shareholders. This process, which is commonly referred to as “householding,” potentially means extra convenience for shareholders and cost savings for companies.</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This year, a number of banks and brokers with account holders who are shareholders will be “householding” our proxy materials. A single proxy statement will be delivered to multiple shareholders sharing an address unless contrary instructions have been received from the affected shareholders. Once you have received notice from your bank or broker that it will be “householding” communications to your address, “house- holding” will continue until you are notified otherwise or until you revoke your consent. If, at any time, you no longer wish to participate in “householding” and would prefer to receive a separate proxy statement, please notify your bank or broker, or direct your written request to FLEETCOR Technologies, Inc., Attention: Corporate Secretary, 3280 Peachtree Road, Suite 2400, Atlanta, Georgia 30305, HOUSEHOLDING, and we will deliver a separate copy of the proxy statement upon request. Shareholders who currently receive multiple copies of the proxy statement and annual report at their address and would like to request “householding” of their communications should contact their bank or broker.</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66</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rPr/>
      </w:pPr>
      <w:r>
        <w:rPr/>
      </w:r>
      <w:r>
        <mc:AlternateContent>
          <mc:Choice Requires="wps">
            <w:drawing>
              <wp:anchor behindDoc="0" distT="0" distB="0" distL="0" distR="0" simplePos="0" locked="0" layoutInCell="1" allowOverlap="1" relativeHeight="237">
                <wp:simplePos x="0" y="0"/>
                <wp:positionH relativeFrom="column">
                  <wp:align>left</wp:align>
                </wp:positionH>
                <wp:positionV relativeFrom="line">
                  <wp:posOffset>635</wp:posOffset>
                </wp:positionV>
                <wp:extent cx="3110230" cy="4293870"/>
                <wp:effectExtent l="0" t="0" r="0" b="0"/>
                <wp:wrapSquare wrapText="largest"/>
                <wp:docPr id="509" name="Frame108"/>
                <a:graphic xmlns:a="http://schemas.openxmlformats.org/drawingml/2006/main">
                  <a:graphicData uri="http://schemas.microsoft.com/office/word/2010/wordprocessingShape">
                    <wps:wsp>
                      <wps:cNvSpPr txBox="1"/>
                      <wps:spPr>
                        <a:xfrm>
                          <a:off x="0" y="0"/>
                          <a:ext cx="3110230" cy="4293870"/>
                        </a:xfrm>
                        <a:prstGeom prst="rect"/>
                      </wps:spPr>
                      <wps:txbx>
                        <w:txbxContent>
                          <w:p>
                            <w:pPr>
                              <w:pStyle w:val="TextBody"/>
                              <w:spacing w:before="0" w:after="0"/>
                              <w:ind w:left="20" w:right="0" w:hanging="0"/>
                              <w:rPr>
                                <w:rFonts w:ascii="Arial;Helvetica;Sans-Serif" w:hAnsi="Arial;Helvetica;Sans-Serif"/>
                                <w:b w:val="false"/>
                                <w:i w:val="false"/>
                                <w:caps w:val="false"/>
                                <w:smallCaps w:val="false"/>
                                <w:sz w:val="20"/>
                              </w:rPr>
                            </w:pPr>
                            <w:bookmarkStart w:id="194" w:name="a110"/>
                            <w:bookmarkEnd w:id="194"/>
                            <w:r>
                              <w:rPr>
                                <w:rFonts w:ascii="Arial;Helvetica;Sans-Serif" w:hAnsi="Arial;Helvetica;Sans-Serif"/>
                                <w:b/>
                                <w:i w:val="false"/>
                                <w:caps w:val="false"/>
                                <w:smallCaps w:val="false"/>
                                <w:color w:val="231F20"/>
                                <w:sz w:val="20"/>
                              </w:rPr>
                              <w:t xml:space="preserve">23. </w:t>
                            </w:r>
                            <w:r>
                              <w:rPr>
                                <w:rFonts w:ascii="Arial;Helvetica;Sans-Serif" w:hAnsi="Arial;Helvetica;Sans-Serif"/>
                                <w:b w:val="false"/>
                                <w:i w:val="false"/>
                                <w:caps w:val="false"/>
                                <w:smallCaps w:val="false"/>
                                <w:color w:val="EE0027"/>
                                <w:sz w:val="20"/>
                              </w:rPr>
                              <w:t>APPENDIX A</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bookmarkStart w:id="195" w:name="a111"/>
                            <w:bookmarkEnd w:id="195"/>
                            <w:r>
                              <w:rPr>
                                <w:rFonts w:ascii="Arial;Helvetica;Sans-Serif" w:hAnsi="Arial;Helvetica;Sans-Serif"/>
                                <w:b/>
                                <w:i w:val="false"/>
                                <w:caps w:val="false"/>
                                <w:smallCaps w:val="false"/>
                                <w:color w:val="EE0027"/>
                                <w:sz w:val="20"/>
                              </w:rPr>
                              <w:t>Management’s Use of Non-GAAP Financial Measures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231F20"/>
                                <w:sz w:val="18"/>
                              </w:rPr>
                            </w:pPr>
                            <w:bookmarkStart w:id="196" w:name="a112"/>
                            <w:bookmarkEnd w:id="196"/>
                            <w:r>
                              <w:rPr>
                                <w:rFonts w:ascii="Arial;Helvetica;Sans-Serif" w:hAnsi="Arial;Helvetica;Sans-Serif"/>
                                <w:b/>
                                <w:i w:val="false"/>
                                <w:caps w:val="false"/>
                                <w:smallCaps w:val="false"/>
                                <w:color w:val="231F20"/>
                                <w:sz w:val="18"/>
                              </w:rPr>
                              <w:t>Adjusted Net Income and Adjusted Net Income Per Diluted Share</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have defined the non-GAAP measure adjusted net income as net income as reflected in our statement of income, adjusted to eliminate (a) non-cash stock based compensation expense related to share based compensation awards, (b) amortization of deferred financing costs, discounts and intangible assets, amortization of the premium recognized on the purchase of receivables, and our proportionate share of amortization of intangible assets at our equity method investment, (c) integration and deal related costs, and (d) other non-recurring items, including unusual credit losses occurring largely due to COVID-19, the impact of discrete tax items, impairment charges, asset write-offs, restructuring costs, gains due to disposition of assets/businesses, loss on extinguishment of debt, and legal settlements. We calculate adjusted net income and adjusted net income per diluted share to eliminate the effect of items that we do not consider indicative of our core operating performance.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have defined the non-GAAP measure adjusted net income per diluted share as the calculation previously noted divided by the weighted average diluted shares outstanding as reflected in our statement of income.</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38.1pt;mso-wrap-distance-left:0pt;mso-wrap-distance-right:0pt;mso-wrap-distance-top:0pt;mso-wrap-distance-bottom:0pt;margin-top:0pt;mso-position-vertical:top;mso-position-vertical-relative:text;margin-left:244.9pt;mso-position-horizontal:left;mso-position-horizontal-relative:text">
                <v:textbox>
                  <w:txbxContent>
                    <w:p>
                      <w:pPr>
                        <w:pStyle w:val="TextBody"/>
                        <w:spacing w:before="0" w:after="0"/>
                        <w:ind w:left="20" w:right="0" w:hanging="0"/>
                        <w:rPr>
                          <w:rFonts w:ascii="Arial;Helvetica;Sans-Serif" w:hAnsi="Arial;Helvetica;Sans-Serif"/>
                          <w:b w:val="false"/>
                          <w:i w:val="false"/>
                          <w:caps w:val="false"/>
                          <w:smallCaps w:val="false"/>
                          <w:sz w:val="20"/>
                        </w:rPr>
                      </w:pPr>
                      <w:bookmarkStart w:id="197" w:name="a110"/>
                      <w:bookmarkEnd w:id="197"/>
                      <w:r>
                        <w:rPr>
                          <w:rFonts w:ascii="Arial;Helvetica;Sans-Serif" w:hAnsi="Arial;Helvetica;Sans-Serif"/>
                          <w:b/>
                          <w:i w:val="false"/>
                          <w:caps w:val="false"/>
                          <w:smallCaps w:val="false"/>
                          <w:color w:val="231F20"/>
                          <w:sz w:val="20"/>
                        </w:rPr>
                        <w:t xml:space="preserve">23. </w:t>
                      </w:r>
                      <w:r>
                        <w:rPr>
                          <w:rFonts w:ascii="Arial;Helvetica;Sans-Serif" w:hAnsi="Arial;Helvetica;Sans-Serif"/>
                          <w:b w:val="false"/>
                          <w:i w:val="false"/>
                          <w:caps w:val="false"/>
                          <w:smallCaps w:val="false"/>
                          <w:color w:val="EE0027"/>
                          <w:sz w:val="20"/>
                        </w:rPr>
                        <w:t>APPENDIX A</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EE0027"/>
                          <w:sz w:val="20"/>
                        </w:rPr>
                      </w:pPr>
                      <w:bookmarkStart w:id="198" w:name="a111"/>
                      <w:bookmarkEnd w:id="198"/>
                      <w:r>
                        <w:rPr>
                          <w:rFonts w:ascii="Arial;Helvetica;Sans-Serif" w:hAnsi="Arial;Helvetica;Sans-Serif"/>
                          <w:b/>
                          <w:i w:val="false"/>
                          <w:caps w:val="false"/>
                          <w:smallCaps w:val="false"/>
                          <w:color w:val="EE0027"/>
                          <w:sz w:val="20"/>
                        </w:rPr>
                        <w:t>Management’s Use of Non-GAAP Financial Measures</w:t>
                      </w:r>
                    </w:p>
                    <w:p>
                      <w:pPr>
                        <w:pStyle w:val="TextBody"/>
                        <w:spacing w:before="0" w:after="0"/>
                        <w:rPr>
                          <w:caps w:val="false"/>
                          <w:smallCaps w:val="false"/>
                          <w:color w:val="EE0027"/>
                        </w:rPr>
                      </w:pPr>
                      <w:r>
                        <w:rPr>
                          <w:caps w:val="false"/>
                          <w:smallCaps w:val="false"/>
                          <w:color w:val="EE0027"/>
                        </w:rPr>
                        <w:t> </w:t>
                      </w:r>
                    </w:p>
                    <w:p>
                      <w:pPr>
                        <w:pStyle w:val="TextBody"/>
                        <w:spacing w:before="0" w:after="0"/>
                        <w:rPr>
                          <w:rFonts w:ascii="Arial;Helvetica;Sans-Serif" w:hAnsi="Arial;Helvetica;Sans-Serif"/>
                          <w:b/>
                          <w:i w:val="false"/>
                          <w:caps w:val="false"/>
                          <w:smallCaps w:val="false"/>
                          <w:color w:val="231F20"/>
                          <w:sz w:val="18"/>
                        </w:rPr>
                      </w:pPr>
                      <w:bookmarkStart w:id="199" w:name="a112"/>
                      <w:bookmarkEnd w:id="199"/>
                      <w:r>
                        <w:rPr>
                          <w:rFonts w:ascii="Arial;Helvetica;Sans-Serif" w:hAnsi="Arial;Helvetica;Sans-Serif"/>
                          <w:b/>
                          <w:i w:val="false"/>
                          <w:caps w:val="false"/>
                          <w:smallCaps w:val="false"/>
                          <w:color w:val="231F20"/>
                          <w:sz w:val="18"/>
                        </w:rPr>
                        <w:t>Adjusted Net Income and Adjusted Net Income Per Diluted Share</w:t>
                      </w:r>
                    </w:p>
                    <w:p>
                      <w:pPr>
                        <w:pStyle w:val="TextBody"/>
                        <w:spacing w:before="0" w:after="0"/>
                        <w:rPr>
                          <w:caps w:val="false"/>
                          <w:smallCaps w:val="false"/>
                          <w:color w:val="231F20"/>
                        </w:rPr>
                      </w:pPr>
                      <w:r>
                        <w:rPr>
                          <w:caps w:val="false"/>
                          <w:smallCaps w:val="false"/>
                          <w:color w:val="231F20"/>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have defined the non-GAAP measure adjusted net income as net income as reflected in our statement of income, adjusted to eliminate (a) non-cash stock based compensation expense related to share based compensation awards, (b) amortization of deferred financing costs, discounts and intangible assets, amortization of the premium recognized on the purchase of receivables, and our proportionate share of amortization of intangible assets at our equity method investment, (c) integration and deal related costs, and (d) other non-recurring items, including unusual credit losses occurring largely due to COVID-19, the impact of discrete tax items, impairment charges, asset write-offs, restructuring costs, gains due to disposition of assets/businesses, loss on extinguishment of debt, and legal settlements. We calculate adjusted net income and adjusted net income per diluted share to eliminate the effect of items that we do not consider indicative of our core operating performance.</w:t>
                      </w:r>
                    </w:p>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We have defined the non-GAAP measure adjusted net income per diluted share as the calculation previously noted divided by the weighted average diluted shares outstanding as reflected in our statement of income.</w:t>
                      </w:r>
                    </w:p>
                  </w:txbxContent>
                </v:textbox>
                <w10:wrap type="square" side="right"/>
              </v:rect>
            </w:pict>
          </mc:Fallback>
        </mc:AlternateContent>
      </w:r>
      <w:r>
        <mc:AlternateContent>
          <mc:Choice Requires="wps">
            <w:drawing>
              <wp:anchor behindDoc="0" distT="0" distB="0" distL="0" distR="0" simplePos="0" locked="0" layoutInCell="1" allowOverlap="1" relativeHeight="238">
                <wp:simplePos x="0" y="0"/>
                <wp:positionH relativeFrom="column">
                  <wp:align>right</wp:align>
                </wp:positionH>
                <wp:positionV relativeFrom="line">
                  <wp:posOffset>635</wp:posOffset>
                </wp:positionV>
                <wp:extent cx="3110230" cy="3505200"/>
                <wp:effectExtent l="0" t="0" r="0" b="0"/>
                <wp:wrapSquare wrapText="largest"/>
                <wp:docPr id="510" name="Frame109"/>
                <a:graphic xmlns:a="http://schemas.openxmlformats.org/drawingml/2006/main">
                  <a:graphicData uri="http://schemas.microsoft.com/office/word/2010/wordprocessingShape">
                    <wps:wsp>
                      <wps:cNvSpPr txBox="1"/>
                      <wps:spPr>
                        <a:xfrm>
                          <a:off x="0" y="0"/>
                          <a:ext cx="3110230" cy="3505200"/>
                        </a:xfrm>
                        <a:prstGeom prst="rect"/>
                      </wps:spPr>
                      <wps:txb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ind w:left="0" w:right="0" w:firstLine="39"/>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Adjusted net income and adjusted net income per diluted share are supplemental measures of operating performance that do not represent and should not be considered as an alternative to net income, net income per diluted share or cash flow from operations, as determined by U.S. generally accepted accounting principles, or U.S. GAAP. We believe it is useful to exclude non-cash share-based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We also believe that integration and deal related costs and one-time non-recurring expenses, gains, losses, and impairment charges do not necessarily reflect how our investments and business are performing. We adjust net income for the tax effect of each of these non-tax items.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276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spacing w:before="0" w:after="0"/>
                        <w:rPr>
                          <w:caps w:val="false"/>
                          <w:smallCaps w:val="false"/>
                          <w:color w:val="231F20"/>
                        </w:rPr>
                      </w:pPr>
                      <w:r>
                        <w:rPr>
                          <w:caps w:val="false"/>
                          <w:smallCaps w:val="false"/>
                          <w:color w:val="231F20"/>
                        </w:rPr>
                        <w:t> </w:t>
                      </w:r>
                    </w:p>
                    <w:p>
                      <w:pPr>
                        <w:pStyle w:val="TextBody"/>
                        <w:spacing w:before="0" w:after="0"/>
                        <w:rPr>
                          <w:caps w:val="false"/>
                          <w:smallCaps w:val="false"/>
                          <w:color w:val="231F20"/>
                        </w:rPr>
                      </w:pPr>
                      <w:r>
                        <w:rPr>
                          <w:caps w:val="false"/>
                          <w:smallCaps w:val="false"/>
                          <w:color w:val="231F20"/>
                        </w:rPr>
                        <w:t> </w:t>
                      </w:r>
                    </w:p>
                    <w:p>
                      <w:pPr>
                        <w:pStyle w:val="TextBody"/>
                        <w:spacing w:before="0" w:after="0"/>
                        <w:ind w:left="0" w:right="0" w:firstLine="39"/>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Adjusted net income and adjusted net income per diluted share are supplemental measures of operating performance that do not represent and should not be considered as an alternative to net income, net income per diluted share or cash flow from operations, as determined by U.S. generally accepted accounting principles, or U.S. GAAP. We believe it is useful to exclude non-cash share-based compensation expense from adjusted net income because non-cash equity grants made at a certain price and point in time do not necessarily reflect how our business is performing at any particular time and share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We also believe that integration and deal related costs and one-time non-recurring expenses, gains, losses, and impairment charges do not necessarily reflect how our investments and business are performing. We adjust net income for the tax effect of each of these non-tax items.</w:t>
                      </w:r>
                    </w:p>
                  </w:txbxContent>
                </v:textbox>
                <w10:wrap type="square" side="left"/>
              </v:rect>
            </w:pict>
          </mc:Fallback>
        </mc:AlternateContent>
      </w:r>
    </w:p>
    <w:p>
      <w:pPr>
        <w:pStyle w:val="TextBody"/>
        <w:rPr/>
      </w:pPr>
      <w:r>
        <w:rPr/>
      </w:r>
    </w:p>
    <w:p>
      <w:pPr>
        <w:pStyle w:val="TextBody"/>
        <w:spacing w:before="0" w:after="0"/>
        <w:rPr>
          <w:caps w:val="false"/>
          <w:smallCaps w:val="false"/>
          <w:color w:val="58595B"/>
        </w:rPr>
      </w:pPr>
      <w:r>
        <w:rPr>
          <w:caps w:val="false"/>
          <w:smallCaps w:val="false"/>
          <w:color w:val="58595B"/>
        </w:rPr>
        <w:t> </w:t>
      </w:r>
    </w:p>
    <w:tbl>
      <w:tblPr>
        <w:tblW w:w="3910" w:type="dxa"/>
        <w:jc w:val="left"/>
        <w:tblInd w:w="0" w:type="dxa"/>
        <w:tblCellMar>
          <w:top w:w="0" w:type="dxa"/>
          <w:left w:w="0" w:type="dxa"/>
          <w:bottom w:w="0" w:type="dxa"/>
          <w:right w:w="0" w:type="dxa"/>
        </w:tblCellMar>
      </w:tblPr>
      <w:tblGrid>
        <w:gridCol w:w="3695"/>
        <w:gridCol w:w="215"/>
      </w:tblGrid>
      <w:tr>
        <w:trPr/>
        <w:tc>
          <w:tcPr>
            <w:tcW w:w="3695"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 xml:space="preserve">2023 Notice of Annual Meeting &amp; Proxy Statement </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67</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23. </w:t>
      </w:r>
      <w:r>
        <w:rPr>
          <w:rFonts w:ascii="Arial;Helvetica;Sans-Serif" w:hAnsi="Arial;Helvetica;Sans-Serif"/>
          <w:b w:val="false"/>
          <w:i w:val="false"/>
          <w:caps w:val="false"/>
          <w:smallCaps w:val="false"/>
          <w:color w:val="EE0027"/>
          <w:sz w:val="20"/>
        </w:rPr>
        <w:t>APPENDIX A</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Set forth below is a reconciliation of adjusted net income and adjusted net income per diluted share to the most directly comparable GAAP measure, net income and net income per diluted share (in millions, except per share amounts):</w:t>
      </w:r>
    </w:p>
    <w:p>
      <w:pPr>
        <w:pStyle w:val="TextBody"/>
        <w:spacing w:before="0" w:after="0"/>
        <w:rPr>
          <w:caps w:val="false"/>
          <w:smallCaps w:val="false"/>
          <w:color w:val="58595B"/>
        </w:rPr>
      </w:pPr>
      <w:r>
        <w:rPr>
          <w:caps w:val="false"/>
          <w:smallCaps w:val="false"/>
          <w:color w:val="58595B"/>
        </w:rPr>
        <w:t> </w:t>
      </w:r>
    </w:p>
    <w:tbl>
      <w:tblPr>
        <w:tblW w:w="10205" w:type="dxa"/>
        <w:jc w:val="left"/>
        <w:tblInd w:w="0" w:type="dxa"/>
        <w:tblCellMar>
          <w:top w:w="0" w:type="dxa"/>
          <w:left w:w="0" w:type="dxa"/>
          <w:bottom w:w="0" w:type="dxa"/>
          <w:right w:w="0" w:type="dxa"/>
        </w:tblCellMar>
      </w:tblPr>
      <w:tblGrid>
        <w:gridCol w:w="4215"/>
        <w:gridCol w:w="515"/>
        <w:gridCol w:w="515"/>
        <w:gridCol w:w="515"/>
        <w:gridCol w:w="515"/>
        <w:gridCol w:w="515"/>
        <w:gridCol w:w="425"/>
        <w:gridCol w:w="425"/>
        <w:gridCol w:w="425"/>
        <w:gridCol w:w="425"/>
        <w:gridCol w:w="425"/>
        <w:gridCol w:w="425"/>
        <w:gridCol w:w="425"/>
        <w:gridCol w:w="440"/>
      </w:tblGrid>
      <w:tr>
        <w:trPr/>
        <w:tc>
          <w:tcPr>
            <w:tcW w:w="4215" w:type="dxa"/>
            <w:tcBorders/>
            <w:shd w:fill="EE0027" w:val="clear"/>
            <w:vAlign w:val="center"/>
          </w:tcPr>
          <w:p>
            <w:pPr>
              <w:pStyle w:val="TableContents"/>
              <w:spacing w:before="0" w:after="283"/>
              <w:jc w:val="left"/>
              <w:rPr>
                <w:caps w:val="false"/>
                <w:smallCaps w:val="false"/>
              </w:rPr>
            </w:pPr>
            <w:r>
              <w:rPr>
                <w:caps w:val="false"/>
                <w:smallCaps w:val="false"/>
              </w:rPr>
              <w:t> </w:t>
            </w:r>
          </w:p>
        </w:tc>
        <w:tc>
          <w:tcPr>
            <w:tcW w:w="51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2022</w:t>
            </w:r>
          </w:p>
        </w:tc>
        <w:tc>
          <w:tcPr>
            <w:tcW w:w="51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2021</w:t>
            </w:r>
          </w:p>
        </w:tc>
        <w:tc>
          <w:tcPr>
            <w:tcW w:w="51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2020</w:t>
            </w:r>
          </w:p>
        </w:tc>
        <w:tc>
          <w:tcPr>
            <w:tcW w:w="51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2019</w:t>
            </w:r>
          </w:p>
        </w:tc>
        <w:tc>
          <w:tcPr>
            <w:tcW w:w="51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2018</w:t>
            </w:r>
          </w:p>
        </w:tc>
        <w:tc>
          <w:tcPr>
            <w:tcW w:w="42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2017</w:t>
            </w:r>
          </w:p>
        </w:tc>
        <w:tc>
          <w:tcPr>
            <w:tcW w:w="42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2016</w:t>
            </w:r>
          </w:p>
        </w:tc>
        <w:tc>
          <w:tcPr>
            <w:tcW w:w="42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2015</w:t>
            </w:r>
          </w:p>
        </w:tc>
        <w:tc>
          <w:tcPr>
            <w:tcW w:w="42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2014</w:t>
            </w:r>
          </w:p>
        </w:tc>
        <w:tc>
          <w:tcPr>
            <w:tcW w:w="42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2013</w:t>
            </w:r>
          </w:p>
        </w:tc>
        <w:tc>
          <w:tcPr>
            <w:tcW w:w="42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2012</w:t>
            </w:r>
          </w:p>
        </w:tc>
        <w:tc>
          <w:tcPr>
            <w:tcW w:w="425"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2011</w:t>
            </w:r>
          </w:p>
        </w:tc>
        <w:tc>
          <w:tcPr>
            <w:tcW w:w="440" w:type="dxa"/>
            <w:tcBorders/>
            <w:shd w:fill="EE0027" w:val="clear"/>
            <w:vAlign w:val="center"/>
          </w:tcPr>
          <w:p>
            <w:pPr>
              <w:pStyle w:val="TableContents"/>
              <w:spacing w:before="0" w:after="0"/>
              <w:rPr>
                <w:rFonts w:ascii="Arial;Helvetica;Sans-Serif" w:hAnsi="Arial;Helvetica;Sans-Serif"/>
                <w:b/>
                <w:i w:val="false"/>
                <w:caps w:val="false"/>
                <w:smallCaps w:val="false"/>
                <w:color w:val="FFFFFF"/>
                <w:sz w:val="16"/>
              </w:rPr>
            </w:pPr>
            <w:r>
              <w:rPr>
                <w:rFonts w:ascii="Arial;Helvetica;Sans-Serif" w:hAnsi="Arial;Helvetica;Sans-Serif"/>
                <w:b/>
                <w:i w:val="false"/>
                <w:caps w:val="false"/>
                <w:smallCaps w:val="false"/>
                <w:color w:val="FFFFFF"/>
                <w:sz w:val="16"/>
              </w:rPr>
              <w:t>2010</w:t>
            </w:r>
          </w:p>
        </w:tc>
      </w:tr>
      <w:tr>
        <w:trPr/>
        <w:tc>
          <w:tcPr>
            <w:tcW w:w="421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Net income</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$954</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$839</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$704</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$895</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$811</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$740</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$452</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$362</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$369</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$285</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$216</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$147</w:t>
            </w:r>
          </w:p>
        </w:tc>
        <w:tc>
          <w:tcPr>
            <w:tcW w:w="440"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$108</w:t>
            </w:r>
          </w:p>
        </w:tc>
      </w:tr>
      <w:tr>
        <w:trPr/>
        <w:tc>
          <w:tcPr>
            <w:tcW w:w="421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Net income per diluted share</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$12.42</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$9.99</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$8.12</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$9.94</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$8.81</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$7.91</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$4.75</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$3.85</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$4.24</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$3.36</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$2.52</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$1.76</w:t>
            </w:r>
          </w:p>
        </w:tc>
        <w:tc>
          <w:tcPr>
            <w:tcW w:w="440"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$1.34</w:t>
            </w:r>
          </w:p>
        </w:tc>
      </w:tr>
      <w:tr>
        <w:trPr/>
        <w:tc>
          <w:tcPr>
            <w:tcW w:w="421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Adjustments:</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515" w:type="dxa"/>
            <w:tcBorders/>
            <w:shd w:fill="auto" w:val="clear"/>
            <w:vAlign w:val="center"/>
          </w:tcPr>
          <w:p>
            <w:pPr>
              <w:pStyle w:val="TableContents"/>
              <w:spacing w:before="0" w:after="283"/>
              <w:rPr>
                <w:caps w:val="false"/>
                <w:smallCaps w:val="false"/>
              </w:rPr>
            </w:pPr>
            <w:r>
              <w:rPr>
                <w:caps w:val="false"/>
                <w:smallCaps w:val="false"/>
              </w:rPr>
              <w:t> </w:t>
            </w:r>
          </w:p>
        </w:tc>
        <w:tc>
          <w:tcPr>
            <w:tcW w:w="425" w:type="dxa"/>
            <w:tcBorders/>
            <w:shd w:fill="auto" w:val="clear"/>
            <w:vAlign w:val="center"/>
          </w:tcPr>
          <w:p>
            <w:pPr>
              <w:pStyle w:val="TableContents"/>
              <w:spacing w:before="0" w:after="283"/>
              <w:rPr>
                <w:caps w:val="false"/>
                <w:smallCaps w:val="false"/>
              </w:rPr>
            </w:pPr>
            <w:r>
              <w:rPr>
                <w:caps w:val="false"/>
                <w:smallCaps w:val="false"/>
              </w:rPr>
              <w:t> </w:t>
            </w:r>
          </w:p>
        </w:tc>
        <w:tc>
          <w:tcPr>
            <w:tcW w:w="425" w:type="dxa"/>
            <w:tcBorders/>
            <w:shd w:fill="auto" w:val="clear"/>
            <w:vAlign w:val="center"/>
          </w:tcPr>
          <w:p>
            <w:pPr>
              <w:pStyle w:val="TableContents"/>
              <w:spacing w:before="0" w:after="283"/>
              <w:rPr>
                <w:caps w:val="false"/>
                <w:smallCaps w:val="false"/>
              </w:rPr>
            </w:pPr>
            <w:r>
              <w:rPr>
                <w:caps w:val="false"/>
                <w:smallCaps w:val="false"/>
              </w:rPr>
              <w:t> </w:t>
            </w:r>
          </w:p>
        </w:tc>
        <w:tc>
          <w:tcPr>
            <w:tcW w:w="425" w:type="dxa"/>
            <w:tcBorders/>
            <w:shd w:fill="auto" w:val="clear"/>
            <w:vAlign w:val="center"/>
          </w:tcPr>
          <w:p>
            <w:pPr>
              <w:pStyle w:val="TableContents"/>
              <w:spacing w:before="0" w:after="283"/>
              <w:rPr>
                <w:caps w:val="false"/>
                <w:smallCaps w:val="false"/>
              </w:rPr>
            </w:pPr>
            <w:r>
              <w:rPr>
                <w:caps w:val="false"/>
                <w:smallCaps w:val="false"/>
              </w:rPr>
              <w:t> </w:t>
            </w:r>
          </w:p>
        </w:tc>
        <w:tc>
          <w:tcPr>
            <w:tcW w:w="425" w:type="dxa"/>
            <w:tcBorders/>
            <w:shd w:fill="auto" w:val="clear"/>
            <w:vAlign w:val="center"/>
          </w:tcPr>
          <w:p>
            <w:pPr>
              <w:pStyle w:val="TableContents"/>
              <w:spacing w:before="0" w:after="283"/>
              <w:rPr>
                <w:caps w:val="false"/>
                <w:smallCaps w:val="false"/>
              </w:rPr>
            </w:pPr>
            <w:r>
              <w:rPr>
                <w:caps w:val="false"/>
                <w:smallCaps w:val="false"/>
              </w:rPr>
              <w:t> </w:t>
            </w:r>
          </w:p>
        </w:tc>
        <w:tc>
          <w:tcPr>
            <w:tcW w:w="425" w:type="dxa"/>
            <w:tcBorders/>
            <w:shd w:fill="auto" w:val="clear"/>
            <w:vAlign w:val="center"/>
          </w:tcPr>
          <w:p>
            <w:pPr>
              <w:pStyle w:val="TableContents"/>
              <w:spacing w:before="0" w:after="283"/>
              <w:rPr>
                <w:caps w:val="false"/>
                <w:smallCaps w:val="false"/>
              </w:rPr>
            </w:pPr>
            <w:r>
              <w:rPr>
                <w:caps w:val="false"/>
                <w:smallCaps w:val="false"/>
              </w:rPr>
              <w:t> </w:t>
            </w:r>
          </w:p>
        </w:tc>
        <w:tc>
          <w:tcPr>
            <w:tcW w:w="425" w:type="dxa"/>
            <w:tcBorders/>
            <w:shd w:fill="auto" w:val="clear"/>
            <w:vAlign w:val="center"/>
          </w:tcPr>
          <w:p>
            <w:pPr>
              <w:pStyle w:val="TableContents"/>
              <w:spacing w:before="0" w:after="283"/>
              <w:rPr>
                <w:caps w:val="false"/>
                <w:smallCaps w:val="false"/>
              </w:rPr>
            </w:pPr>
            <w:r>
              <w:rPr>
                <w:caps w:val="false"/>
                <w:smallCaps w:val="false"/>
              </w:rPr>
              <w:t> </w:t>
            </w:r>
          </w:p>
        </w:tc>
        <w:tc>
          <w:tcPr>
            <w:tcW w:w="425" w:type="dxa"/>
            <w:tcBorders/>
            <w:shd w:fill="auto" w:val="clear"/>
            <w:vAlign w:val="center"/>
          </w:tcPr>
          <w:p>
            <w:pPr>
              <w:pStyle w:val="TableContents"/>
              <w:spacing w:before="0" w:after="283"/>
              <w:rPr>
                <w:caps w:val="false"/>
                <w:smallCaps w:val="false"/>
              </w:rPr>
            </w:pPr>
            <w:r>
              <w:rPr>
                <w:caps w:val="false"/>
                <w:smallCaps w:val="false"/>
              </w:rPr>
              <w:t> </w:t>
            </w:r>
          </w:p>
        </w:tc>
        <w:tc>
          <w:tcPr>
            <w:tcW w:w="44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421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Stock-based compensation expense</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121</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80</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43</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61</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70</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93</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64</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90</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38</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27</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19</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22</w:t>
            </w:r>
          </w:p>
        </w:tc>
        <w:tc>
          <w:tcPr>
            <w:tcW w:w="440"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27</w:t>
            </w:r>
          </w:p>
        </w:tc>
      </w:tr>
      <w:tr>
        <w:trPr/>
        <w:tc>
          <w:tcPr>
            <w:tcW w:w="421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Amortization</w:t>
            </w:r>
          </w:p>
        </w:tc>
        <w:tc>
          <w:tcPr>
            <w:tcW w:w="51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238</w:t>
            </w:r>
          </w:p>
        </w:tc>
        <w:tc>
          <w:tcPr>
            <w:tcW w:w="51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215</w:t>
            </w:r>
          </w:p>
        </w:tc>
        <w:tc>
          <w:tcPr>
            <w:tcW w:w="51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196</w:t>
            </w:r>
          </w:p>
        </w:tc>
        <w:tc>
          <w:tcPr>
            <w:tcW w:w="51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217</w:t>
            </w:r>
          </w:p>
        </w:tc>
        <w:tc>
          <w:tcPr>
            <w:tcW w:w="51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227</w:t>
            </w:r>
          </w:p>
        </w:tc>
        <w:tc>
          <w:tcPr>
            <w:tcW w:w="42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233</w:t>
            </w:r>
          </w:p>
        </w:tc>
        <w:tc>
          <w:tcPr>
            <w:tcW w:w="42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184</w:t>
            </w:r>
          </w:p>
        </w:tc>
        <w:tc>
          <w:tcPr>
            <w:tcW w:w="42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181</w:t>
            </w:r>
          </w:p>
        </w:tc>
        <w:tc>
          <w:tcPr>
            <w:tcW w:w="42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100</w:t>
            </w:r>
          </w:p>
        </w:tc>
        <w:tc>
          <w:tcPr>
            <w:tcW w:w="42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56</w:t>
            </w:r>
          </w:p>
        </w:tc>
        <w:tc>
          <w:tcPr>
            <w:tcW w:w="42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38</w:t>
            </w:r>
          </w:p>
        </w:tc>
        <w:tc>
          <w:tcPr>
            <w:tcW w:w="425"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25</w:t>
            </w:r>
          </w:p>
        </w:tc>
        <w:tc>
          <w:tcPr>
            <w:tcW w:w="440" w:type="dxa"/>
            <w:tcBorders/>
            <w:shd w:fill="auto"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22</w:t>
            </w:r>
          </w:p>
        </w:tc>
      </w:tr>
      <w:tr>
        <w:trPr/>
        <w:tc>
          <w:tcPr>
            <w:tcW w:w="421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Net gain on disposition of assets/ business</w:t>
            </w:r>
          </w:p>
        </w:tc>
        <w:tc>
          <w:tcPr>
            <w:tcW w:w="51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(153)</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(109)</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40"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Investment (gains) losses</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(30)</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45</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25</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40</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40"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Loss on write-off of fixed assets</w:t>
            </w:r>
          </w:p>
        </w:tc>
        <w:tc>
          <w:tcPr>
            <w:tcW w:w="51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40"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Loss on extinguishment of debt</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16</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16</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w:t>
            </w:r>
          </w:p>
        </w:tc>
        <w:tc>
          <w:tcPr>
            <w:tcW w:w="440"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Legal settlements and litigation</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w:t>
            </w:r>
          </w:p>
        </w:tc>
        <w:tc>
          <w:tcPr>
            <w:tcW w:w="51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11</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40"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auto" w:val="clear"/>
            <w:vAlign w:val="center"/>
          </w:tcPr>
          <w:p>
            <w:pPr>
              <w:pStyle w:val="TableContents"/>
              <w:spacing w:lineRule="auto" w:line="240"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Integration and deal related cost (1)</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19</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31</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12</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40"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DCDDDE"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Restructuring and related (subsidies) costs</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w:t>
            </w:r>
          </w:p>
        </w:tc>
        <w:tc>
          <w:tcPr>
            <w:tcW w:w="51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5</w:t>
            </w:r>
          </w:p>
        </w:tc>
        <w:tc>
          <w:tcPr>
            <w:tcW w:w="42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c>
          <w:tcPr>
            <w:tcW w:w="440" w:type="dxa"/>
            <w:tcBorders/>
            <w:shd w:fill="DCDDDE" w:val="cle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Unauthorized access impact</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c>
          <w:tcPr>
            <w:tcW w:w="440" w:type="dxa"/>
            <w:tcBorders/>
            <w:shd w:fill="auto" w:val="cle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DDDCDC"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Other non-cash adjustments</w:t>
            </w:r>
          </w:p>
        </w:tc>
        <w:tc>
          <w:tcPr>
            <w:tcW w:w="51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bottom w:val="single" w:sz="8" w:space="0" w:color="231F20"/>
            </w:tcBorders>
            <w:shd w:fill="DDDCDC" w:val="clear"/>
            <w:tcMar>
              <w:bottom w:w="60" w:type="dxa"/>
            </w:tcMar>
            <w:vAlign w:val="center"/>
          </w:tcPr>
          <w:p>
            <w:pPr>
              <w:pStyle w:val="TableContents"/>
              <w:spacing w:lineRule="auto" w:line="240"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90(5)</w:t>
            </w:r>
          </w:p>
        </w:tc>
        <w:tc>
          <w:tcPr>
            <w:tcW w:w="51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51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bottom w:val="single" w:sz="8" w:space="0" w:color="231F20"/>
            </w:tcBorders>
            <w:shd w:fill="DDDCDC"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w:t>
            </w:r>
          </w:p>
        </w:tc>
        <w:tc>
          <w:tcPr>
            <w:tcW w:w="42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bottom w:val="single" w:sz="8" w:space="0" w:color="231F20"/>
            </w:tcBorders>
            <w:shd w:fill="DDDCDC"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(29)</w:t>
            </w:r>
          </w:p>
        </w:tc>
        <w:tc>
          <w:tcPr>
            <w:tcW w:w="42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425"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c>
          <w:tcPr>
            <w:tcW w:w="440" w:type="dxa"/>
            <w:tcBorders>
              <w:bottom w:val="single" w:sz="8" w:space="0" w:color="231F20"/>
            </w:tcBorders>
            <w:shd w:fill="DDDCDC" w:val="clear"/>
            <w:tcMar>
              <w:bottom w:w="60" w:type="dxa"/>
            </w:tcMar>
            <w:vAlign w:val="center"/>
          </w:tcPr>
          <w:p>
            <w:pPr>
              <w:pStyle w:val="TableContents"/>
              <w:spacing w:before="0" w:after="283"/>
              <w:rPr>
                <w:caps w:val="false"/>
                <w:smallCaps w:val="false"/>
                <w:color w:val="231F20"/>
              </w:rPr>
            </w:pPr>
            <w:r>
              <w:rPr>
                <w:caps w:val="false"/>
                <w:smallCaps w:val="false"/>
                <w:color w:val="231F20"/>
              </w:rPr>
              <w:t>—</w:t>
            </w:r>
          </w:p>
        </w:tc>
      </w:tr>
      <w:tr>
        <w:trPr/>
        <w:tc>
          <w:tcPr>
            <w:tcW w:w="4215" w:type="dxa"/>
            <w:tcBorders/>
            <w:shd w:fill="auto" w:val="clear"/>
            <w:vAlign w:val="center"/>
          </w:tcPr>
          <w:p>
            <w:pPr>
              <w:pStyle w:val="TableContents"/>
              <w:spacing w:lineRule="auto" w:line="240"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Total pre-tax adjustments (2)</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393</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346</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316</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291</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175</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279</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274</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311</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125</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83</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57</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49</w:t>
            </w:r>
          </w:p>
        </w:tc>
        <w:tc>
          <w:tcPr>
            <w:tcW w:w="440"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49</w:t>
            </w:r>
          </w:p>
        </w:tc>
      </w:tr>
      <w:tr>
        <w:trPr/>
        <w:tc>
          <w:tcPr>
            <w:tcW w:w="4215" w:type="dxa"/>
            <w:tcBorders/>
            <w:shd w:fill="DDDCDC" w:val="clear"/>
            <w:vAlign w:val="center"/>
          </w:tcPr>
          <w:p>
            <w:pPr>
              <w:pStyle w:val="TableContents"/>
              <w:spacing w:lineRule="auto" w:line="240" w:before="0" w:after="0"/>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Income tax impact of pre-tax adjustments at the effective tax rate (3)</w:t>
            </w:r>
          </w:p>
        </w:tc>
        <w:tc>
          <w:tcPr>
            <w:tcW w:w="51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(111)</w:t>
            </w:r>
          </w:p>
        </w:tc>
        <w:tc>
          <w:tcPr>
            <w:tcW w:w="51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(76)</w:t>
            </w:r>
          </w:p>
        </w:tc>
        <w:tc>
          <w:tcPr>
            <w:tcW w:w="51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(68)</w:t>
            </w:r>
          </w:p>
        </w:tc>
        <w:tc>
          <w:tcPr>
            <w:tcW w:w="51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(62)</w:t>
            </w:r>
          </w:p>
        </w:tc>
        <w:tc>
          <w:tcPr>
            <w:tcW w:w="51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(39)</w:t>
            </w:r>
          </w:p>
        </w:tc>
        <w:tc>
          <w:tcPr>
            <w:tcW w:w="42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(93)</w:t>
            </w:r>
          </w:p>
        </w:tc>
        <w:tc>
          <w:tcPr>
            <w:tcW w:w="42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(67)</w:t>
            </w:r>
          </w:p>
        </w:tc>
        <w:tc>
          <w:tcPr>
            <w:tcW w:w="42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(81)</w:t>
            </w:r>
          </w:p>
        </w:tc>
        <w:tc>
          <w:tcPr>
            <w:tcW w:w="42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(46)</w:t>
            </w:r>
          </w:p>
        </w:tc>
        <w:tc>
          <w:tcPr>
            <w:tcW w:w="42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(24)</w:t>
            </w:r>
          </w:p>
        </w:tc>
        <w:tc>
          <w:tcPr>
            <w:tcW w:w="42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(17)</w:t>
            </w:r>
          </w:p>
        </w:tc>
        <w:tc>
          <w:tcPr>
            <w:tcW w:w="425"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(15)</w:t>
            </w:r>
          </w:p>
        </w:tc>
        <w:tc>
          <w:tcPr>
            <w:tcW w:w="440" w:type="dxa"/>
            <w:tcBorders/>
            <w:shd w:fill="DDDCDC" w:val="cle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(14)</w:t>
            </w:r>
          </w:p>
        </w:tc>
      </w:tr>
      <w:tr>
        <w:trPr/>
        <w:tc>
          <w:tcPr>
            <w:tcW w:w="4215" w:type="dxa"/>
            <w:tcBorders/>
            <w:shd w:fill="auto" w:val="clear"/>
            <w:vAlign w:val="center"/>
          </w:tcPr>
          <w:p>
            <w:pPr>
              <w:pStyle w:val="TableContents"/>
              <w:spacing w:lineRule="auto" w:line="240"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Impact of investment sale, other discrete item and tax reform (4)</w:t>
            </w:r>
          </w:p>
        </w:tc>
        <w:tc>
          <w:tcPr>
            <w:tcW w:w="515"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c>
          <w:tcPr>
            <w:tcW w:w="515"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c>
          <w:tcPr>
            <w:tcW w:w="515" w:type="dxa"/>
            <w:tcBorders>
              <w:bottom w:val="single" w:sz="8" w:space="0" w:color="231F20"/>
            </w:tcBorders>
            <w:shd w:fill="auto" w:val="clear"/>
            <w:tcMar>
              <w:bottom w:w="60" w:type="dxa"/>
            </w:tcM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10</w:t>
            </w:r>
          </w:p>
        </w:tc>
        <w:tc>
          <w:tcPr>
            <w:tcW w:w="515" w:type="dxa"/>
            <w:tcBorders>
              <w:bottom w:val="single" w:sz="8" w:space="0" w:color="231F20"/>
            </w:tcBorders>
            <w:shd w:fill="auto" w:val="clear"/>
            <w:tcMar>
              <w:bottom w:w="60" w:type="dxa"/>
            </w:tcM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(62)</w:t>
            </w:r>
          </w:p>
        </w:tc>
        <w:tc>
          <w:tcPr>
            <w:tcW w:w="515" w:type="dxa"/>
            <w:tcBorders>
              <w:bottom w:val="single" w:sz="8" w:space="0" w:color="231F20"/>
            </w:tcBorders>
            <w:shd w:fill="auto" w:val="clear"/>
            <w:tcMar>
              <w:bottom w:w="60" w:type="dxa"/>
            </w:tcM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23</w:t>
            </w:r>
          </w:p>
        </w:tc>
        <w:tc>
          <w:tcPr>
            <w:tcW w:w="425" w:type="dxa"/>
            <w:tcBorders>
              <w:bottom w:val="single" w:sz="8" w:space="0" w:color="231F20"/>
            </w:tcBorders>
            <w:shd w:fill="auto" w:val="clear"/>
            <w:tcMar>
              <w:bottom w:w="60" w:type="dxa"/>
            </w:tcMar>
            <w:vAlign w:val="center"/>
          </w:tcPr>
          <w:p>
            <w:pPr>
              <w:pStyle w:val="TableContents"/>
              <w:spacing w:before="0" w:after="0"/>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(127)</w:t>
            </w:r>
          </w:p>
        </w:tc>
        <w:tc>
          <w:tcPr>
            <w:tcW w:w="425"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c>
          <w:tcPr>
            <w:tcW w:w="425"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c>
          <w:tcPr>
            <w:tcW w:w="425"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c>
          <w:tcPr>
            <w:tcW w:w="425"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c>
          <w:tcPr>
            <w:tcW w:w="425"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c>
          <w:tcPr>
            <w:tcW w:w="425"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c>
          <w:tcPr>
            <w:tcW w:w="440" w:type="dxa"/>
            <w:tcBorders>
              <w:bottom w:val="single" w:sz="8" w:space="0" w:color="231F20"/>
            </w:tcBorders>
            <w:shd w:fill="auto" w:val="clear"/>
            <w:tcMar>
              <w:bottom w:w="60" w:type="dxa"/>
            </w:tcMar>
            <w:vAlign w:val="center"/>
          </w:tcPr>
          <w:p>
            <w:pPr>
              <w:pStyle w:val="TableContents"/>
              <w:spacing w:before="0" w:after="0"/>
              <w:rPr>
                <w:caps w:val="false"/>
                <w:smallCaps w:val="false"/>
                <w:color w:val="231F20"/>
              </w:rPr>
            </w:pPr>
            <w:r>
              <w:rPr>
                <w:caps w:val="false"/>
                <w:smallCaps w:val="false"/>
                <w:color w:val="231F20"/>
              </w:rPr>
              <w:t>—</w:t>
            </w:r>
          </w:p>
        </w:tc>
      </w:tr>
      <w:tr>
        <w:trPr/>
        <w:tc>
          <w:tcPr>
            <w:tcW w:w="4215" w:type="dxa"/>
            <w:tcBorders/>
            <w:shd w:fill="DDDCDC" w:val="clear"/>
            <w:vAlign w:val="center"/>
          </w:tcPr>
          <w:p>
            <w:pPr>
              <w:pStyle w:val="TableContents"/>
              <w:spacing w:lineRule="auto" w:line="240"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Adjusted net income (2)</w:t>
            </w:r>
          </w:p>
        </w:tc>
        <w:tc>
          <w:tcPr>
            <w:tcW w:w="51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$1,237</w:t>
            </w:r>
          </w:p>
        </w:tc>
        <w:tc>
          <w:tcPr>
            <w:tcW w:w="51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$1,110</w:t>
            </w:r>
          </w:p>
        </w:tc>
        <w:tc>
          <w:tcPr>
            <w:tcW w:w="51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$962</w:t>
            </w:r>
          </w:p>
        </w:tc>
        <w:tc>
          <w:tcPr>
            <w:tcW w:w="51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$1,062</w:t>
            </w:r>
          </w:p>
        </w:tc>
        <w:tc>
          <w:tcPr>
            <w:tcW w:w="51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$970</w:t>
            </w:r>
          </w:p>
        </w:tc>
        <w:tc>
          <w:tcPr>
            <w:tcW w:w="42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$799</w:t>
            </w:r>
          </w:p>
        </w:tc>
        <w:tc>
          <w:tcPr>
            <w:tcW w:w="42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$659</w:t>
            </w:r>
          </w:p>
        </w:tc>
        <w:tc>
          <w:tcPr>
            <w:tcW w:w="42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$593</w:t>
            </w:r>
          </w:p>
        </w:tc>
        <w:tc>
          <w:tcPr>
            <w:tcW w:w="42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$448</w:t>
            </w:r>
          </w:p>
        </w:tc>
        <w:tc>
          <w:tcPr>
            <w:tcW w:w="42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$343</w:t>
            </w:r>
          </w:p>
        </w:tc>
        <w:tc>
          <w:tcPr>
            <w:tcW w:w="42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$256</w:t>
            </w:r>
          </w:p>
        </w:tc>
        <w:tc>
          <w:tcPr>
            <w:tcW w:w="425"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$182</w:t>
            </w:r>
          </w:p>
        </w:tc>
        <w:tc>
          <w:tcPr>
            <w:tcW w:w="440" w:type="dxa"/>
            <w:tcBorders/>
            <w:shd w:fill="DDDCDC"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$143</w:t>
            </w:r>
          </w:p>
        </w:tc>
      </w:tr>
      <w:tr>
        <w:trPr/>
        <w:tc>
          <w:tcPr>
            <w:tcW w:w="4215" w:type="dxa"/>
            <w:tcBorders/>
            <w:shd w:fill="auto" w:val="clear"/>
            <w:vAlign w:val="center"/>
          </w:tcPr>
          <w:p>
            <w:pPr>
              <w:pStyle w:val="TableContents"/>
              <w:spacing w:before="0" w:after="283"/>
              <w:jc w:val="left"/>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Adjusted net income per diluted share</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$16.10</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$13.21</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$11.09</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$11.79</w:t>
            </w:r>
          </w:p>
        </w:tc>
        <w:tc>
          <w:tcPr>
            <w:tcW w:w="51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$10.53</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$8.54</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$6.92</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$6.30</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$5.15</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$4.05</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$2.99</w:t>
            </w:r>
          </w:p>
        </w:tc>
        <w:tc>
          <w:tcPr>
            <w:tcW w:w="42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$2.17</w:t>
            </w:r>
          </w:p>
        </w:tc>
        <w:tc>
          <w:tcPr>
            <w:tcW w:w="440"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231F20"/>
                <w:sz w:val="16"/>
              </w:rPr>
            </w:pPr>
            <w:r>
              <w:rPr>
                <w:rFonts w:ascii="Arial;Helvetica;Sans-Serif" w:hAnsi="Arial;Helvetica;Sans-Serif"/>
                <w:b w:val="false"/>
                <w:i w:val="false"/>
                <w:caps w:val="false"/>
                <w:smallCaps w:val="false"/>
                <w:color w:val="231F20"/>
                <w:sz w:val="16"/>
              </w:rPr>
              <w:t>$1.77</w:t>
            </w:r>
          </w:p>
        </w:tc>
      </w:tr>
    </w:tbl>
    <w:p>
      <w:pPr>
        <w:pStyle w:val="TextBody"/>
        <w:spacing w:before="0" w:after="0"/>
        <w:ind w:left="0" w:right="0" w:hanging="0"/>
        <w:rPr>
          <w:caps w:val="false"/>
          <w:smallCaps w:val="false"/>
          <w:color w:val="58595B"/>
        </w:rPr>
      </w:pPr>
      <w:r>
        <w:rPr>
          <w:caps w:val="false"/>
          <w:smallCaps w:val="false"/>
          <w:color w:val="58595B"/>
        </w:rPr>
        <w:t> </w:t>
      </w:r>
    </w:p>
    <w:p>
      <w:pPr>
        <w:pStyle w:val="TextBody"/>
        <w:spacing w:before="0" w:after="0"/>
        <w:ind w:left="0" w:right="0" w:hanging="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1.  Beginning in 2020, the Company included integration and deal related costs in its definition to calculate adjusted net income and adjusted net income per diluted share. Prior period amounts were immaterial.</w:t>
      </w:r>
    </w:p>
    <w:p>
      <w:pPr>
        <w:pStyle w:val="TextBody"/>
        <w:spacing w:before="0" w:after="0"/>
        <w:ind w:left="0" w:right="0" w:hanging="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2. The sums of pre-tax adjustments and adjusted net income may not equal the totals presented due to rounding.</w:t>
      </w:r>
    </w:p>
    <w:p>
      <w:pPr>
        <w:pStyle w:val="TextBody"/>
        <w:spacing w:before="0" w:after="0"/>
        <w:ind w:left="0" w:right="0" w:hanging="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3.  2022 year includes $9.0 million adjustment for tax benefit of certain income determined to be permanently invested. 2021 year includes remeasurement of deferreds due to the increase in UK corporate tax rate from 19% to 25% of $6.5 million. 2020 year includes a tax reserve adjustment related to poor year tax positions of $9.8 million. 2019 excludes the results of the Company’s Masternaut investment on our effective tax rate, as results were reported on a post-tax basis and no tax-over-book outside basis difference prior to disposition. 2017 year excludes the net gain realized upon our disposition of Nextraq. representing a pretax gain of $175.0 million and tax on gain of $65.8 million. 2014 through 2017 years exclude the results of our equity method investment on our effective tax rate, as results from our equity method investment are reported within the Consolidated Income Statements on a post-tax basis and no tax-over-book outside basis differences related to our equity method investment are expected to reverse.</w:t>
      </w:r>
    </w:p>
    <w:p>
      <w:pPr>
        <w:pStyle w:val="TextBody"/>
        <w:spacing w:before="0" w:after="0"/>
        <w:ind w:left="0" w:right="0" w:hanging="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4.  Represents the impact to taxes from the reversal of a valuation allowance related to the disposition of our investment in Masternaut of $65.7 million in 2019, and impact of tax reform adjustments included in our effective tax rate of $22.7 million in 2018. Also, includes the impact of a discrete tax item for a Section 199 adjustment related to a prior tax year in 2019 results of $1.8 million.</w:t>
      </w:r>
    </w:p>
    <w:p>
      <w:pPr>
        <w:pStyle w:val="TextBody"/>
        <w:spacing w:before="0" w:after="0"/>
        <w:ind w:left="0" w:right="0" w:hanging="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5.  Represents a bad debt loss in the first quarter of 2020 from a large client in our Cambridge business entering voluntary bankruptcy due to the extraordinary impact of the COVID-19 pandemic.</w:t>
      </w:r>
    </w:p>
    <w:p>
      <w:pPr>
        <w:pStyle w:val="TextBody"/>
        <w:spacing w:before="0" w:after="0"/>
        <w:ind w:left="0" w:right="0" w:hanging="0"/>
        <w:rPr>
          <w:caps w:val="false"/>
          <w:smallCaps w:val="false"/>
          <w:color w:val="58595B"/>
        </w:rPr>
      </w:pPr>
      <w:r>
        <w:rPr>
          <w:caps w:val="false"/>
          <w:smallCaps w:val="false"/>
          <w:color w:val="58595B"/>
        </w:rPr>
        <w:t> </w:t>
      </w:r>
    </w:p>
    <w:tbl>
      <w:tblPr>
        <w:tblW w:w="3865" w:type="dxa"/>
        <w:jc w:val="left"/>
        <w:tblInd w:w="0" w:type="dxa"/>
        <w:tblCellMar>
          <w:top w:w="0" w:type="dxa"/>
          <w:left w:w="0" w:type="dxa"/>
          <w:bottom w:w="0" w:type="dxa"/>
          <w:right w:w="0" w:type="dxa"/>
        </w:tblCellMar>
      </w:tblPr>
      <w:tblGrid>
        <w:gridCol w:w="215"/>
        <w:gridCol w:w="3650"/>
      </w:tblGrid>
      <w:tr>
        <w:trPr/>
        <w:tc>
          <w:tcPr>
            <w:tcW w:w="215" w:type="dxa"/>
            <w:tcBorders/>
            <w:shd w:fill="auto" w:val="clear"/>
            <w:vAlign w:val="center"/>
          </w:tcPr>
          <w:p>
            <w:pPr>
              <w:pStyle w:val="TableContents"/>
              <w:spacing w:before="0" w:after="283"/>
              <w:jc w:val="left"/>
              <w:rPr>
                <w:rFonts w:ascii="Arial;Helvetica;Sans-Serif" w:hAnsi="Arial;Helvetica;Sans-Serif"/>
                <w:b/>
                <w:sz w:val="16"/>
              </w:rPr>
            </w:pPr>
            <w:r>
              <w:rPr>
                <w:rFonts w:ascii="Arial;Helvetica;Sans-Serif" w:hAnsi="Arial;Helvetica;Sans-Serif"/>
                <w:b/>
                <w:sz w:val="16"/>
              </w:rPr>
              <w:t>68</w:t>
            </w:r>
          </w:p>
        </w:tc>
        <w:tc>
          <w:tcPr>
            <w:tcW w:w="3650" w:type="dxa"/>
            <w:tcBorders/>
            <w:shd w:fill="auto" w:val="clear"/>
            <w:vAlign w:val="center"/>
          </w:tcPr>
          <w:p>
            <w:pPr>
              <w:pStyle w:val="TableContents"/>
              <w:spacing w:before="0" w:after="283"/>
              <w:rPr>
                <w:rFonts w:ascii="Arial;Helvetica;Sans-Serif" w:hAnsi="Arial;Helvetica;Sans-Serif"/>
                <w:sz w:val="16"/>
              </w:rPr>
            </w:pPr>
            <w:r>
              <w:rPr>
                <w:rFonts w:ascii="Arial;Helvetica;Sans-Serif" w:hAnsi="Arial;Helvetica;Sans-Serif"/>
                <w:sz w:val="16"/>
              </w:rPr>
              <w:t>2023 Notice of Annual Meeting &amp; Proxy Statement</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ind w:left="20" w:right="0" w:hanging="0"/>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color w:val="231F20"/>
          <w:sz w:val="20"/>
        </w:rPr>
        <w:t xml:space="preserve">23. </w:t>
      </w:r>
      <w:r>
        <w:rPr>
          <w:rFonts w:ascii="Arial;Helvetica;Sans-Serif" w:hAnsi="Arial;Helvetica;Sans-Serif"/>
          <w:b w:val="false"/>
          <w:i w:val="false"/>
          <w:caps w:val="false"/>
          <w:smallCaps w:val="false"/>
          <w:color w:val="EE0027"/>
          <w:sz w:val="20"/>
        </w:rPr>
        <w:t>APPENDIX A</w:t>
      </w:r>
    </w:p>
    <w:p>
      <w:pPr>
        <w:pStyle w:val="TextBody"/>
        <w:spacing w:before="0" w:after="0"/>
        <w:ind w:left="20" w:right="0" w:hanging="0"/>
        <w:rPr>
          <w:caps w:val="false"/>
          <w:smallCaps w:val="false"/>
        </w:rPr>
      </w:pPr>
      <w:r>
        <w:rPr>
          <w:caps w:val="false"/>
          <w:smallCaps w:val="false"/>
        </w:rPr>
        <w:t> </w:t>
      </w:r>
    </w:p>
    <w:p>
      <w:pPr>
        <w:pStyle w:val="TextBody"/>
        <w:spacing w:before="0" w:after="0"/>
        <w:rPr>
          <w:rFonts w:ascii="Arial;Helvetica;Sans-Serif" w:hAnsi="Arial;Helvetica;Sans-Serif"/>
          <w:b/>
          <w:i w:val="false"/>
          <w:caps w:val="false"/>
          <w:smallCaps w:val="false"/>
          <w:color w:val="231F20"/>
          <w:sz w:val="18"/>
        </w:rPr>
      </w:pPr>
      <w:bookmarkStart w:id="200" w:name="a113"/>
      <w:bookmarkEnd w:id="200"/>
      <w:r>
        <w:rPr>
          <w:rFonts w:ascii="Arial;Helvetica;Sans-Serif" w:hAnsi="Arial;Helvetica;Sans-Serif"/>
          <w:b/>
          <w:i w:val="false"/>
          <w:caps w:val="false"/>
          <w:smallCaps w:val="false"/>
          <w:color w:val="231F20"/>
          <w:sz w:val="18"/>
        </w:rPr>
        <w:t>Reconciliation of Net Income to Pro Forma Adjusted Net Income</w:t>
      </w:r>
    </w:p>
    <w:p>
      <w:pPr>
        <w:pStyle w:val="TextBody"/>
        <w:spacing w:before="0" w:after="0"/>
        <w:rPr>
          <w:rFonts w:ascii="Arial;Helvetica;Sans-Serif" w:hAnsi="Arial;Helvetica;Sans-Serif"/>
          <w:b w:val="false"/>
          <w:i/>
          <w:caps w:val="false"/>
          <w:smallCaps w:val="false"/>
          <w:color w:val="58595B"/>
          <w:sz w:val="18"/>
        </w:rPr>
      </w:pPr>
      <w:r>
        <w:rPr>
          <w:rFonts w:ascii="Arial;Helvetica;Sans-Serif" w:hAnsi="Arial;Helvetica;Sans-Serif"/>
          <w:b w:val="false"/>
          <w:i/>
          <w:caps w:val="false"/>
          <w:smallCaps w:val="false"/>
          <w:color w:val="58595B"/>
          <w:sz w:val="18"/>
        </w:rPr>
        <w:t>($ in millions*, except per share amounts)</w:t>
      </w:r>
    </w:p>
    <w:p>
      <w:pPr>
        <w:pStyle w:val="TextBody"/>
        <w:spacing w:before="0" w:after="0"/>
        <w:rPr>
          <w:caps w:val="false"/>
          <w:smallCaps w:val="false"/>
          <w:color w:val="58595B"/>
        </w:rPr>
      </w:pPr>
      <w:r>
        <w:rPr>
          <w:caps w:val="false"/>
          <w:smallCaps w:val="false"/>
          <w:color w:val="58595B"/>
        </w:rPr>
        <w:t> </w:t>
      </w:r>
    </w:p>
    <w:tbl>
      <w:tblPr>
        <w:tblW w:w="9710" w:type="dxa"/>
        <w:jc w:val="left"/>
        <w:tblInd w:w="0" w:type="dxa"/>
        <w:tblCellMar>
          <w:top w:w="0" w:type="dxa"/>
          <w:left w:w="0" w:type="dxa"/>
          <w:bottom w:w="0" w:type="dxa"/>
          <w:right w:w="0" w:type="dxa"/>
        </w:tblCellMar>
      </w:tblPr>
      <w:tblGrid>
        <w:gridCol w:w="5600"/>
        <w:gridCol w:w="1475"/>
        <w:gridCol w:w="1250"/>
        <w:gridCol w:w="1385"/>
      </w:tblGrid>
      <w:tr>
        <w:trPr/>
        <w:tc>
          <w:tcPr>
            <w:tcW w:w="5600" w:type="dxa"/>
            <w:tcBorders/>
            <w:shd w:fill="EE0027" w:val="clear"/>
            <w:vAlign w:val="center"/>
          </w:tcPr>
          <w:p>
            <w:pPr>
              <w:pStyle w:val="TableContents"/>
              <w:spacing w:before="0" w:after="283"/>
              <w:rPr>
                <w:caps w:val="false"/>
                <w:smallCaps w:val="false"/>
              </w:rPr>
            </w:pPr>
            <w:r>
              <w:rPr>
                <w:caps w:val="false"/>
                <w:smallCaps w:val="false"/>
              </w:rPr>
              <w:t> </w:t>
            </w:r>
          </w:p>
        </w:tc>
        <w:tc>
          <w:tcPr>
            <w:tcW w:w="1475"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Year Ended 2010</w:t>
            </w:r>
          </w:p>
        </w:tc>
        <w:tc>
          <w:tcPr>
            <w:tcW w:w="1250"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2011 Changes</w:t>
            </w:r>
          </w:p>
        </w:tc>
        <w:tc>
          <w:tcPr>
            <w:tcW w:w="1385" w:type="dxa"/>
            <w:tcBorders/>
            <w:shd w:fill="EE0027" w:val="clear"/>
            <w:vAlign w:val="center"/>
          </w:tcPr>
          <w:p>
            <w:pPr>
              <w:pStyle w:val="TableContents"/>
              <w:spacing w:before="0" w:after="283"/>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Pro Forma 2010</w:t>
            </w:r>
          </w:p>
        </w:tc>
      </w:tr>
      <w:tr>
        <w:trPr/>
        <w:tc>
          <w:tcPr>
            <w:tcW w:w="560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Income before income taxes</w:t>
            </w:r>
          </w:p>
        </w:tc>
        <w:tc>
          <w:tcPr>
            <w:tcW w:w="147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$151</w:t>
            </w:r>
          </w:p>
        </w:tc>
        <w:tc>
          <w:tcPr>
            <w:tcW w:w="1250"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w:t>
            </w:r>
          </w:p>
        </w:tc>
        <w:tc>
          <w:tcPr>
            <w:tcW w:w="13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$152</w:t>
            </w:r>
          </w:p>
        </w:tc>
      </w:tr>
      <w:tr>
        <w:trPr/>
        <w:tc>
          <w:tcPr>
            <w:tcW w:w="560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Provision for income taxes</w:t>
            </w:r>
          </w:p>
        </w:tc>
        <w:tc>
          <w:tcPr>
            <w:tcW w:w="1475"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43</w:t>
            </w:r>
          </w:p>
        </w:tc>
        <w:tc>
          <w:tcPr>
            <w:tcW w:w="1250"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w:t>
            </w:r>
          </w:p>
        </w:tc>
        <w:tc>
          <w:tcPr>
            <w:tcW w:w="1385"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46</w:t>
            </w:r>
          </w:p>
        </w:tc>
      </w:tr>
      <w:tr>
        <w:trPr/>
        <w:tc>
          <w:tcPr>
            <w:tcW w:w="560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Net income</w:t>
            </w:r>
          </w:p>
        </w:tc>
        <w:tc>
          <w:tcPr>
            <w:tcW w:w="147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108</w:t>
            </w:r>
          </w:p>
        </w:tc>
        <w:tc>
          <w:tcPr>
            <w:tcW w:w="1250"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w:t>
            </w:r>
          </w:p>
        </w:tc>
        <w:tc>
          <w:tcPr>
            <w:tcW w:w="13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106</w:t>
            </w:r>
          </w:p>
        </w:tc>
      </w:tr>
      <w:tr>
        <w:trPr/>
        <w:tc>
          <w:tcPr>
            <w:tcW w:w="560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Stock based compensation</w:t>
            </w:r>
          </w:p>
        </w:tc>
        <w:tc>
          <w:tcPr>
            <w:tcW w:w="147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27</w:t>
            </w:r>
          </w:p>
        </w:tc>
        <w:tc>
          <w:tcPr>
            <w:tcW w:w="1250"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(5)</w:t>
            </w:r>
          </w:p>
        </w:tc>
        <w:tc>
          <w:tcPr>
            <w:tcW w:w="138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22</w:t>
            </w:r>
          </w:p>
        </w:tc>
      </w:tr>
      <w:tr>
        <w:trPr/>
        <w:tc>
          <w:tcPr>
            <w:tcW w:w="560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Amortization of intangible assets</w:t>
            </w:r>
          </w:p>
        </w:tc>
        <w:tc>
          <w:tcPr>
            <w:tcW w:w="147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17</w:t>
            </w:r>
          </w:p>
        </w:tc>
        <w:tc>
          <w:tcPr>
            <w:tcW w:w="1250" w:type="dxa"/>
            <w:tcBorders/>
            <w:shd w:fill="auto" w:val="clear"/>
            <w:vAlign w:val="center"/>
          </w:tcPr>
          <w:p>
            <w:pPr>
              <w:pStyle w:val="TableContents"/>
              <w:spacing w:before="0" w:after="283"/>
              <w:rPr>
                <w:caps w:val="false"/>
                <w:smallCaps w:val="false"/>
                <w:color w:val="58595B"/>
              </w:rPr>
            </w:pPr>
            <w:r>
              <w:rPr>
                <w:caps w:val="false"/>
                <w:smallCaps w:val="false"/>
                <w:color w:val="58595B"/>
              </w:rPr>
              <w:t>—</w:t>
            </w:r>
          </w:p>
        </w:tc>
        <w:tc>
          <w:tcPr>
            <w:tcW w:w="13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17</w:t>
            </w:r>
          </w:p>
        </w:tc>
      </w:tr>
      <w:tr>
        <w:trPr/>
        <w:tc>
          <w:tcPr>
            <w:tcW w:w="560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Amortization of premium on receivables</w:t>
            </w:r>
          </w:p>
        </w:tc>
        <w:tc>
          <w:tcPr>
            <w:tcW w:w="147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w:t>
            </w:r>
          </w:p>
        </w:tc>
        <w:tc>
          <w:tcPr>
            <w:tcW w:w="1250" w:type="dxa"/>
            <w:tcBorders/>
            <w:shd w:fill="DCDDDE" w:val="clear"/>
            <w:vAlign w:val="center"/>
          </w:tcPr>
          <w:p>
            <w:pPr>
              <w:pStyle w:val="TableContents"/>
              <w:spacing w:before="0" w:after="283"/>
              <w:rPr>
                <w:caps w:val="false"/>
                <w:smallCaps w:val="false"/>
                <w:color w:val="58595B"/>
              </w:rPr>
            </w:pPr>
            <w:r>
              <w:rPr>
                <w:caps w:val="false"/>
                <w:smallCaps w:val="false"/>
                <w:color w:val="58595B"/>
              </w:rPr>
              <w:t>—</w:t>
            </w:r>
          </w:p>
        </w:tc>
        <w:tc>
          <w:tcPr>
            <w:tcW w:w="1385" w:type="dxa"/>
            <w:tcBorders/>
            <w:shd w:fill="DCDDDE"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w:t>
            </w:r>
          </w:p>
        </w:tc>
      </w:tr>
      <w:tr>
        <w:trPr/>
        <w:tc>
          <w:tcPr>
            <w:tcW w:w="560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Amortization of deferred financing costs</w:t>
            </w:r>
          </w:p>
        </w:tc>
        <w:tc>
          <w:tcPr>
            <w:tcW w:w="147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w:t>
            </w:r>
          </w:p>
        </w:tc>
        <w:tc>
          <w:tcPr>
            <w:tcW w:w="1250" w:type="dxa"/>
            <w:tcBorders/>
            <w:shd w:fill="auto" w:val="clear"/>
            <w:vAlign w:val="center"/>
          </w:tcPr>
          <w:p>
            <w:pPr>
              <w:pStyle w:val="TableContents"/>
              <w:spacing w:before="0" w:after="283"/>
              <w:rPr>
                <w:caps w:val="false"/>
                <w:smallCaps w:val="false"/>
                <w:color w:val="58595B"/>
              </w:rPr>
            </w:pPr>
            <w:r>
              <w:rPr>
                <w:caps w:val="false"/>
                <w:smallCaps w:val="false"/>
                <w:color w:val="58595B"/>
              </w:rPr>
              <w:t>—</w:t>
            </w:r>
          </w:p>
        </w:tc>
        <w:tc>
          <w:tcPr>
            <w:tcW w:w="13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w:t>
            </w:r>
          </w:p>
        </w:tc>
      </w:tr>
      <w:tr>
        <w:trPr/>
        <w:tc>
          <w:tcPr>
            <w:tcW w:w="560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Loss on extinguishment of debt</w:t>
            </w:r>
          </w:p>
        </w:tc>
        <w:tc>
          <w:tcPr>
            <w:tcW w:w="1475" w:type="dxa"/>
            <w:tcBorders>
              <w:bottom w:val="single" w:sz="8" w:space="0" w:color="231F20"/>
            </w:tcBorders>
            <w:shd w:fill="DCDDDE" w:val="clear"/>
            <w:tcMar>
              <w:bottom w:w="60" w:type="dxa"/>
            </w:tcMar>
            <w:vAlign w:val="center"/>
          </w:tcPr>
          <w:p>
            <w:pPr>
              <w:pStyle w:val="TableContents"/>
              <w:spacing w:before="0" w:after="283"/>
              <w:rPr>
                <w:caps w:val="false"/>
                <w:smallCaps w:val="false"/>
                <w:color w:val="58595B"/>
              </w:rPr>
            </w:pPr>
            <w:r>
              <w:rPr>
                <w:caps w:val="false"/>
                <w:smallCaps w:val="false"/>
                <w:color w:val="58595B"/>
              </w:rPr>
              <w:t>—</w:t>
            </w:r>
          </w:p>
        </w:tc>
        <w:tc>
          <w:tcPr>
            <w:tcW w:w="1250"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w:t>
            </w:r>
          </w:p>
        </w:tc>
        <w:tc>
          <w:tcPr>
            <w:tcW w:w="1385"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3</w:t>
            </w:r>
          </w:p>
        </w:tc>
      </w:tr>
      <w:tr>
        <w:trPr/>
        <w:tc>
          <w:tcPr>
            <w:tcW w:w="560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Total pre-tax adjustments</w:t>
            </w:r>
          </w:p>
        </w:tc>
        <w:tc>
          <w:tcPr>
            <w:tcW w:w="147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49</w:t>
            </w:r>
          </w:p>
        </w:tc>
        <w:tc>
          <w:tcPr>
            <w:tcW w:w="1250"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(2)</w:t>
            </w:r>
          </w:p>
        </w:tc>
        <w:tc>
          <w:tcPr>
            <w:tcW w:w="13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47</w:t>
            </w:r>
          </w:p>
        </w:tc>
      </w:tr>
      <w:tr>
        <w:trPr/>
        <w:tc>
          <w:tcPr>
            <w:tcW w:w="560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Income tax impact of pre-tax adjustments at the effective tax rate</w:t>
            </w:r>
          </w:p>
        </w:tc>
        <w:tc>
          <w:tcPr>
            <w:tcW w:w="1475"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(14)</w:t>
            </w:r>
          </w:p>
        </w:tc>
        <w:tc>
          <w:tcPr>
            <w:tcW w:w="1250" w:type="dxa"/>
            <w:tcBorders>
              <w:bottom w:val="single" w:sz="8" w:space="0" w:color="231F20"/>
            </w:tcBorders>
            <w:shd w:fill="DCDDDE" w:val="clear"/>
            <w:tcMar>
              <w:bottom w:w="60" w:type="dxa"/>
            </w:tcMar>
            <w:vAlign w:val="center"/>
          </w:tcPr>
          <w:p>
            <w:pPr>
              <w:pStyle w:val="TableContents"/>
              <w:spacing w:before="0" w:after="283"/>
              <w:rPr>
                <w:caps w:val="false"/>
                <w:smallCaps w:val="false"/>
                <w:color w:val="58595B"/>
              </w:rPr>
            </w:pPr>
            <w:r>
              <w:rPr>
                <w:caps w:val="false"/>
                <w:smallCaps w:val="false"/>
                <w:color w:val="58595B"/>
              </w:rPr>
              <w:t>—</w:t>
            </w:r>
          </w:p>
        </w:tc>
        <w:tc>
          <w:tcPr>
            <w:tcW w:w="1385"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(14)</w:t>
            </w:r>
          </w:p>
        </w:tc>
      </w:tr>
      <w:tr>
        <w:trPr/>
        <w:tc>
          <w:tcPr>
            <w:tcW w:w="560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Total pre-tax adjustments</w:t>
            </w:r>
          </w:p>
        </w:tc>
        <w:tc>
          <w:tcPr>
            <w:tcW w:w="1475" w:type="dxa"/>
            <w:tcBorders>
              <w:bottom w:val="single" w:sz="8" w:space="0" w:color="231F2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$143</w:t>
            </w:r>
          </w:p>
        </w:tc>
        <w:tc>
          <w:tcPr>
            <w:tcW w:w="1250" w:type="dxa"/>
            <w:tcBorders>
              <w:bottom w:val="single" w:sz="8" w:space="0" w:color="231F2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$(4)</w:t>
            </w:r>
          </w:p>
        </w:tc>
        <w:tc>
          <w:tcPr>
            <w:tcW w:w="1385" w:type="dxa"/>
            <w:tcBorders>
              <w:bottom w:val="single" w:sz="8" w:space="0" w:color="231F20"/>
            </w:tcBorders>
            <w:shd w:fill="auto"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$139</w:t>
            </w:r>
          </w:p>
        </w:tc>
      </w:tr>
      <w:tr>
        <w:trPr/>
        <w:tc>
          <w:tcPr>
            <w:tcW w:w="5600" w:type="dxa"/>
            <w:tcBorders/>
            <w:shd w:fill="DCDDDE"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Adjusted net income per diluted share</w:t>
            </w:r>
          </w:p>
        </w:tc>
        <w:tc>
          <w:tcPr>
            <w:tcW w:w="1475"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$1.77</w:t>
            </w:r>
          </w:p>
        </w:tc>
        <w:tc>
          <w:tcPr>
            <w:tcW w:w="1250" w:type="dxa"/>
            <w:tcBorders>
              <w:bottom w:val="single" w:sz="8" w:space="0" w:color="231F20"/>
            </w:tcBorders>
            <w:shd w:fill="DCDDDE" w:val="clear"/>
            <w:tcMar>
              <w:bottom w:w="60" w:type="dxa"/>
            </w:tcMar>
            <w:vAlign w:val="center"/>
          </w:tcPr>
          <w:p>
            <w:pPr>
              <w:pStyle w:val="TableContents"/>
              <w:spacing w:before="0" w:after="283"/>
              <w:rPr>
                <w:caps w:val="false"/>
                <w:smallCaps w:val="false"/>
              </w:rPr>
            </w:pPr>
            <w:r>
              <w:rPr>
                <w:caps w:val="false"/>
                <w:smallCaps w:val="false"/>
              </w:rPr>
              <w:t> </w:t>
            </w:r>
          </w:p>
        </w:tc>
        <w:tc>
          <w:tcPr>
            <w:tcW w:w="1385" w:type="dxa"/>
            <w:tcBorders>
              <w:bottom w:val="single" w:sz="8" w:space="0" w:color="231F20"/>
            </w:tcBorders>
            <w:shd w:fill="DCDDDE" w:val="clear"/>
            <w:tcMar>
              <w:bottom w:w="60" w:type="dxa"/>
            </w:tcM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$1.66</w:t>
            </w:r>
          </w:p>
        </w:tc>
      </w:tr>
      <w:tr>
        <w:trPr/>
        <w:tc>
          <w:tcPr>
            <w:tcW w:w="5600" w:type="dxa"/>
            <w:tcBorders/>
            <w:shd w:fill="auto" w:val="clear"/>
            <w:vAlign w:val="center"/>
          </w:tcPr>
          <w:p>
            <w:pPr>
              <w:pStyle w:val="TableContents"/>
              <w:spacing w:before="0" w:after="283"/>
              <w:rPr>
                <w:rFonts w:ascii="Arial;Helvetica;Sans-Serif" w:hAnsi="Arial;Helvetica;Sans-Serif"/>
                <w:b/>
                <w:i w:val="false"/>
                <w:caps w:val="false"/>
                <w:smallCaps w:val="false"/>
                <w:color w:val="58595B"/>
                <w:sz w:val="18"/>
              </w:rPr>
            </w:pPr>
            <w:r>
              <w:rPr>
                <w:rFonts w:ascii="Arial;Helvetica;Sans-Serif" w:hAnsi="Arial;Helvetica;Sans-Serif"/>
                <w:b/>
                <w:i w:val="false"/>
                <w:caps w:val="false"/>
                <w:smallCaps w:val="false"/>
                <w:color w:val="58595B"/>
                <w:sz w:val="18"/>
              </w:rPr>
              <w:t>Diluted shares</w:t>
            </w:r>
          </w:p>
        </w:tc>
        <w:tc>
          <w:tcPr>
            <w:tcW w:w="147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80.8</w:t>
            </w:r>
          </w:p>
        </w:tc>
        <w:tc>
          <w:tcPr>
            <w:tcW w:w="1250" w:type="dxa"/>
            <w:tcBorders/>
            <w:shd w:fill="auto" w:val="clear"/>
            <w:vAlign w:val="center"/>
          </w:tcPr>
          <w:p>
            <w:pPr>
              <w:pStyle w:val="TableContents"/>
              <w:spacing w:before="0" w:after="283"/>
              <w:rPr>
                <w:caps w:val="false"/>
                <w:smallCaps w:val="false"/>
              </w:rPr>
            </w:pPr>
            <w:r>
              <w:rPr>
                <w:caps w:val="false"/>
                <w:smallCaps w:val="false"/>
              </w:rPr>
              <w:t> </w:t>
            </w:r>
          </w:p>
        </w:tc>
        <w:tc>
          <w:tcPr>
            <w:tcW w:w="1385" w:type="dxa"/>
            <w:tcBorders/>
            <w:shd w:fill="auto" w:val="clear"/>
            <w:vAlign w:val="center"/>
          </w:tcPr>
          <w:p>
            <w:pPr>
              <w:pStyle w:val="TableContents"/>
              <w:spacing w:before="0" w:after="283"/>
              <w:rPr>
                <w:rFonts w:ascii="Arial;Helvetica;Sans-Serif" w:hAnsi="Arial;Helvetica;Sans-Serif"/>
                <w:b w:val="false"/>
                <w:i w:val="false"/>
                <w:caps w:val="false"/>
                <w:smallCaps w:val="false"/>
                <w:color w:val="58595B"/>
                <w:sz w:val="18"/>
              </w:rPr>
            </w:pPr>
            <w:r>
              <w:rPr>
                <w:rFonts w:ascii="Arial;Helvetica;Sans-Serif" w:hAnsi="Arial;Helvetica;Sans-Serif"/>
                <w:b w:val="false"/>
                <w:i w:val="false"/>
                <w:caps w:val="false"/>
                <w:smallCaps w:val="false"/>
                <w:color w:val="58595B"/>
                <w:sz w:val="18"/>
              </w:rPr>
              <w:t>83.7</w:t>
            </w:r>
          </w:p>
        </w:tc>
      </w:tr>
    </w:tbl>
    <w:p>
      <w:pPr>
        <w:pStyle w:val="TextBody"/>
        <w:spacing w:before="0" w:after="0"/>
        <w:rPr>
          <w:caps w:val="false"/>
          <w:smallCaps w:val="false"/>
          <w:color w:val="58595B"/>
        </w:rPr>
      </w:pPr>
      <w:r>
        <w:rPr>
          <w:caps w:val="false"/>
          <w:smallCaps w:val="false"/>
          <w:color w:val="58595B"/>
        </w:rPr>
        <w:t> </w:t>
      </w:r>
    </w:p>
    <w:p>
      <w:pPr>
        <w:pStyle w:val="TextBody"/>
        <w:spacing w:before="0" w:after="0"/>
        <w:rPr>
          <w:rFonts w:ascii="Arial;Helvetica;Sans-Serif" w:hAnsi="Arial;Helvetica;Sans-Serif"/>
          <w:b w:val="false"/>
          <w:i/>
          <w:caps w:val="false"/>
          <w:smallCaps w:val="false"/>
          <w:color w:val="58595B"/>
          <w:sz w:val="16"/>
        </w:rPr>
      </w:pPr>
      <w:r>
        <w:rPr>
          <w:rFonts w:ascii="Arial;Helvetica;Sans-Serif" w:hAnsi="Arial;Helvetica;Sans-Serif"/>
          <w:b w:val="false"/>
          <w:i/>
          <w:caps w:val="false"/>
          <w:smallCaps w:val="false"/>
          <w:color w:val="58595B"/>
          <w:sz w:val="16"/>
        </w:rPr>
        <w:t>* The sums of pre-tax adjustments and adjusted net income may not equal the totals presented due to rounding.</w:t>
      </w:r>
    </w:p>
    <w:p>
      <w:pPr>
        <w:pStyle w:val="TextBody"/>
        <w:spacing w:before="0" w:after="0"/>
        <w:rPr>
          <w:caps w:val="false"/>
          <w:smallCaps w:val="false"/>
          <w:color w:val="58595B"/>
        </w:rPr>
      </w:pPr>
      <w:r>
        <w:rPr>
          <w:caps w:val="false"/>
          <w:smallCaps w:val="false"/>
          <w:color w:val="58595B"/>
        </w:rPr>
        <w:t> </w:t>
      </w:r>
    </w:p>
    <w:tbl>
      <w:tblPr>
        <w:tblW w:w="3910" w:type="dxa"/>
        <w:jc w:val="left"/>
        <w:tblInd w:w="0" w:type="dxa"/>
        <w:tblCellMar>
          <w:top w:w="0" w:type="dxa"/>
          <w:left w:w="0" w:type="dxa"/>
          <w:bottom w:w="0" w:type="dxa"/>
          <w:right w:w="0" w:type="dxa"/>
        </w:tblCellMar>
      </w:tblPr>
      <w:tblGrid>
        <w:gridCol w:w="3695"/>
        <w:gridCol w:w="215"/>
      </w:tblGrid>
      <w:tr>
        <w:trPr/>
        <w:tc>
          <w:tcPr>
            <w:tcW w:w="3695" w:type="dxa"/>
            <w:tcBorders/>
            <w:shd w:fill="auto" w:val="clear"/>
            <w:vAlign w:val="center"/>
          </w:tcPr>
          <w:p>
            <w:pPr>
              <w:pStyle w:val="TableContents"/>
              <w:spacing w:before="0" w:after="283"/>
              <w:jc w:val="right"/>
              <w:rPr>
                <w:rFonts w:ascii="Arial;Helvetica;Sans-Serif" w:hAnsi="Arial;Helvetica;Sans-Serif"/>
                <w:sz w:val="16"/>
              </w:rPr>
            </w:pPr>
            <w:r>
              <w:rPr>
                <w:rFonts w:ascii="Arial;Helvetica;Sans-Serif" w:hAnsi="Arial;Helvetica;Sans-Serif"/>
                <w:sz w:val="16"/>
              </w:rPr>
              <w:t xml:space="preserve">2023 Notice of Annual Meeting &amp; Proxy Statement </w:t>
            </w:r>
          </w:p>
        </w:tc>
        <w:tc>
          <w:tcPr>
            <w:tcW w:w="215" w:type="dxa"/>
            <w:tcBorders/>
            <w:shd w:fill="auto" w:val="clear"/>
            <w:vAlign w:val="center"/>
          </w:tcPr>
          <w:p>
            <w:pPr>
              <w:pStyle w:val="TableContents"/>
              <w:spacing w:before="0" w:after="283"/>
              <w:jc w:val="right"/>
              <w:rPr>
                <w:rFonts w:ascii="Arial;Helvetica;Sans-Serif" w:hAnsi="Arial;Helvetica;Sans-Serif"/>
                <w:b/>
                <w:sz w:val="16"/>
              </w:rPr>
            </w:pPr>
            <w:r>
              <w:rPr>
                <w:rFonts w:ascii="Arial;Helvetica;Sans-Serif" w:hAnsi="Arial;Helvetica;Sans-Serif"/>
                <w:b/>
                <w:sz w:val="16"/>
              </w:rPr>
              <w:t>69</w:t>
            </w:r>
          </w:p>
        </w:tc>
      </w:tr>
    </w:tbl>
    <w:p>
      <w:pPr>
        <w:pStyle w:val="TextBody"/>
        <w:spacing w:before="0" w:after="0"/>
        <w:rPr>
          <w:caps w:val="false"/>
          <w:smallCaps w:val="false"/>
          <w:color w:val="231F20"/>
        </w:rPr>
      </w:pPr>
      <w:r>
        <w:rPr>
          <w:caps w:val="false"/>
          <w:smallCaps w:val="false"/>
          <w:color w:val="231F20"/>
        </w:rPr>
        <w:t> </w:t>
      </w:r>
    </w:p>
    <w:tbl>
      <w:tblPr>
        <w:tblW w:w="90" w:type="dxa"/>
        <w:jc w:val="left"/>
        <w:tblInd w:w="0" w:type="dxa"/>
        <w:shd w:fill="FEC346" w:val="clear"/>
        <w:tblCellMar>
          <w:top w:w="0" w:type="dxa"/>
          <w:left w:w="0" w:type="dxa"/>
          <w:bottom w:w="0" w:type="dxa"/>
          <w:right w:w="0" w:type="dxa"/>
        </w:tblCellMar>
      </w:tblPr>
      <w:tblGrid>
        <w:gridCol w:w="90"/>
      </w:tblGrid>
      <w:tr>
        <w:trPr/>
        <w:tc>
          <w:tcPr>
            <w:tcW w:w="90" w:type="dxa"/>
            <w:tcBorders/>
            <w:shd w:fill="FEC346" w:val="clear"/>
            <w:vAlign w:val="center"/>
          </w:tcPr>
          <w:p>
            <w:pPr>
              <w:pStyle w:val="TableContents"/>
              <w:spacing w:before="0" w:after="283"/>
              <w:rPr/>
            </w:pPr>
            <w:r>
              <w:rPr/>
              <w:t> </w:t>
            </w:r>
          </w:p>
        </w:tc>
      </w:tr>
    </w:tbl>
    <w:p>
      <w:pPr>
        <w:pStyle w:val="TextBody"/>
        <w:spacing w:before="0" w:after="0"/>
        <w:rPr/>
      </w:pPr>
      <w:r>
        <w:rPr/>
      </w:r>
    </w:p>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jc w:val="center"/>
        <w:rPr>
          <w:caps w:val="false"/>
          <w:smallCaps w:val="false"/>
        </w:rPr>
      </w:pPr>
      <w:r>
        <w:rPr>
          <w:caps w:val="false"/>
          <w:smallCaps w:val="false"/>
        </w:rPr>
        <w:drawing>
          <wp:inline distT="0" distB="0" distL="0" distR="0">
            <wp:extent cx="7429500" cy="9610725"/>
            <wp:effectExtent l="0" t="0" r="0" b="0"/>
            <wp:docPr id="511" name="Image2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Image233" descr=""/>
                    <pic:cNvPicPr>
                      <a:picLocks noChangeAspect="1" noChangeArrowheads="1"/>
                    </pic:cNvPicPr>
                  </pic:nvPicPr>
                  <pic:blipFill>
                    <a:blip r:embed="rId234"/>
                    <a:stretch>
                      <a:fillRect/>
                    </a:stretch>
                  </pic:blipFill>
                  <pic:spPr bwMode="auto">
                    <a:xfrm>
                      <a:off x="0" y="0"/>
                      <a:ext cx="7429500" cy="9610725"/>
                    </a:xfrm>
                    <a:prstGeom prst="rect">
                      <a:avLst/>
                    </a:prstGeom>
                  </pic:spPr>
                </pic:pic>
              </a:graphicData>
            </a:graphic>
          </wp:inline>
        </w:drawing>
      </w:r>
    </w:p>
    <w:p>
      <w:pPr>
        <w:pStyle w:val="TextBody"/>
        <w:spacing w:before="0" w:after="0"/>
        <w:rPr/>
      </w:pPr>
      <w:r>
        <w:rPr/>
      </w:r>
    </w:p>
    <w:p>
      <w:pPr>
        <w:pStyle w:val="TextBody"/>
        <w:spacing w:before="200" w:after="200"/>
        <w:jc w:val="center"/>
        <w:rPr>
          <w:caps w:val="false"/>
          <w:smallCaps w:val="false"/>
          <w:color w:val="000000"/>
        </w:rPr>
      </w:pPr>
      <w:r>
        <w:rPr>
          <w:caps w:val="false"/>
          <w:smallCaps w:val="false"/>
          <w:color w:val="000000"/>
        </w:rPr>
        <w:t> </w:t>
      </w:r>
    </w:p>
    <w:p>
      <w:pPr>
        <w:pStyle w:val="HorizontalLine"/>
        <w:spacing w:before="200" w:after="200"/>
        <w:rPr/>
      </w:pPr>
      <w:r>
        <w:rPr/>
      </w:r>
    </w:p>
    <w:p>
      <w:pPr>
        <w:pStyle w:val="TextBody"/>
        <w:spacing w:before="0" w:after="0"/>
        <w:jc w:val="center"/>
        <w:rPr>
          <w:caps w:val="false"/>
          <w:smallCaps w:val="false"/>
        </w:rPr>
      </w:pPr>
      <w:r>
        <w:rPr>
          <w:caps w:val="false"/>
          <w:smallCaps w:val="false"/>
        </w:rPr>
        <w:drawing>
          <wp:inline distT="0" distB="0" distL="0" distR="0">
            <wp:extent cx="7429500" cy="9610725"/>
            <wp:effectExtent l="0" t="0" r="0" b="0"/>
            <wp:docPr id="512" name="Image2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 name="Image234" descr=""/>
                    <pic:cNvPicPr>
                      <a:picLocks noChangeAspect="1" noChangeArrowheads="1"/>
                    </pic:cNvPicPr>
                  </pic:nvPicPr>
                  <pic:blipFill>
                    <a:blip r:embed="rId235"/>
                    <a:stretch>
                      <a:fillRect/>
                    </a:stretch>
                  </pic:blipFill>
                  <pic:spPr bwMode="auto">
                    <a:xfrm>
                      <a:off x="0" y="0"/>
                      <a:ext cx="7429500" cy="9610725"/>
                    </a:xfrm>
                    <a:prstGeom prst="rect">
                      <a:avLst/>
                    </a:prstGeom>
                  </pic:spPr>
                </pic:pic>
              </a:graphicData>
            </a:graphic>
          </wp:inline>
        </w:drawing>
      </w:r>
    </w:p>
    <w:p>
      <w:pPr>
        <w:pStyle w:val="TextBody"/>
        <w:spacing w:before="0" w:after="0"/>
        <w:rPr/>
      </w:pPr>
      <w:r>
        <w:rPr/>
      </w:r>
    </w:p>
    <w:p>
      <w:pPr>
        <w:pStyle w:val="HorizontalLine"/>
        <w:pBdr>
          <w:bottom w:val="double" w:sz="2" w:space="0" w:color="808080"/>
        </w:pBdr>
        <w:spacing w:before="0" w:after="283"/>
        <w:rPr/>
      </w:pPr>
      <w:r>
        <w:rPr/>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jpeg"/><Relationship Id="rId169" Type="http://schemas.openxmlformats.org/officeDocument/2006/relationships/image" Target="media/image168.jpeg"/><Relationship Id="rId170" Type="http://schemas.openxmlformats.org/officeDocument/2006/relationships/image" Target="media/image169.jpeg"/><Relationship Id="rId171" Type="http://schemas.openxmlformats.org/officeDocument/2006/relationships/image" Target="media/image170.jpeg"/><Relationship Id="rId172" Type="http://schemas.openxmlformats.org/officeDocument/2006/relationships/image" Target="media/image171.jpeg"/><Relationship Id="rId173" Type="http://schemas.openxmlformats.org/officeDocument/2006/relationships/image" Target="media/image172.jpeg"/><Relationship Id="rId174" Type="http://schemas.openxmlformats.org/officeDocument/2006/relationships/image" Target="media/image173.jpeg"/><Relationship Id="rId175" Type="http://schemas.openxmlformats.org/officeDocument/2006/relationships/image" Target="media/image174.jpeg"/><Relationship Id="rId176" Type="http://schemas.openxmlformats.org/officeDocument/2006/relationships/image" Target="media/image175.jpeg"/><Relationship Id="rId177" Type="http://schemas.openxmlformats.org/officeDocument/2006/relationships/image" Target="media/image176.jpeg"/><Relationship Id="rId178" Type="http://schemas.openxmlformats.org/officeDocument/2006/relationships/image" Target="media/image177.jpeg"/><Relationship Id="rId179" Type="http://schemas.openxmlformats.org/officeDocument/2006/relationships/image" Target="media/image178.jpeg"/><Relationship Id="rId180" Type="http://schemas.openxmlformats.org/officeDocument/2006/relationships/image" Target="media/image179.jpeg"/><Relationship Id="rId181" Type="http://schemas.openxmlformats.org/officeDocument/2006/relationships/image" Target="media/image180.jpeg"/><Relationship Id="rId182" Type="http://schemas.openxmlformats.org/officeDocument/2006/relationships/image" Target="media/image181.jpeg"/><Relationship Id="rId183" Type="http://schemas.openxmlformats.org/officeDocument/2006/relationships/image" Target="media/image182.jpeg"/><Relationship Id="rId184" Type="http://schemas.openxmlformats.org/officeDocument/2006/relationships/image" Target="media/image183.jpeg"/><Relationship Id="rId185" Type="http://schemas.openxmlformats.org/officeDocument/2006/relationships/image" Target="media/image184.jpeg"/><Relationship Id="rId186" Type="http://schemas.openxmlformats.org/officeDocument/2006/relationships/image" Target="media/image185.jpeg"/><Relationship Id="rId187" Type="http://schemas.openxmlformats.org/officeDocument/2006/relationships/image" Target="media/image186.jpeg"/><Relationship Id="rId188" Type="http://schemas.openxmlformats.org/officeDocument/2006/relationships/image" Target="media/image187.jpeg"/><Relationship Id="rId189" Type="http://schemas.openxmlformats.org/officeDocument/2006/relationships/image" Target="media/image188.jpeg"/><Relationship Id="rId190" Type="http://schemas.openxmlformats.org/officeDocument/2006/relationships/image" Target="media/image189.jpeg"/><Relationship Id="rId191" Type="http://schemas.openxmlformats.org/officeDocument/2006/relationships/image" Target="media/image190.jpeg"/><Relationship Id="rId192" Type="http://schemas.openxmlformats.org/officeDocument/2006/relationships/image" Target="media/image191.jpeg"/><Relationship Id="rId193" Type="http://schemas.openxmlformats.org/officeDocument/2006/relationships/image" Target="media/image192.jpeg"/><Relationship Id="rId194" Type="http://schemas.openxmlformats.org/officeDocument/2006/relationships/image" Target="media/image193.jpeg"/><Relationship Id="rId195" Type="http://schemas.openxmlformats.org/officeDocument/2006/relationships/image" Target="media/image194.jpeg"/><Relationship Id="rId196" Type="http://schemas.openxmlformats.org/officeDocument/2006/relationships/image" Target="media/image195.jpeg"/><Relationship Id="rId197" Type="http://schemas.openxmlformats.org/officeDocument/2006/relationships/image" Target="media/image196.jpeg"/><Relationship Id="rId198" Type="http://schemas.openxmlformats.org/officeDocument/2006/relationships/image" Target="media/image197.jpeg"/><Relationship Id="rId199" Type="http://schemas.openxmlformats.org/officeDocument/2006/relationships/image" Target="media/image198.jpeg"/><Relationship Id="rId200" Type="http://schemas.openxmlformats.org/officeDocument/2006/relationships/image" Target="media/image199.jpeg"/><Relationship Id="rId201" Type="http://schemas.openxmlformats.org/officeDocument/2006/relationships/image" Target="media/image200.jpeg"/><Relationship Id="rId202" Type="http://schemas.openxmlformats.org/officeDocument/2006/relationships/image" Target="media/image201.jpeg"/><Relationship Id="rId203" Type="http://schemas.openxmlformats.org/officeDocument/2006/relationships/image" Target="media/image202.jpeg"/><Relationship Id="rId204" Type="http://schemas.openxmlformats.org/officeDocument/2006/relationships/image" Target="media/image203.jpeg"/><Relationship Id="rId205" Type="http://schemas.openxmlformats.org/officeDocument/2006/relationships/image" Target="media/image204.jpeg"/><Relationship Id="rId206" Type="http://schemas.openxmlformats.org/officeDocument/2006/relationships/image" Target="media/image205.jpeg"/><Relationship Id="rId207" Type="http://schemas.openxmlformats.org/officeDocument/2006/relationships/image" Target="media/image206.jpeg"/><Relationship Id="rId208" Type="http://schemas.openxmlformats.org/officeDocument/2006/relationships/image" Target="media/image207.jpeg"/><Relationship Id="rId209" Type="http://schemas.openxmlformats.org/officeDocument/2006/relationships/image" Target="media/image208.jpeg"/><Relationship Id="rId210" Type="http://schemas.openxmlformats.org/officeDocument/2006/relationships/image" Target="media/image209.jpeg"/><Relationship Id="rId211" Type="http://schemas.openxmlformats.org/officeDocument/2006/relationships/image" Target="media/image210.jpeg"/><Relationship Id="rId212" Type="http://schemas.openxmlformats.org/officeDocument/2006/relationships/image" Target="media/image211.jpeg"/><Relationship Id="rId213" Type="http://schemas.openxmlformats.org/officeDocument/2006/relationships/image" Target="media/image212.jpeg"/><Relationship Id="rId214" Type="http://schemas.openxmlformats.org/officeDocument/2006/relationships/image" Target="media/image213.jpeg"/><Relationship Id="rId215" Type="http://schemas.openxmlformats.org/officeDocument/2006/relationships/image" Target="media/image214.jpeg"/><Relationship Id="rId216" Type="http://schemas.openxmlformats.org/officeDocument/2006/relationships/image" Target="media/image215.jpeg"/><Relationship Id="rId217" Type="http://schemas.openxmlformats.org/officeDocument/2006/relationships/image" Target="media/image216.jpeg"/><Relationship Id="rId218" Type="http://schemas.openxmlformats.org/officeDocument/2006/relationships/image" Target="media/image217.jpeg"/><Relationship Id="rId219" Type="http://schemas.openxmlformats.org/officeDocument/2006/relationships/image" Target="media/image218.jpeg"/><Relationship Id="rId220" Type="http://schemas.openxmlformats.org/officeDocument/2006/relationships/image" Target="media/image219.jpeg"/><Relationship Id="rId221" Type="http://schemas.openxmlformats.org/officeDocument/2006/relationships/image" Target="media/image220.jpeg"/><Relationship Id="rId222" Type="http://schemas.openxmlformats.org/officeDocument/2006/relationships/image" Target="media/image221.jpeg"/><Relationship Id="rId223" Type="http://schemas.openxmlformats.org/officeDocument/2006/relationships/image" Target="media/image222.jpeg"/><Relationship Id="rId224" Type="http://schemas.openxmlformats.org/officeDocument/2006/relationships/image" Target="media/image223.jpeg"/><Relationship Id="rId225" Type="http://schemas.openxmlformats.org/officeDocument/2006/relationships/image" Target="media/image224.jpeg"/><Relationship Id="rId226" Type="http://schemas.openxmlformats.org/officeDocument/2006/relationships/image" Target="media/image225.jpeg"/><Relationship Id="rId227" Type="http://schemas.openxmlformats.org/officeDocument/2006/relationships/image" Target="media/image226.jpeg"/><Relationship Id="rId228" Type="http://schemas.openxmlformats.org/officeDocument/2006/relationships/image" Target="media/image227.jpeg"/><Relationship Id="rId229" Type="http://schemas.openxmlformats.org/officeDocument/2006/relationships/image" Target="media/image228.jpeg"/><Relationship Id="rId230" Type="http://schemas.openxmlformats.org/officeDocument/2006/relationships/image" Target="media/image229.jpeg"/><Relationship Id="rId231" Type="http://schemas.openxmlformats.org/officeDocument/2006/relationships/image" Target="media/image230.jpeg"/><Relationship Id="rId232" Type="http://schemas.openxmlformats.org/officeDocument/2006/relationships/image" Target="media/image231.jpeg"/><Relationship Id="rId233" Type="http://schemas.openxmlformats.org/officeDocument/2006/relationships/image" Target="media/image232.jpeg"/><Relationship Id="rId234" Type="http://schemas.openxmlformats.org/officeDocument/2006/relationships/image" Target="media/image233.jpeg"/><Relationship Id="rId235" Type="http://schemas.openxmlformats.org/officeDocument/2006/relationships/image" Target="media/image234.jpeg"/><Relationship Id="rId236" Type="http://schemas.openxmlformats.org/officeDocument/2006/relationships/fontTable" Target="fontTable.xml"/><Relationship Id="rId2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Pages>
  <Words>33442</Words>
  <CharactersWithSpaces>220084</CharactersWithSpaces>
  <Paragraphs>5732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