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w:t>
      </w:r>
    </w:p>
    <w:p>
      <w:pPr>
        <w:spacing w:after="0" w:line="24" w:lineRule="exact"/>
        <w:rPr>
          <w:sz w:val="24"/>
          <w:szCs w:val="24"/>
          <w:color w:val="auto"/>
        </w:rPr>
      </w:pPr>
    </w:p>
    <w:p>
      <w:pPr>
        <w:ind w:left="800" w:hanging="62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6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2024</w:t>
            </w:r>
          </w:p>
        </w:tc>
        <w:tc>
          <w:tcPr>
            <w:tcW w:w="2840" w:type="dxa"/>
            <w:vAlign w:val="bottom"/>
          </w:tcPr>
          <w:p>
            <w:pPr>
              <w:spacing w:after="0"/>
              <w:rPr>
                <w:sz w:val="20"/>
                <w:szCs w:val="20"/>
                <w:color w:val="auto"/>
              </w:rPr>
            </w:pPr>
          </w:p>
        </w:tc>
      </w:tr>
      <w:tr>
        <w:trPr>
          <w:trHeight w:val="531"/>
        </w:trPr>
        <w:tc>
          <w:tcPr>
            <w:tcW w:w="680" w:type="dxa"/>
            <w:vAlign w:val="bottom"/>
          </w:tcPr>
          <w:p>
            <w:pPr>
              <w:ind w:left="20"/>
              <w:spacing w:after="0" w:line="495" w:lineRule="exact"/>
              <w:rPr>
                <w:sz w:val="20"/>
                <w:szCs w:val="20"/>
                <w:color w:val="auto"/>
              </w:rPr>
            </w:pPr>
            <w:r>
              <w:rPr>
                <w:rFonts w:ascii="Times New Roman" w:cs="Times New Roman" w:eastAsia="Times New Roman" w:hAnsi="Times New Roman"/>
                <w:sz w:val="18"/>
                <w:szCs w:val="18"/>
                <w:b w:val="1"/>
                <w:bCs w:val="1"/>
                <w:color w:val="auto"/>
              </w:rPr>
              <w:t>OR</w:t>
            </w:r>
            <w:r>
              <w:rPr>
                <w:rFonts w:ascii="MS PGothic" w:cs="MS PGothic" w:eastAsia="MS PGothic" w:hAnsi="MS PGothic"/>
                <w:sz w:val="43"/>
                <w:szCs w:val="43"/>
                <w:color w:val="auto"/>
                <w:vertAlign w:val="superscript"/>
              </w:rPr>
              <w:t>☐</w:t>
            </w:r>
          </w:p>
        </w:tc>
        <w:tc>
          <w:tcPr>
            <w:tcW w:w="10580" w:type="dxa"/>
            <w:vAlign w:val="bottom"/>
            <w:gridSpan w:val="11"/>
          </w:tcPr>
          <w:p>
            <w:pPr>
              <w:ind w:left="280"/>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tc>
      </w:tr>
      <w:tr>
        <w:trPr>
          <w:trHeight w:val="198"/>
        </w:trPr>
        <w:tc>
          <w:tcPr>
            <w:tcW w:w="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2"/>
          </w:tcPr>
          <w:p>
            <w:pPr>
              <w:ind w:left="380"/>
              <w:spacing w:after="0" w:line="198" w:lineRule="exact"/>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600" w:type="dxa"/>
            <w:vAlign w:val="bottom"/>
            <w:gridSpan w:val="2"/>
          </w:tcPr>
          <w:p>
            <w:pPr>
              <w:spacing w:after="0"/>
              <w:rPr>
                <w:sz w:val="17"/>
                <w:szCs w:val="17"/>
                <w:color w:val="auto"/>
              </w:rPr>
            </w:pPr>
          </w:p>
        </w:tc>
        <w:tc>
          <w:tcPr>
            <w:tcW w:w="2840" w:type="dxa"/>
            <w:vAlign w:val="bottom"/>
          </w:tcPr>
          <w:p>
            <w:pPr>
              <w:spacing w:after="0"/>
              <w:rPr>
                <w:sz w:val="17"/>
                <w:szCs w:val="17"/>
                <w:color w:val="auto"/>
              </w:rPr>
            </w:pPr>
          </w:p>
        </w:tc>
      </w:tr>
      <w:tr>
        <w:trPr>
          <w:trHeight w:val="326"/>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Commission file number: 001-35004</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593"/>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3"/>
          </w:tcPr>
          <w:p>
            <w:pPr>
              <w:jc w:val="center"/>
              <w:ind w:left="1439"/>
              <w:spacing w:after="0"/>
              <w:rPr>
                <w:sz w:val="20"/>
                <w:szCs w:val="20"/>
                <w:color w:val="auto"/>
              </w:rPr>
            </w:pPr>
            <w:r>
              <w:rPr>
                <w:rFonts w:ascii="Times New Roman" w:cs="Times New Roman" w:eastAsia="Times New Roman" w:hAnsi="Times New Roman"/>
                <w:sz w:val="40"/>
                <w:szCs w:val="40"/>
                <w:b w:val="1"/>
                <w:bCs w:val="1"/>
                <w:color w:val="auto"/>
                <w:w w:val="97"/>
              </w:rPr>
              <w:t>Corpay,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0"/>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8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60" w:type="dxa"/>
            <w:vAlign w:val="bottom"/>
            <w:gridSpan w:val="9"/>
          </w:tcPr>
          <w:p>
            <w:pPr>
              <w:jc w:val="center"/>
              <w:ind w:left="33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w:t>
            </w:r>
          </w:p>
        </w:tc>
        <w:tc>
          <w:tcPr>
            <w:tcW w:w="2840" w:type="dxa"/>
            <w:vAlign w:val="bottom"/>
          </w:tcPr>
          <w:p>
            <w:pPr>
              <w:spacing w:after="0"/>
              <w:rPr>
                <w:sz w:val="20"/>
                <w:szCs w:val="20"/>
                <w:color w:val="auto"/>
              </w:rPr>
            </w:pPr>
          </w:p>
        </w:tc>
      </w:tr>
      <w:tr>
        <w:trPr>
          <w:trHeight w:val="248"/>
        </w:trPr>
        <w:tc>
          <w:tcPr>
            <w:tcW w:w="6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320" w:type="dxa"/>
            <w:vAlign w:val="bottom"/>
            <w:gridSpan w:val="4"/>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184"/>
        </w:trPr>
        <w:tc>
          <w:tcPr>
            <w:tcW w:w="680" w:type="dxa"/>
            <w:vAlign w:val="bottom"/>
          </w:tcPr>
          <w:p>
            <w:pPr>
              <w:spacing w:after="0"/>
              <w:rPr>
                <w:sz w:val="16"/>
                <w:szCs w:val="16"/>
                <w:color w:val="auto"/>
              </w:rPr>
            </w:pPr>
          </w:p>
        </w:tc>
        <w:tc>
          <w:tcPr>
            <w:tcW w:w="5100" w:type="dxa"/>
            <w:vAlign w:val="bottom"/>
            <w:gridSpan w:val="5"/>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tcPr>
          <w:p>
            <w:pPr>
              <w:jc w:val="center"/>
              <w:ind w:right="10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79"/>
        </w:trPr>
        <w:tc>
          <w:tcPr>
            <w:tcW w:w="680" w:type="dxa"/>
            <w:vAlign w:val="bottom"/>
          </w:tcPr>
          <w:p>
            <w:pPr>
              <w:spacing w:after="0"/>
              <w:rPr>
                <w:sz w:val="24"/>
                <w:szCs w:val="24"/>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Atlanta</w:t>
            </w:r>
          </w:p>
        </w:tc>
        <w:tc>
          <w:tcPr>
            <w:tcW w:w="240" w:type="dxa"/>
            <w:vAlign w:val="bottom"/>
          </w:tcPr>
          <w:p>
            <w:pPr>
              <w:spacing w:after="0"/>
              <w:rPr>
                <w:sz w:val="24"/>
                <w:szCs w:val="24"/>
                <w:color w:val="auto"/>
              </w:rPr>
            </w:pPr>
          </w:p>
        </w:tc>
        <w:tc>
          <w:tcPr>
            <w:tcW w:w="15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284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680" w:type="dxa"/>
            <w:vAlign w:val="bottom"/>
          </w:tcPr>
          <w:p>
            <w:pPr>
              <w:spacing w:after="0"/>
              <w:rPr>
                <w:sz w:val="20"/>
                <w:szCs w:val="20"/>
                <w:color w:val="auto"/>
              </w:rPr>
            </w:pPr>
          </w:p>
        </w:tc>
        <w:tc>
          <w:tcPr>
            <w:tcW w:w="51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78"/>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(770) 449-0479</w:t>
            </w:r>
          </w:p>
        </w:tc>
        <w:tc>
          <w:tcPr>
            <w:tcW w:w="2840" w:type="dxa"/>
            <w:vAlign w:val="bottom"/>
          </w:tcPr>
          <w:p>
            <w:pPr>
              <w:spacing w:after="0"/>
              <w:rPr>
                <w:sz w:val="24"/>
                <w:szCs w:val="24"/>
                <w:color w:val="auto"/>
              </w:rPr>
            </w:pPr>
          </w:p>
        </w:tc>
      </w:tr>
      <w:tr>
        <w:trPr>
          <w:trHeight w:val="304"/>
        </w:trPr>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7"/>
        </w:trPr>
        <w:tc>
          <w:tcPr>
            <w:tcW w:w="6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Title of each class</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gridSpan w:val="5"/>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1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Borders>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CPAY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3"/>
          </w:tcPr>
          <w:p>
            <w:pPr>
              <w:jc w:val="center"/>
              <w:ind w:right="2270"/>
              <w:spacing w:after="0"/>
              <w:rPr>
                <w:sz w:val="20"/>
                <w:szCs w:val="20"/>
                <w:color w:val="auto"/>
              </w:rPr>
            </w:pPr>
            <w:r>
              <w:rPr>
                <w:rFonts w:ascii="Times New Roman" w:cs="Times New Roman" w:eastAsia="Times New Roman" w:hAnsi="Times New Roman"/>
                <w:sz w:val="18"/>
                <w:szCs w:val="18"/>
                <w:color w:val="auto"/>
              </w:rPr>
              <w:t>NYSE</w:t>
            </w:r>
          </w:p>
        </w:tc>
      </w:tr>
    </w:tbl>
    <w:p>
      <w:pPr>
        <w:spacing w:after="0" w:line="238"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9"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4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660" w:type="dxa"/>
            <w:vAlign w:val="bottom"/>
          </w:tcPr>
          <w:p>
            <w:pPr>
              <w:spacing w:after="0"/>
              <w:rPr>
                <w:sz w:val="18"/>
                <w:szCs w:val="18"/>
                <w:color w:val="auto"/>
              </w:rPr>
            </w:pPr>
          </w:p>
        </w:tc>
        <w:tc>
          <w:tcPr>
            <w:tcW w:w="56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Outstanding at August 2, 2024</w:t>
            </w:r>
          </w:p>
        </w:tc>
      </w:tr>
      <w:tr>
        <w:trPr>
          <w:trHeight w:val="250"/>
        </w:trPr>
        <w:tc>
          <w:tcPr>
            <w:tcW w:w="55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566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69,432,952</w:t>
            </w:r>
          </w:p>
        </w:tc>
      </w:tr>
      <w:tr>
        <w:trPr>
          <w:trHeight w:val="695"/>
        </w:trPr>
        <w:tc>
          <w:tcPr>
            <w:tcW w:w="2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gridSpan w:val="9"/>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2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0"/>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For the Three and Six Months Ended June 30,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2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98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auto"/>
              </w:rPr>
              <w:t>PART I—FINANCIAL INFORMATION</w:t>
            </w:r>
          </w:p>
        </w:tc>
        <w:tc>
          <w:tcPr>
            <w:tcW w:w="1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9860" w:type="dxa"/>
            <w:vAlign w:val="bottom"/>
            <w:gridSpan w:val="19"/>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96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Consolidated Balance Sheets at June 30, 2024 (unaudited) and December 31, 2023</w:t>
            </w:r>
          </w:p>
        </w:tc>
        <w:tc>
          <w:tcPr>
            <w:tcW w:w="3000" w:type="dxa"/>
            <w:vAlign w:val="bottom"/>
            <w:gridSpan w:val="7"/>
          </w:tcPr>
          <w:p>
            <w:pPr>
              <w:spacing w:after="0"/>
              <w:rPr>
                <w:sz w:val="21"/>
                <w:szCs w:val="21"/>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Income for the Three and Six Months Ended June 30, 2024 and 2023</w:t>
            </w:r>
          </w:p>
        </w:tc>
        <w:tc>
          <w:tcPr>
            <w:tcW w:w="1160" w:type="dxa"/>
            <w:vAlign w:val="bottom"/>
            <w:gridSpan w:val="3"/>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6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Comprehensive Income for the Three and Six Months Ended June 30, 2024 and 2023</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4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Unaudited Consolidated Statements of Equity for the Three and Six Months Ended June 30, 2024 and 2023</w:t>
            </w:r>
          </w:p>
        </w:tc>
        <w:tc>
          <w:tcPr>
            <w:tcW w:w="1220" w:type="dxa"/>
            <w:vAlign w:val="bottom"/>
            <w:gridSpan w:val="4"/>
          </w:tcPr>
          <w:p>
            <w:pPr>
              <w:spacing w:after="0"/>
              <w:rPr>
                <w:sz w:val="24"/>
                <w:szCs w:val="24"/>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340" w:type="dxa"/>
            <w:vAlign w:val="bottom"/>
            <w:tcBorders>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Unaudited Statements of Cash Flows for the Six Months Ended June 30, 2024 and 2023</w:t>
            </w:r>
          </w:p>
        </w:tc>
        <w:tc>
          <w:tcPr>
            <w:tcW w:w="2620" w:type="dxa"/>
            <w:vAlign w:val="bottom"/>
            <w:gridSpan w:val="5"/>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40" w:type="dxa"/>
            <w:vAlign w:val="bottom"/>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2820" w:type="dxa"/>
            <w:vAlign w:val="bottom"/>
            <w:gridSpan w:val="6"/>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58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 w:type="dxa"/>
            <w:vAlign w:val="bottom"/>
          </w:tcPr>
          <w:p>
            <w:pPr>
              <w:spacing w:after="0"/>
              <w:rPr>
                <w:sz w:val="24"/>
                <w:szCs w:val="24"/>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PART II—OTHER INFORMATION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LEGAL PROCEEDINGS</w:t>
            </w:r>
          </w:p>
        </w:tc>
        <w:tc>
          <w:tcPr>
            <w:tcW w:w="7080" w:type="dxa"/>
            <w:vAlign w:val="bottom"/>
            <w:gridSpan w:val="12"/>
          </w:tcPr>
          <w:p>
            <w:pPr>
              <w:spacing w:after="0"/>
              <w:rPr>
                <w:sz w:val="21"/>
                <w:szCs w:val="21"/>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7700" w:type="dxa"/>
            <w:vAlign w:val="bottom"/>
            <w:gridSpan w:val="13"/>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USE OF PROCEEDS AND ISSUER PURCHASE OF EQUITY</w:t>
            </w:r>
          </w:p>
        </w:tc>
        <w:tc>
          <w:tcPr>
            <w:tcW w:w="130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760" w:type="dxa"/>
            <w:vAlign w:val="bottom"/>
            <w:tcBorders>
              <w:top w:val="single" w:sz="8" w:color="0E32E1"/>
            </w:tcBorders>
            <w:gridSpan w:val="16"/>
          </w:tcPr>
          <w:p>
            <w:pPr>
              <w:spacing w:after="0" w:line="142" w:lineRule="exact"/>
              <w:rPr>
                <w:sz w:val="20"/>
                <w:szCs w:val="20"/>
                <w:color w:val="auto"/>
              </w:rPr>
            </w:pPr>
            <w:r>
              <w:rPr>
                <w:rFonts w:ascii="Times New Roman" w:cs="Times New Roman" w:eastAsia="Times New Roman" w:hAnsi="Times New Roman"/>
                <w:sz w:val="16"/>
                <w:szCs w:val="16"/>
                <w:color w:val="0E32E1"/>
              </w:rPr>
              <w:t>SECURITIES</w:t>
            </w:r>
          </w:p>
        </w:tc>
        <w:tc>
          <w:tcPr>
            <w:tcW w:w="200" w:type="dxa"/>
            <w:vAlign w:val="bottom"/>
            <w:gridSpan w:val="2"/>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780" w:type="dxa"/>
            <w:vAlign w:val="bottom"/>
            <w:gridSpan w:val="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96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3180" w:type="dxa"/>
            <w:vAlign w:val="bottom"/>
            <w:tcBorders>
              <w:top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5780" w:type="dxa"/>
            <w:vAlign w:val="bottom"/>
            <w:gridSpan w:val="9"/>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2440" w:type="dxa"/>
            <w:vAlign w:val="bottom"/>
            <w:tcBorders>
              <w:top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520" w:type="dxa"/>
            <w:vAlign w:val="bottom"/>
            <w:gridSpan w:val="11"/>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EXHIBITS</w:t>
            </w:r>
          </w:p>
        </w:tc>
        <w:tc>
          <w:tcPr>
            <w:tcW w:w="7080" w:type="dxa"/>
            <w:vAlign w:val="bottom"/>
            <w:gridSpan w:val="12"/>
          </w:tcPr>
          <w:p>
            <w:pPr>
              <w:spacing w:after="0"/>
              <w:rPr>
                <w:sz w:val="22"/>
                <w:szCs w:val="22"/>
                <w:color w:val="auto"/>
              </w:rPr>
            </w:pP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20" w:type="dxa"/>
            <w:vAlign w:val="bottom"/>
            <w:gridSpan w:val="2"/>
            <w:shd w:val="clear" w:color="auto" w:fill="0E32E1"/>
          </w:tcPr>
          <w:p>
            <w:pPr>
              <w:spacing w:after="0" w:line="20" w:lineRule="exact"/>
              <w:rPr>
                <w:sz w:val="1"/>
                <w:szCs w:val="1"/>
                <w:color w:val="auto"/>
              </w:rPr>
            </w:pPr>
          </w:p>
        </w:tc>
        <w:tc>
          <w:tcPr>
            <w:tcW w:w="814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0" w:type="dxa"/>
            <w:vAlign w:val="bottom"/>
          </w:tcPr>
          <w:p>
            <w:pPr>
              <w:spacing w:after="0"/>
              <w:rPr>
                <w:sz w:val="22"/>
                <w:szCs w:val="22"/>
                <w:color w:val="auto"/>
              </w:rPr>
            </w:pP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13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973"/>
        </w:trPr>
        <w:tc>
          <w:tcPr>
            <w:tcW w:w="80" w:type="dxa"/>
            <w:vAlign w:val="bottom"/>
            <w:tcBorders>
              <w:bottom w:val="single" w:sz="8" w:color="9A9A9A"/>
            </w:tcBorders>
          </w:tcPr>
          <w:p>
            <w:pPr>
              <w:spacing w:after="0"/>
              <w:rPr>
                <w:sz w:val="24"/>
                <w:szCs w:val="24"/>
                <w:color w:val="auto"/>
              </w:rPr>
            </w:pPr>
          </w:p>
        </w:tc>
        <w:tc>
          <w:tcPr>
            <w:tcW w:w="900" w:type="dxa"/>
            <w:vAlign w:val="bottom"/>
            <w:tcBorders>
              <w:top w:val="single" w:sz="8" w:color="0E32E1"/>
              <w:bottom w:val="single" w:sz="8" w:color="9A9A9A"/>
            </w:tcBorders>
          </w:tcPr>
          <w:p>
            <w:pPr>
              <w:spacing w:after="0"/>
              <w:rPr>
                <w:sz w:val="24"/>
                <w:szCs w:val="24"/>
                <w:color w:val="auto"/>
              </w:rPr>
            </w:pPr>
          </w:p>
        </w:tc>
        <w:tc>
          <w:tcPr>
            <w:tcW w:w="200" w:type="dxa"/>
            <w:vAlign w:val="bottom"/>
            <w:tcBorders>
              <w:top w:val="single" w:sz="8" w:color="0E32E1"/>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Par Value Amounts)</w:t>
      </w:r>
    </w:p>
    <w:p>
      <w:pPr>
        <w:spacing w:after="0" w:line="34"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80" w:type="dxa"/>
            <w:vAlign w:val="bottom"/>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1"/>
        </w:trPr>
        <w:tc>
          <w:tcPr>
            <w:tcW w:w="7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1,389,648</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2,189,729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1,751,887</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and other receivables (less allowance for credit losses of $139,338 at June 30, 2024</w:t>
            </w: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$180,163 at December 31, 2023)</w:t>
            </w:r>
          </w:p>
        </w:tc>
        <w:tc>
          <w:tcPr>
            <w:tcW w:w="2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2,412,011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2,161,586</w:t>
            </w:r>
          </w:p>
        </w:tc>
        <w:tc>
          <w:tcPr>
            <w:tcW w:w="0" w:type="dxa"/>
            <w:vAlign w:val="bottom"/>
          </w:tcPr>
          <w:p>
            <w:pPr>
              <w:spacing w:after="0"/>
              <w:rPr>
                <w:sz w:val="1"/>
                <w:szCs w:val="1"/>
                <w:color w:val="auto"/>
              </w:rPr>
            </w:pP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Securitized accounts receivable—restricted for securitization investors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474,144</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7,975,697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7,084,265</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343,154</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5,545,966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5,644,958</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2,085,663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69,521</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248,691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16,196,535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15,476,252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1,902,909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1,624,995</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356,118</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2,763,554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2,397,279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Securitization facility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30"/>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notes payable and lines of credit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819,749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283,083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320,612</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7,842,547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6,825,753</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and other obligations, less current portion</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4,817,634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4,596,156</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470,232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301,752</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5,578,395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5,368,140</w:t>
            </w:r>
          </w:p>
        </w:tc>
        <w:tc>
          <w:tcPr>
            <w:tcW w:w="0" w:type="dxa"/>
            <w:vAlign w:val="bottom"/>
          </w:tcPr>
          <w:p>
            <w:pPr>
              <w:spacing w:after="0"/>
              <w:rPr>
                <w:sz w:val="1"/>
                <w:szCs w:val="1"/>
                <w:color w:val="auto"/>
              </w:rPr>
            </w:pPr>
          </w:p>
        </w:tc>
      </w:tr>
      <w:tr>
        <w:trPr>
          <w:trHeight w:val="20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475,000,000 shares authorized; 129,703,817 shares issued and</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69,408,935 shares outstanding at June 30, 2024; and 128,759,639 shares issued and 71,715,804</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 at December 31, 2023</w:t>
            </w:r>
          </w:p>
        </w:tc>
        <w:tc>
          <w:tcPr>
            <w:tcW w:w="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3,418,512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3,266,185</w:t>
            </w:r>
          </w:p>
        </w:tc>
        <w:tc>
          <w:tcPr>
            <w:tcW w:w="0" w:type="dxa"/>
            <w:vAlign w:val="bottom"/>
          </w:tcPr>
          <w:p>
            <w:pPr>
              <w:spacing w:after="0"/>
              <w:rPr>
                <w:sz w:val="1"/>
                <w:szCs w:val="1"/>
                <w:color w:val="auto"/>
              </w:rPr>
            </w:pPr>
          </w:p>
        </w:tc>
      </w:tr>
      <w:tr>
        <w:trPr>
          <w:trHeight w:val="229"/>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8,674,053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8,192,659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75"/>
        </w:trPr>
        <w:tc>
          <w:tcPr>
            <w:tcW w:w="7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treasury stock, 60,294,882 shares at June 30, 2024 and 57,043,835 shares at December 31,</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(7,843,005)</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(6,887,515)</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Corpay stockholders’ equity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2,750,705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3,282,359</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16,196,535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15,476,252</w:t>
            </w:r>
          </w:p>
        </w:tc>
        <w:tc>
          <w:tcPr>
            <w:tcW w:w="0" w:type="dxa"/>
            <w:vAlign w:val="bottom"/>
          </w:tcPr>
          <w:p>
            <w:pPr>
              <w:spacing w:after="0"/>
              <w:rPr>
                <w:sz w:val="1"/>
                <w:szCs w:val="1"/>
                <w:color w:val="auto"/>
              </w:rPr>
            </w:pPr>
          </w:p>
        </w:tc>
      </w:tr>
      <w:tr>
        <w:trPr>
          <w:trHeight w:val="21"/>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Processing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Selling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operating,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Investment (gain) loss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392" w:lineRule="exact"/>
        <w:rPr>
          <w:sz w:val="20"/>
          <w:szCs w:val="20"/>
          <w:color w:val="auto"/>
        </w:rPr>
      </w:pPr>
    </w:p>
    <w:tbl>
      <w:tblPr>
        <w:tblLayout w:type="fixed"/>
        <w:tblInd w:w="118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6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948,174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1,910,961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1,849,507</w:t>
            </w:r>
          </w:p>
        </w:tc>
      </w:tr>
      <w:tr>
        <w:trPr>
          <w:trHeight w:val="449"/>
        </w:trPr>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410,232</w:t>
            </w:r>
          </w:p>
        </w:tc>
      </w:tr>
      <w:tr>
        <w:trPr>
          <w:trHeight w:val="230"/>
        </w:trPr>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168,004</w:t>
            </w:r>
          </w:p>
        </w:tc>
      </w:tr>
      <w:tr>
        <w:trPr>
          <w:trHeight w:val="229"/>
        </w:trPr>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314,040</w:t>
            </w:r>
          </w:p>
        </w:tc>
      </w:tr>
      <w:tr>
        <w:trPr>
          <w:trHeight w:val="229"/>
        </w:trPr>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167,908</w:t>
            </w:r>
          </w:p>
        </w:tc>
      </w:tr>
      <w:tr>
        <w:trPr>
          <w:trHeight w:val="234"/>
        </w:trPr>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23"/>
        </w:trPr>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412,650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830,677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787,845</w:t>
            </w:r>
          </w:p>
        </w:tc>
      </w:tr>
      <w:tr>
        <w:trPr>
          <w:trHeight w:val="434"/>
        </w:trPr>
        <w:tc>
          <w:tcPr>
            <w:tcW w:w="2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32"/>
        </w:trPr>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-1764030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-1464310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-1172845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-881380</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-581025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-289560</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120" w:space="720"/>
            <w:col w:w="7400"/>
          </w:cols>
          <w:pgMar w:left="320" w:top="887"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166,431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326,570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621,414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166,877</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239,702</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454,537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239,702</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454,537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71,497</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75,001</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72,516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74,763</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63"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ectPr>
          <w:pgSz w:w="11900" w:h="16838" w:orient="portrait"/>
          <w:cols w:equalWidth="0" w:num="1">
            <w:col w:w="10980"/>
          </w:cols>
          <w:pgMar w:left="320" w:top="121" w:right="5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comprehensive (loss) income:</w:t>
      </w:r>
    </w:p>
    <w:p>
      <w:pPr>
        <w:spacing w:after="0" w:line="27" w:lineRule="exact"/>
        <w:rPr>
          <w:sz w:val="20"/>
          <w:szCs w:val="20"/>
          <w:color w:val="auto"/>
        </w:rPr>
      </w:pPr>
    </w:p>
    <w:p>
      <w:pPr>
        <w:ind w:left="660" w:right="660"/>
        <w:spacing w:after="0" w:line="276" w:lineRule="auto"/>
        <w:rPr>
          <w:sz w:val="20"/>
          <w:szCs w:val="20"/>
          <w:color w:val="auto"/>
        </w:rPr>
      </w:pPr>
      <w:r>
        <w:rPr>
          <w:rFonts w:ascii="Times New Roman" w:cs="Times New Roman" w:eastAsia="Times New Roman" w:hAnsi="Times New Roman"/>
          <w:sz w:val="18"/>
          <w:szCs w:val="18"/>
          <w:color w:val="auto"/>
        </w:rPr>
        <w:t>Foreign currency translation (losses) gains, net of tax Net change in derivative contracts, net of tax</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3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251,663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481,466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454,537</w:t>
            </w:r>
          </w:p>
        </w:tc>
      </w:tr>
      <w:tr>
        <w:trPr>
          <w:trHeight w:val="449"/>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140,656</w:t>
            </w:r>
          </w:p>
        </w:tc>
      </w:tr>
      <w:tr>
        <w:trPr>
          <w:trHeight w:val="232"/>
        </w:trPr>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-589915</wp:posOffset>
            </wp:positionV>
            <wp:extent cx="677227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2275" cy="154305"/>
                    </a:xfrm>
                    <a:prstGeom prst="rect">
                      <a:avLst/>
                    </a:prstGeom>
                    <a:noFill/>
                  </pic:spPr>
                </pic:pic>
              </a:graphicData>
            </a:graphic>
          </wp:anchor>
        </w:drawing>
        <w:drawing>
          <wp:anchor simplePos="0" relativeHeight="251657728" behindDoc="1" locked="0" layoutInCell="0" allowOverlap="1">
            <wp:simplePos x="0" y="0"/>
            <wp:positionH relativeFrom="column">
              <wp:posOffset>-3518535</wp:posOffset>
            </wp:positionH>
            <wp:positionV relativeFrom="paragraph">
              <wp:posOffset>-289560</wp:posOffset>
            </wp:positionV>
            <wp:extent cx="677227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40" w:space="720"/>
            <w:col w:w="5120"/>
          </w:cols>
          <w:pgMar w:left="320" w:top="121" w:right="599" w:bottom="1440" w:gutter="0" w:footer="0" w:header="0"/>
          <w:type w:val="continuous"/>
        </w:sectPr>
      </w:pPr>
    </w:p>
    <w:tbl>
      <w:tblPr>
        <w:tblLayout w:type="fixed"/>
        <w:tblInd w:w="320" w:type="dxa"/>
        <w:tblCellMar>
          <w:top w:w="0" w:type="dxa"/>
          <w:left w:w="0" w:type="dxa"/>
          <w:bottom w:w="0" w:type="dxa"/>
          <w:right w:w="0" w:type="dxa"/>
        </w:tblCellMar>
      </w:tblPr>
      <w:tr>
        <w:trPr>
          <w:trHeight w:val="206"/>
        </w:trPr>
        <w:tc>
          <w:tcPr>
            <w:tcW w:w="5540" w:type="dxa"/>
            <w:vAlign w:val="bottom"/>
            <w:tcBorders>
              <w:top w:val="single" w:sz="8" w:color="CCEEFF"/>
            </w:tcBorders>
            <w:shd w:val="clear" w:color="auto" w:fill="CCEEFF"/>
          </w:tcPr>
          <w:p>
            <w:pPr>
              <w:ind w:left="660"/>
              <w:spacing w:after="0" w:line="206" w:lineRule="exact"/>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(161,137)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76,753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(213,127)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152,387</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606,924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Corpay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606,924</w:t>
            </w:r>
          </w:p>
        </w:tc>
      </w:tr>
      <w:tr>
        <w:trPr>
          <w:trHeight w:val="21"/>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3,266,185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8,192,659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(1,289,099)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(6,887,515)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3,282,359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3,282,359</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229,769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229,803</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(51,990)</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28,057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28,057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(321,776)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24,979</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90,837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90,838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90,838</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3,382,001</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8,422,428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(1,340,847)</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(7,209,291)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3,254,421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27,849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3,282,270</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251,625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251,663</w:t>
            </w:r>
          </w:p>
        </w:tc>
        <w:tc>
          <w:tcPr>
            <w:tcW w:w="0" w:type="dxa"/>
            <w:vAlign w:val="bottom"/>
          </w:tcPr>
          <w:p>
            <w:pPr>
              <w:spacing w:after="0"/>
              <w:rPr>
                <w:sz w:val="1"/>
                <w:szCs w:val="1"/>
                <w:color w:val="auto"/>
              </w:rPr>
            </w:pPr>
          </w:p>
        </w:tc>
      </w:tr>
      <w:tr>
        <w:trPr>
          <w:trHeight w:val="162"/>
        </w:trPr>
        <w:tc>
          <w:tcPr>
            <w:tcW w:w="2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loss, net of</w:t>
            </w:r>
          </w:p>
        </w:tc>
        <w:tc>
          <w:tcPr>
            <w:tcW w:w="12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(158,138)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(161,137)</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w:t>
            </w: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(633,714)</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27,108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27,108</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9,403</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3,418,512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8,674,053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(1,498,985)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(7,843,005)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2,750,705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24,888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2,775,593</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Total Corpay</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80" w:type="dxa"/>
            <w:vAlign w:val="bottom"/>
          </w:tcPr>
          <w:p>
            <w:pPr>
              <w:spacing w:after="0"/>
              <w:rPr>
                <w:sz w:val="11"/>
                <w:szCs w:val="11"/>
                <w:color w:val="auto"/>
              </w:rPr>
            </w:pPr>
          </w:p>
        </w:tc>
        <w:tc>
          <w:tcPr>
            <w:tcW w:w="9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0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40" w:type="dxa"/>
            <w:vAlign w:val="bottom"/>
          </w:tcPr>
          <w:p>
            <w:pPr>
              <w:spacing w:after="0"/>
              <w:rPr>
                <w:sz w:val="11"/>
                <w:szCs w:val="11"/>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3,049,570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7,210,769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(1,509,650)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(6,209,324)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2,541,493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2,541,493</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214,835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214,835</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75,634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75,634</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(9,597)</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26,096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26,096</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33,399</w:t>
            </w:r>
          </w:p>
        </w:tc>
        <w:tc>
          <w:tcPr>
            <w:tcW w:w="0" w:type="dxa"/>
            <w:vAlign w:val="bottom"/>
          </w:tcPr>
          <w:p>
            <w:pPr>
              <w:spacing w:after="0"/>
              <w:rPr>
                <w:sz w:val="1"/>
                <w:szCs w:val="1"/>
                <w:color w:val="auto"/>
              </w:rPr>
            </w:pPr>
          </w:p>
        </w:tc>
      </w:tr>
      <w:tr>
        <w:trPr>
          <w:trHeight w:val="212"/>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3,109,065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7,425,604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(6,218,921)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2,881,860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2,881,860</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239,702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239,702</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income, net</w:t>
            </w:r>
          </w:p>
        </w:tc>
        <w:tc>
          <w:tcPr>
            <w:tcW w:w="12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76,753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76,753</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tax</w:t>
            </w:r>
          </w:p>
        </w:tc>
        <w:tc>
          <w:tcPr>
            <w:tcW w:w="12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0" w:type="dxa"/>
            <w:vAlign w:val="bottom"/>
          </w:tcPr>
          <w:p>
            <w:pPr>
              <w:spacing w:after="0"/>
              <w:rPr>
                <w:sz w:val="1"/>
                <w:szCs w:val="1"/>
                <w:color w:val="auto"/>
              </w:rPr>
            </w:pPr>
          </w:p>
        </w:tc>
      </w:tr>
      <w:tr>
        <w:trPr>
          <w:trHeight w:val="21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34,748</w:t>
            </w:r>
          </w:p>
        </w:tc>
        <w:tc>
          <w:tcPr>
            <w:tcW w:w="0" w:type="dxa"/>
            <w:vAlign w:val="bottom"/>
          </w:tcPr>
          <w:p>
            <w:pPr>
              <w:spacing w:after="0"/>
              <w:rPr>
                <w:sz w:val="1"/>
                <w:szCs w:val="1"/>
                <w:color w:val="auto"/>
              </w:rPr>
            </w:pPr>
          </w:p>
        </w:tc>
      </w:tr>
      <w:tr>
        <w:trPr>
          <w:trHeight w:val="213"/>
        </w:trPr>
        <w:tc>
          <w:tcPr>
            <w:tcW w:w="2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32,749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32,749</w:t>
            </w:r>
          </w:p>
        </w:tc>
        <w:tc>
          <w:tcPr>
            <w:tcW w:w="0" w:type="dxa"/>
            <w:vAlign w:val="bottom"/>
          </w:tcPr>
          <w:p>
            <w:pPr>
              <w:spacing w:after="0"/>
              <w:rPr>
                <w:sz w:val="1"/>
                <w:szCs w:val="1"/>
                <w:color w:val="auto"/>
              </w:rPr>
            </w:pPr>
          </w:p>
        </w:tc>
      </w:tr>
      <w:tr>
        <w:trPr>
          <w:trHeight w:val="234"/>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3,176,562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7,665,306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(6,221,297)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3,263,436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3,263,436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6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Corpay, Inc. and Subsidiaries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40" w:type="dxa"/>
            <w:vAlign w:val="bottom"/>
            <w:gridSpan w:val="2"/>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Unaudited Consolidated Statements of Cash Flows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40" w:type="dxa"/>
            <w:vAlign w:val="bottom"/>
          </w:tcPr>
          <w:p>
            <w:pPr>
              <w:jc w:val="center"/>
              <w:ind w:left="23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481,466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454,537</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accounts and other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 and premium on receivables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gain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operating expense,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(355,722)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78,035</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Derivative assets and liabilities,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expenses and customer deposits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611,073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891,105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1,098,960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(126,694)</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(78,922)</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(payments) on securitization facility,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revolver</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revolver</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(4,817,000)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borrowings on swing line of credit,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(241,811)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 on cash</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694,335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3,141,535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2,289,180</w:t>
            </w: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3,547,296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2,983,515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 w:type="dxa"/>
            <w:vAlign w:val="bottom"/>
          </w:tcPr>
          <w:p>
            <w:pPr>
              <w:spacing w:after="0"/>
              <w:rPr>
                <w:sz w:val="15"/>
                <w:szCs w:val="15"/>
                <w:color w:val="auto"/>
              </w:rPr>
            </w:pPr>
          </w:p>
        </w:tc>
        <w:tc>
          <w:tcPr>
            <w:tcW w:w="746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1"/>
                <w:szCs w:val="21"/>
                <w:color w:val="auto"/>
              </w:rPr>
            </w:pPr>
          </w:p>
        </w:tc>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7460" w:type="dxa"/>
            <w:vAlign w:val="bottom"/>
            <w:gridSpan w:val="2"/>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185,333</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238,769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Corpay,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95" w:lineRule="exact"/>
        <w:rPr>
          <w:sz w:val="20"/>
          <w:szCs w:val="20"/>
          <w:color w:val="auto"/>
        </w:rPr>
      </w:pPr>
    </w:p>
    <w:p>
      <w:pPr>
        <w:ind w:right="7680" w:firstLine="8"/>
        <w:spacing w:after="0" w:line="370" w:lineRule="auto"/>
        <w:tabs>
          <w:tab w:leader="none" w:pos="1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60"/>
        <w:spacing w:after="0" w:line="245" w:lineRule="auto"/>
        <w:rPr>
          <w:sz w:val="20"/>
          <w:szCs w:val="20"/>
          <w:color w:val="auto"/>
        </w:rPr>
      </w:pPr>
      <w:r>
        <w:rPr>
          <w:rFonts w:ascii="Times New Roman" w:cs="Times New Roman" w:eastAsia="Times New Roman" w:hAnsi="Times New Roman"/>
          <w:sz w:val="18"/>
          <w:szCs w:val="18"/>
          <w:color w:val="auto"/>
        </w:rPr>
        <w:t>Throughout this Quarterly Report on Form 10-Q, the terms "our," "we," "us," and the "Company" refers to Corpay, Inc. and its subsidiaries. Effective March 25, 2024, FLEETCOR Technologies, Inc. ("FLEETCOR") changed its corporate name to Corpay, Inc. At that time, the Company ceased trading under the ticker symbol "FLT" and began trading under our new ticker symbol, "CPAY," on the New York Stock Exchange ("NYSE") effective March 25, 2024.</w:t>
      </w:r>
    </w:p>
    <w:p>
      <w:pPr>
        <w:spacing w:after="0" w:line="7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Company prepared the accompanying unaudited interim consolidated financial statements in accordance with accounting principles generally accepted in the United States of America (“GAAP”) for interim financial information and with the instructions to Form 10-Q and Article 10 of Regulation S-X. Accordingly, certain information and note disclosures normally included in annual financial statements prepared in accordance with GAAP have been condensed or omitted pursuant to those rules and regulations, although we believe that the disclosures made are adequate to make the information not misleading. In our opinion, the unaudited interim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These financial statements were prepared using information reasonably available to us as of June 30, 2024 and through the date of this Quarterly Report. The accounting estimates used in the preparation of the Company’s interim consolidated financial statements may change as new events occur, as more experience is acquired, as additional information is obtained and as the Company’s operating environment changes. Actual results may differ from these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Assets and liabilities of foreign subsidiaries as well as intra-entity balances denominated in foreign 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losses (gains), which are recorded within Other expense (income), net in the Unaudited Consolidated Statements of Income, for the three and six months ended June 30, 2024 and 2023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4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losses (gains)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recorded foreign currency losses and gains on long-term intra-entity transactions included as a component of foreign currency translation (losses) gains, net of tax, in the Unaudited Consolidated Statements of Comprehensive Income for the three and six months ended June 30, 2024 and 2023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4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3"/>
        </w:trPr>
        <w:tc>
          <w:tcPr>
            <w:tcW w:w="47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47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Foreign currency losses (gains) on long-term intra-entity</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 Credit Losses</w:t>
      </w:r>
    </w:p>
    <w:p>
      <w:pPr>
        <w:spacing w:after="0" w:line="121"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The Company's provision for credit losses is recorded within processing expenses in the Unaudited Consolidated Statements of Income.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provides payment solutions to our business, merchant, consumer and payment network customers. Our payment solutions are primarily focused on specific commercial spend or geographically-defined categories, including Vehicle Payments, Corporate Payments, Lodging Payments and Other. The Company provides solutions that help businesses of all sizes 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through our payment solutions. In this report, we refer to this net revenue as "revenue". Revenues from contracts with customers, within the scope of ASC 606, "Revenue Recognition", represent approximately 85% and 86% of total consolidated revenues, net, for the six months ended June 30, 2024 and 2023, respectively. In its cross-border payments business, the Company enters into foreign currency forwards, option derivative contracts and swaps for its customers to facilitate future payments in foreign currencies. These contracts are accounted for in accordance with ASC 815, "Derivatives and Hedging" and represent approximately 8% and 7% of total consolidated revenues for the six months ended June 30, 2024 and 2023, respectively. Additionally, 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4% and 6% of total consolidated revenues, net for the six months ended June 30, 2024 and 2023, respectively. The Company's remaining revenue represents float revenue earned on invested customer funds in jurisdictions where permitted. Such revenue represented approximately 3% and 1% of consolidated revenues, net for the six months ended June 30, 2024 and 2023,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net by segment for the three and six months ended June 30, 2024 and 2023 was as follows (in millions, except percentages):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Segment*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60" w:type="dxa"/>
            <w:vAlign w:val="bottom"/>
          </w:tcPr>
          <w:p>
            <w:pPr>
              <w:spacing w:after="0"/>
              <w:rPr>
                <w:sz w:val="18"/>
                <w:szCs w:val="18"/>
                <w:color w:val="auto"/>
              </w:rPr>
            </w:pPr>
          </w:p>
        </w:tc>
      </w:tr>
      <w:tr>
        <w:trPr>
          <w:trHeight w:val="21"/>
        </w:trPr>
        <w:tc>
          <w:tcPr>
            <w:tcW w:w="21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Payments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Payments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Payments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8"/>
        </w:trPr>
        <w:tc>
          <w:tcPr>
            <w:tcW w:w="2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r>
              <w:rPr>
                <w:rFonts w:ascii="Times New Roman" w:cs="Times New Roman" w:eastAsia="Times New Roman" w:hAnsi="Times New Roman"/>
                <w:sz w:val="18"/>
                <w:szCs w:val="18"/>
                <w:u w:val="single" w:color="auto"/>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r>
              <w:rPr>
                <w:rFonts w:ascii="Times New Roman" w:cs="Times New Roman" w:eastAsia="Times New Roman" w:hAnsi="Times New Roman"/>
                <w:sz w:val="18"/>
                <w:szCs w:val="18"/>
                <w:u w:val="single" w:color="auto"/>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geography for the three and six months ended June 30, 2024 and 2023 was as follows (in millions, except percentages):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 net by Geography*</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0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10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revenues,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contract liabilities for customers subject to ASC 606 were $41.8 million and $45.7 million as of June 30, 2024 and December 31, 2023, respectively. We expect to recognize approximately $29.9 million of these amounts in revenues within 12 months and the remaining $11.9 million over the next five years as of June 30, 2024. Revenue recognized in the six months ended June 30, 2024 that was included in the deferred revenue contract liability as of December 31, 2023 was approximately $22.2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Trade Offsetting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spot trades to facilitate cross-currency corporate payments in its cross-border payments business. The Company applies offsetting to spot trade assets and liabilities associated with contracts that include master netting agreements with the same counterparty, as a right of setoff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customer level, in its Consolidated Balance Sheets at their fair value. The following table presents the Company’s spot trade assets and liabilities at their fair value at June 30, 2024 and December 31, 2023 (in millions):</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4"/>
                <w:szCs w:val="14"/>
                <w:color w:val="auto"/>
              </w:rPr>
            </w:pPr>
          </w:p>
        </w:tc>
        <w:tc>
          <w:tcPr>
            <w:tcW w:w="138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rPr>
              <w:t>Offset on the</w:t>
            </w:r>
          </w:p>
        </w:tc>
        <w:tc>
          <w:tcPr>
            <w:tcW w:w="28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14"/>
                <w:szCs w:val="14"/>
                <w:color w:val="auto"/>
              </w:rPr>
            </w:pPr>
          </w:p>
        </w:tc>
        <w:tc>
          <w:tcPr>
            <w:tcW w:w="8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Offset on the</w:t>
            </w:r>
          </w:p>
        </w:tc>
        <w:tc>
          <w:tcPr>
            <w:tcW w:w="280" w:type="dxa"/>
            <w:vAlign w:val="bottom"/>
          </w:tcPr>
          <w:p>
            <w:pPr>
              <w:spacing w:after="0"/>
              <w:rPr>
                <w:sz w:val="14"/>
                <w:szCs w:val="14"/>
                <w:color w:val="auto"/>
              </w:rPr>
            </w:pPr>
          </w:p>
        </w:tc>
        <w:tc>
          <w:tcPr>
            <w:tcW w:w="9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(2,885.8)</w:t>
            </w:r>
          </w:p>
        </w:tc>
        <w:tc>
          <w:tcPr>
            <w:tcW w:w="1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1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disclosures for the prior period have been reclassified to conform with current segment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6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The ASU enhances disclosures about significant reportable segment expenses. The ASU is effective on a retrospective basis for fiscal years beginning after December 15, 2023, and interim periods within fiscal years beginning after December 15, 2024, with early adoption permitted. Upon transition, the segment expense categories and amounts disclosed in the prior periods should be based on the significant segment expense categories identified and disclosed in the period of adoption. We are currently evaluating the impact this guidance will have on the disclosures within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ASU 2023-09 should be applied on a prospective basis, but retrospective application is permitted. We are currently evaluating the impact that this guidance will have on the disclosures within our consolidated financial statements.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and securitized accounts receivable include the following at June 30, 2024 and December 31, 2023 (in thousands):</w:t>
      </w:r>
    </w:p>
    <w:p>
      <w:pPr>
        <w:spacing w:after="0" w:line="154"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domestic accounts receivable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1,118,540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921,206</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domestic securitized accounts receivable</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1,307,000</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foreign receivables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1,420,543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receivables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3,960,349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3,648,749</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accounts and securitized accounts receivables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3,821,011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3,468,586</w:t>
            </w:r>
          </w:p>
        </w:tc>
      </w:tr>
      <w:tr>
        <w:trPr>
          <w:trHeight w:val="21"/>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maintains a $1.7 billion revolving trade accounts receivable securitization facility (as amended from time to time, the "Securitization Facility"). Accounts receivable collateralized within our Securitization Facility primarily relate to trade receivables resulting primarily from charge card activity and other customer receivables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are generally financed with the sale of highly-rated commercial paper.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August 18, 2025.</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roll forward of the Company’s allowance for credit losses related to accounts receivable for the six months ended June 30, 2024 and 2023 is as follows (in thousands):</w:t>
      </w:r>
    </w:p>
    <w:p>
      <w:pPr>
        <w:spacing w:after="0" w:line="97" w:lineRule="exact"/>
        <w:rPr>
          <w:sz w:val="20"/>
          <w:szCs w:val="20"/>
          <w:color w:val="auto"/>
        </w:rPr>
      </w:pPr>
    </w:p>
    <w:tbl>
      <w:tblPr>
        <w:tblLayout w:type="fixed"/>
        <w:tblInd w:w="1780" w:type="dxa"/>
        <w:tblCellMar>
          <w:top w:w="0" w:type="dxa"/>
          <w:left w:w="0" w:type="dxa"/>
          <w:bottom w:w="0" w:type="dxa"/>
          <w:right w:w="0" w:type="dxa"/>
        </w:tblCellMar>
      </w:tblPr>
      <w:tr>
        <w:trPr>
          <w:trHeight w:val="215"/>
        </w:trPr>
        <w:tc>
          <w:tcPr>
            <w:tcW w:w="4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149,846</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r>
      <w:tr>
        <w:trPr>
          <w:trHeight w:val="230"/>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(65,167)</w:t>
            </w:r>
          </w:p>
        </w:tc>
      </w:tr>
      <w:tr>
        <w:trPr>
          <w:trHeight w:val="23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w:t>
            </w:r>
          </w:p>
        </w:tc>
      </w:tr>
      <w:tr>
        <w:trPr>
          <w:trHeight w:val="229"/>
        </w:trPr>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foreign currency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172,080</w:t>
            </w:r>
          </w:p>
        </w:tc>
      </w:tr>
      <w:tr>
        <w:trPr>
          <w:trHeight w:val="20"/>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provision for credit losses decreased during the six months ended June 30, 2024 versus the comparable prior period primarily due to improved customer loss rates in the Company's U.S. Vehicle Payments business. Write-offs include fully reserved receivables against the allowance.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financial assets and liabilities which are measured at fair value on a recurring basis as of June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0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173,613</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1,397,958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289,404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289,404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Overnight deposits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bills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for foreign exchange contracts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39,219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55,796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Cross-currency interest rate swap</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collateral obligation for foreign exchange contracts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180,168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June 30, 2024 and December 31, 2023.</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regularly evaluates the carrying value of its investments. The carrying amount of investments without readily determinable fair values was $64.0 million and $69.5 million at June 30, 2024 and December 31,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has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repurchased 3,251,047 shares for an aggregate purchase price of $949.1 million. Since the beginning of the Program through June 30, 2024, 32,129,909 shares have been repurchased for an aggregate purchase price of $7.5 billion, leaving the Company up to $0.6 billion of remaining authorization available under the Program for future repurchases of shares of its common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expense recognized within general and administrative expenses in the Unaudited Consolidated Statements of Income related to stock-based compensation for the three and six months ended June 30, 2024 and 2023 (in thousands):</w:t>
      </w:r>
    </w:p>
    <w:p>
      <w:pPr>
        <w:spacing w:after="0" w:line="90" w:lineRule="exact"/>
        <w:rPr>
          <w:sz w:val="20"/>
          <w:szCs w:val="20"/>
          <w:color w:val="auto"/>
        </w:rPr>
      </w:pPr>
    </w:p>
    <w:tbl>
      <w:tblPr>
        <w:tblLayout w:type="fixed"/>
        <w:tblInd w:w="94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3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w:t>
            </w:r>
          </w:p>
        </w:tc>
      </w:tr>
      <w:tr>
        <w:trPr>
          <w:trHeight w:val="229"/>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47,283</w:t>
            </w:r>
          </w:p>
        </w:tc>
      </w:tr>
      <w:tr>
        <w:trPr>
          <w:trHeight w:val="24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tax benefits recorded on stock-based compensation and upon the exercises of options were $18.4 million and $6.3 million for the six months ended June 30, 2024 and 2023, respectively.</w:t>
      </w:r>
    </w:p>
    <w:p>
      <w:pPr>
        <w:spacing w:after="0" w:line="5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unrecognized compensation cost related to outstanding stock awards as of June 30, 2024 (cost in thousands):</w:t>
      </w:r>
    </w:p>
    <w:p>
      <w:pPr>
        <w:spacing w:after="0" w:line="77" w:lineRule="exact"/>
        <w:rPr>
          <w:sz w:val="20"/>
          <w:szCs w:val="20"/>
          <w:color w:val="auto"/>
        </w:rPr>
      </w:pPr>
    </w:p>
    <w:tbl>
      <w:tblPr>
        <w:tblLayout w:type="fixed"/>
        <w:tblInd w:w="138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vMerge w:val="restart"/>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Period of Expense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center"/>
              <w:ind w:right="21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Recognition Remaining</w:t>
            </w:r>
          </w:p>
        </w:tc>
        <w:tc>
          <w:tcPr>
            <w:tcW w:w="0" w:type="dxa"/>
            <w:vAlign w:val="bottom"/>
          </w:tcPr>
          <w:p>
            <w:pPr>
              <w:spacing w:after="0"/>
              <w:rPr>
                <w:sz w:val="1"/>
                <w:szCs w:val="1"/>
                <w:color w:val="auto"/>
              </w:rPr>
            </w:pPr>
          </w:p>
        </w:tc>
      </w:tr>
      <w:tr>
        <w:trPr>
          <w:trHeight w:val="214"/>
        </w:trPr>
        <w:tc>
          <w:tcPr>
            <w:tcW w:w="4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2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79,240</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123,694</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summarizes the changes in the number of shares of stock options outstanding for the six months ended June 30, 2024 (shares and aggregate intrinsic value in thousands):</w:t>
      </w:r>
    </w:p>
    <w:tbl>
      <w:tblPr>
        <w:tblLayout w:type="fixed"/>
        <w:tblInd w:w="0" w:type="dxa"/>
        <w:tblCellMar>
          <w:top w:w="0" w:type="dxa"/>
          <w:left w:w="0" w:type="dxa"/>
          <w:bottom w:w="0" w:type="dxa"/>
          <w:right w:w="0" w:type="dxa"/>
        </w:tblCellMar>
      </w:tblPr>
      <w:tr>
        <w:trPr>
          <w:trHeight w:val="165"/>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4"/>
                <w:szCs w:val="14"/>
                <w:color w:val="auto"/>
              </w:rPr>
            </w:pPr>
          </w:p>
        </w:tc>
        <w:tc>
          <w:tcPr>
            <w:tcW w:w="1480" w:type="dxa"/>
            <w:vAlign w:val="bottom"/>
            <w:gridSpan w:val="3"/>
          </w:tcPr>
          <w:p>
            <w:pPr>
              <w:jc w:val="center"/>
              <w:ind w:right="37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Fair</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w w:val="97"/>
              </w:rPr>
              <w:t>Value of</w:t>
            </w:r>
          </w:p>
        </w:tc>
        <w:tc>
          <w:tcPr>
            <w:tcW w:w="102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20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Price of</w:t>
            </w:r>
          </w:p>
        </w:tc>
        <w:tc>
          <w:tcPr>
            <w:tcW w:w="180" w:type="dxa"/>
            <w:vAlign w:val="bottom"/>
          </w:tcPr>
          <w:p>
            <w:pPr>
              <w:spacing w:after="0"/>
              <w:rPr>
                <w:sz w:val="14"/>
                <w:szCs w:val="14"/>
                <w:color w:val="auto"/>
              </w:rPr>
            </w:pPr>
          </w:p>
        </w:tc>
        <w:tc>
          <w:tcPr>
            <w:tcW w:w="1480" w:type="dxa"/>
            <w:vAlign w:val="bottom"/>
            <w:gridSpan w:val="3"/>
          </w:tcPr>
          <w:p>
            <w:pPr>
              <w:jc w:val="center"/>
              <w:ind w:right="350"/>
              <w:spacing w:after="0" w:line="162" w:lineRule="exact"/>
              <w:rPr>
                <w:sz w:val="20"/>
                <w:szCs w:val="20"/>
                <w:color w:val="auto"/>
              </w:rPr>
            </w:pPr>
            <w:r>
              <w:rPr>
                <w:rFonts w:ascii="Times New Roman" w:cs="Times New Roman" w:eastAsia="Times New Roman" w:hAnsi="Times New Roman"/>
                <w:sz w:val="16"/>
                <w:szCs w:val="16"/>
                <w:b w:val="1"/>
                <w:bCs w:val="1"/>
                <w:color w:val="auto"/>
              </w:rPr>
              <w:t>Options</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8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at End of</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Exercisable</w:t>
            </w:r>
          </w:p>
        </w:tc>
        <w:tc>
          <w:tcPr>
            <w:tcW w:w="180" w:type="dxa"/>
            <w:vAlign w:val="bottom"/>
          </w:tcPr>
          <w:p>
            <w:pPr>
              <w:spacing w:after="0"/>
              <w:rPr>
                <w:sz w:val="14"/>
                <w:szCs w:val="14"/>
                <w:color w:val="auto"/>
              </w:rPr>
            </w:pPr>
          </w:p>
        </w:tc>
        <w:tc>
          <w:tcPr>
            <w:tcW w:w="1480" w:type="dxa"/>
            <w:vAlign w:val="bottom"/>
            <w:gridSpan w:val="3"/>
          </w:tcPr>
          <w:p>
            <w:pPr>
              <w:jc w:val="center"/>
              <w:ind w:right="410"/>
              <w:spacing w:after="0" w:line="162" w:lineRule="exact"/>
              <w:rPr>
                <w:sz w:val="20"/>
                <w:szCs w:val="20"/>
                <w:color w:val="auto"/>
              </w:rPr>
            </w:pPr>
            <w:r>
              <w:rPr>
                <w:rFonts w:ascii="Times New Roman" w:cs="Times New Roman" w:eastAsia="Times New Roman" w:hAnsi="Times New Roman"/>
                <w:sz w:val="16"/>
                <w:szCs w:val="16"/>
                <w:b w:val="1"/>
                <w:bCs w:val="1"/>
                <w:color w:val="auto"/>
              </w:rPr>
              <w:t>Granted</w:t>
            </w:r>
          </w:p>
        </w:tc>
        <w:tc>
          <w:tcPr>
            <w:tcW w:w="1020" w:type="dxa"/>
            <w:vAlign w:val="bottom"/>
          </w:tcPr>
          <w:p>
            <w:pPr>
              <w:jc w:val="center"/>
              <w:ind w:right="95"/>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660" w:type="dxa"/>
            <w:vAlign w:val="bottom"/>
            <w:gridSpan w:val="4"/>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rPr>
              <w:t>During the Period</w:t>
            </w: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25"/>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451,039</w:t>
            </w:r>
          </w:p>
        </w:tc>
        <w:tc>
          <w:tcPr>
            <w:tcW w:w="0" w:type="dxa"/>
            <w:vAlign w:val="bottom"/>
          </w:tcPr>
          <w:p>
            <w:pPr>
              <w:spacing w:after="0"/>
              <w:rPr>
                <w:sz w:val="1"/>
                <w:szCs w:val="1"/>
                <w:color w:val="auto"/>
              </w:rPr>
            </w:pPr>
          </w:p>
        </w:tc>
      </w:tr>
      <w:tr>
        <w:trPr>
          <w:trHeight w:val="230"/>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65,377</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226.62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314,694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to vest as of June 30, 2024</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exercisable at June 30, 2024 was $285.3 million. The weighted average remaining contractual term of options exercisable at June 30, 2024 was 2.9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number of shares of restricted stock awards and restricted stock units outstanding for the six months ended June 30, 2024 (shares in thousands):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1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4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center"/>
              <w:ind w:right="234"/>
              <w:spacing w:after="0" w:line="16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219.61</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276.44</w:t>
            </w:r>
          </w:p>
        </w:tc>
        <w:tc>
          <w:tcPr>
            <w:tcW w:w="0" w:type="dxa"/>
            <w:vAlign w:val="bottom"/>
          </w:tcPr>
          <w:p>
            <w:pPr>
              <w:spacing w:after="0"/>
              <w:rPr>
                <w:sz w:val="1"/>
                <w:szCs w:val="1"/>
                <w:color w:val="auto"/>
              </w:rPr>
            </w:pPr>
          </w:p>
        </w:tc>
      </w:tr>
      <w:tr>
        <w:trPr>
          <w:trHeight w:val="229"/>
        </w:trPr>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w:t>
            </w:r>
          </w:p>
        </w:tc>
        <w:tc>
          <w:tcPr>
            <w:tcW w:w="0" w:type="dxa"/>
            <w:vAlign w:val="bottom"/>
          </w:tcPr>
          <w:p>
            <w:pPr>
              <w:spacing w:after="0"/>
              <w:rPr>
                <w:sz w:val="1"/>
                <w:szCs w:val="1"/>
                <w:color w:val="auto"/>
              </w:rPr>
            </w:pPr>
          </w:p>
        </w:tc>
      </w:tr>
      <w:tr>
        <w:trPr>
          <w:trHeight w:val="230"/>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227.06</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20" w:type="dxa"/>
            <w:vAlign w:val="bottom"/>
            <w:tcBorders>
              <w:top w:val="single" w:sz="8" w:color="CCEEFF"/>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9880" w:firstLine="8"/>
        <w:spacing w:after="0" w:line="37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2024 Acquisitions</w:t>
      </w:r>
    </w:p>
    <w:p>
      <w:pPr>
        <w:spacing w:after="0" w:line="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2024, the Company acquired 70% of Zapay, a Brazil-based digital consumer mobility solution for paying vehicle-related taxes and compliance fees, for approximately $59.5 million, net of cash. As part of the agreement, the Company has the right to acquire the remainder of Zapay in four years from the acquisition date. The majority investment in Zapay further scales the Company's Vehicle Payments business in Brazil. Results from the Zapay acquisition have been included in the Company's Vehicle Payments segment from the date of the acquisition.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Acquisition accounting is preliminary for the Zapay acquisition as the Company is still completing the valuation for intangible assets, income taxes, working capital, contingencies and the non-controlling interest. The Company has preliminarily allocated the excess of the purchase price of the acquisition over the estimated assets acquired and liabilities assumed to goodwill and intangibles on a provisional basis, based on historical valuation outcomes. Further, the provisional amounts assigned to such intangibles of $18.6 million were preliminarily assigned to the customer relationship intangible asset. The provisional estimated fair value of the noncontrolling interest was based on the price the Company paid for its 70% controlling interest.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acquisition accounting for the Zapay acquisition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81,064</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r>
      <w:tr>
        <w:trPr>
          <w:trHeight w:val="22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87,600</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(28,057)</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May 2024, the Company signed definitive agreements to acquire 100% of Paymerang, a U.S.-based leader in accounts payables automation solutions, for approximately $469 million, net of cash. The acquisition expands Corpay's presence in several market verticals, including education, healthcare, hospitality and manufacturing. The acquisition of Paymerang closed on July 1, 2024, and thus the preliminary acquisition accounting has not yet been completed. The results of Paymerang will be reflected in the Company's Corporate Payments segment and financial statements during the third quarter of 2024.</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June 2024, the Company signed a definitive agreement to acquire 100% of GPS Capital Markets, LLC ("GPS") for approximately $725 million. GPS provides business-to-business cross-border and treasury management solutions to upper middle market companies, primarily in the U.S. The transaction is expected to close in early 2025, subject to regulatory approval and standard closing conditions and will be reflected in the Company's Corporate Payments segment.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Acquisitions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January 2023, the Company acquired 100% of Global Reach, a U.K.-based cross-border payments provider, for approximately $102.9 million, net of cash. In February 2023, the Company acquired the remainder of its investment in Mina Digital Limited ("Mina"), a cloud-based electric vehicle ("EV") charging software platform. In February 2023, the Company also acquired 100% of Business Gateway AG, a European-based service, maintenance and repair technology provider. In September 2023, the Company acquired 100% of PayByPhone Technologies, Inc., the world's second largest mobile parking operator, for approximately $301.9 million, net of cash. Each of these 2023 acquisitions provide incremental geographic expansion of our products, with PayByPhone specifically intended to progress the Company's broader strategy to transform our vehicle payments business. Results from these acquisitions have been included in the Company's consolidated results from the respective date of each acquisition. Results from the Global Reach Group are included in the Company's Corporate Payments segment and the results for Mina Digital Limited, Business Gateway AG and PayByPhone are included in the Company's Vehicle Payments segment.</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aggregate purchase price of these acquisitions was approximately $437.0 million (inclusive of the $8.5 million previously-held equity method investment in Mina), net of cash of $117 million. The Company financed the acquisitions using a combination of available cash and borrowings under its existing credit facility. Any noncompete agreements signed in conjunction with these acquisitions were accounted for separately from the business acquisition.</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Acquisition accounting is preliminary for PayByPhone as the Company is still completing the valuation for intangible assets, income taxes, working capital, and contingencies. Acquisition accounting for the other 2023 acquisitions was finalized during the first quarter of 2024 as the measurement period closed. There were no material measurement period adjustments recorded during the three and six months ended June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acquisition accounting, in aggregate, for the business acquisitions noted above (in thousands):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383,851</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158,689</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(25,238)</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(132,132)</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(18,923)</w:t>
            </w: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purchase price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435,273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intangible assets acquired and the related estimated useful lives consisted of the following (in thousands):</w:t>
      </w:r>
    </w:p>
    <w:p>
      <w:pPr>
        <w:spacing w:after="0" w:line="140" w:lineRule="exact"/>
        <w:rPr>
          <w:sz w:val="20"/>
          <w:szCs w:val="20"/>
          <w:color w:val="auto"/>
        </w:rPr>
      </w:pPr>
    </w:p>
    <w:tbl>
      <w:tblPr>
        <w:tblLayout w:type="fixed"/>
        <w:tblInd w:w="1580" w:type="dxa"/>
        <w:tblCellMar>
          <w:top w:w="0" w:type="dxa"/>
          <w:left w:w="0" w:type="dxa"/>
          <w:bottom w:w="0" w:type="dxa"/>
          <w:right w:w="0" w:type="dxa"/>
        </w:tblCellMar>
      </w:tblPr>
      <w:tr>
        <w:trPr>
          <w:trHeight w:val="238"/>
        </w:trPr>
        <w:tc>
          <w:tcPr>
            <w:tcW w:w="310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Useful Lives (in Years)</w:t>
            </w: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2 to Indefinite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1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5 to 7</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18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6 to 20</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134,345</w:t>
            </w:r>
          </w:p>
        </w:tc>
      </w:tr>
      <w:tr>
        <w:trPr>
          <w:trHeight w:val="223"/>
        </w:trPr>
        <w:tc>
          <w:tcPr>
            <w:tcW w:w="3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158,689</w:t>
            </w:r>
          </w:p>
        </w:tc>
      </w:tr>
      <w:tr>
        <w:trPr>
          <w:trHeight w:val="20"/>
        </w:trPr>
        <w:tc>
          <w:tcPr>
            <w:tcW w:w="31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changes in the Company’s goodwill is as follows (in thousands):</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Transferred to</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200" w:type="dxa"/>
            <w:vAlign w:val="bottom"/>
          </w:tcPr>
          <w:p>
            <w:pPr>
              <w:spacing w:after="0"/>
              <w:rPr>
                <w:sz w:val="16"/>
                <w:szCs w:val="16"/>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Acquisitions</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Accounting</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16"/>
                <w:szCs w:val="16"/>
                <w:b w:val="1"/>
                <w:bCs w:val="1"/>
                <w:color w:val="auto"/>
                <w:w w:val="99"/>
              </w:rPr>
              <w:t>Held for Sale</w:t>
            </w:r>
            <w:r>
              <w:rPr>
                <w:rFonts w:ascii="Times New Roman" w:cs="Times New Roman" w:eastAsia="Times New Roman" w:hAnsi="Times New Roman"/>
                <w:sz w:val="21"/>
                <w:szCs w:val="21"/>
                <w:b w:val="1"/>
                <w:bCs w:val="1"/>
                <w:color w:val="auto"/>
                <w:w w:val="99"/>
                <w:vertAlign w:val="superscript"/>
              </w:rPr>
              <w:t>2</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5,644,958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5,545,966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8"/>
        <w:spacing w:after="0" w:line="229"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recognition of goodwill assigned to the Vehicle Payments segment related to the Zapay acquisition completed by the Company during the six months ended June 30, 2024.</w:t>
      </w:r>
    </w:p>
    <w:p>
      <w:pPr>
        <w:spacing w:after="0" w:line="90" w:lineRule="exact"/>
        <w:rPr>
          <w:sz w:val="20"/>
          <w:szCs w:val="20"/>
          <w:color w:val="auto"/>
        </w:rPr>
      </w:pPr>
    </w:p>
    <w:p>
      <w:pPr>
        <w:ind w:left="5540" w:right="840" w:hanging="5532"/>
        <w:spacing w:after="0" w:line="528" w:lineRule="auto"/>
        <w:tabs>
          <w:tab w:leader="none" w:pos="11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reclassification of goodwill within the Vehicle Payments segment to held for sale during the second quarter of 2024. See Note 15.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of June 30, 2024 and December 31, 2023, other intangibles consisted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10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Avg</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Useful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1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Lives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14"/>
        </w:trPr>
        <w:tc>
          <w:tcPr>
            <w:tcW w:w="2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94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157"/>
        </w:trPr>
        <w:tc>
          <w:tcPr>
            <w:tcW w:w="218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Customer and vendor</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(1,561,013)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1,440,871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3,044,522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1,533,349</w:t>
            </w:r>
          </w:p>
        </w:tc>
        <w:tc>
          <w:tcPr>
            <w:tcW w:w="0" w:type="dxa"/>
            <w:vAlign w:val="bottom"/>
          </w:tcPr>
          <w:p>
            <w:pPr>
              <w:spacing w:after="0"/>
              <w:rPr>
                <w:sz w:val="1"/>
                <w:szCs w:val="1"/>
                <w:color w:val="auto"/>
              </w:rPr>
            </w:pPr>
          </w:p>
        </w:tc>
      </w:tr>
      <w:tr>
        <w:trPr>
          <w:trHeight w:val="176"/>
        </w:trPr>
        <w:tc>
          <w:tcPr>
            <w:tcW w:w="2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trademarks—indefinite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lived</w:t>
            </w: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440,900</w:t>
            </w:r>
          </w:p>
        </w:tc>
        <w:tc>
          <w:tcPr>
            <w:tcW w:w="0" w:type="dxa"/>
            <w:vAlign w:val="bottom"/>
          </w:tcPr>
          <w:p>
            <w:pPr>
              <w:spacing w:after="0"/>
              <w:rPr>
                <w:sz w:val="1"/>
                <w:szCs w:val="1"/>
                <w:color w:val="auto"/>
              </w:rPr>
            </w:pPr>
          </w:p>
        </w:tc>
      </w:tr>
      <w:tr>
        <w:trPr>
          <w:trHeight w:val="175"/>
        </w:trPr>
        <w:tc>
          <w:tcPr>
            <w:tcW w:w="2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Trade names and</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0" w:type="dxa"/>
            <w:vAlign w:val="bottom"/>
          </w:tcPr>
          <w:p>
            <w:pPr>
              <w:spacing w:after="0"/>
              <w:rPr>
                <w:sz w:val="1"/>
                <w:szCs w:val="1"/>
                <w:color w:val="auto"/>
              </w:rPr>
            </w:pPr>
          </w:p>
        </w:tc>
      </w:tr>
      <w:tr>
        <w:trPr>
          <w:trHeight w:val="229"/>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60,961</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0" w:type="dxa"/>
            <w:vAlign w:val="bottom"/>
          </w:tcPr>
          <w:p>
            <w:pPr>
              <w:spacing w:after="0"/>
              <w:rPr>
                <w:sz w:val="1"/>
                <w:szCs w:val="1"/>
                <w:color w:val="auto"/>
              </w:rPr>
            </w:pPr>
          </w:p>
        </w:tc>
      </w:tr>
      <w:tr>
        <w:trPr>
          <w:trHeight w:val="228"/>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3,851,458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(1,894,603)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1,956,855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3,921,823</w:t>
            </w:r>
          </w:p>
        </w:tc>
        <w:tc>
          <w:tcPr>
            <w:tcW w:w="1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(1,836,160)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-2540</wp:posOffset>
            </wp:positionV>
            <wp:extent cx="5048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8885"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-107315</wp:posOffset>
            </wp:positionV>
            <wp:extent cx="50488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4888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foreign exchange rates resulted in $36.9 million decrease to the net carrying values of other intangibles in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six months ended June 30, 2024 and 2023 was $110.6 million and $113.3 million,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party to a $7.0 billion Credit Agreement (the "Credit Agreement"), with Bank of America, N.A., as administrative agent, swing line lender and letter of credit issuer, and a syndicate of financial institutions (the "Lenders"), which has been amended multiple times. The Credit Agreement includes a term loan A, a term loan B, and a revolving credit facility. As noted in footnote 2, the Company is also party to the Securitization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balances of the Company’s debt instruments under the Credit Agreement and the Securitization Facility are as follows (in thousands):</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20"/>
                <w:szCs w:val="20"/>
                <w:color w:val="auto"/>
              </w:rPr>
            </w:pPr>
          </w:p>
        </w:tc>
        <w:tc>
          <w:tcPr>
            <w:tcW w:w="1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 note payable, net of discounts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2,882,595</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 note payable, net of discounts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1,840,244</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facilities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obligations</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5,415,905</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 Facility</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1,307,000</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2,515,744</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2,126,749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4,817,634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4,596,156</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7,333,378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6,722,905</w:t>
            </w:r>
          </w:p>
        </w:tc>
        <w:tc>
          <w:tcPr>
            <w:tcW w:w="0" w:type="dxa"/>
            <w:vAlign w:val="bottom"/>
          </w:tcPr>
          <w:p>
            <w:pPr>
              <w:spacing w:after="0"/>
              <w:rPr>
                <w:sz w:val="1"/>
                <w:szCs w:val="1"/>
                <w:color w:val="auto"/>
              </w:rPr>
            </w:pPr>
          </w:p>
        </w:tc>
      </w:tr>
      <w:tr>
        <w:trPr>
          <w:trHeight w:val="21"/>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financial and non-financial covenants under the Credit Agreement and Securitization Facility at June 30, 2024.</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Company’s total notes payable, credit agreements and other obligations at June 30, 2024 were as follows (in thousands):</w:t>
      </w:r>
    </w:p>
    <w:p>
      <w:pPr>
        <w:spacing w:after="0" w:line="216" w:lineRule="exact"/>
        <w:rPr>
          <w:sz w:val="20"/>
          <w:szCs w:val="20"/>
          <w:color w:val="auto"/>
        </w:rPr>
      </w:pPr>
    </w:p>
    <w:tbl>
      <w:tblPr>
        <w:tblLayout w:type="fixed"/>
        <w:tblInd w:w="2020" w:type="dxa"/>
        <w:tblCellMar>
          <w:top w:w="0" w:type="dxa"/>
          <w:left w:w="0" w:type="dxa"/>
          <w:bottom w:w="0" w:type="dxa"/>
          <w:right w:w="0" w:type="dxa"/>
        </w:tblCellMar>
      </w:tblP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1,019,501</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185,250</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185,250</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2,774,312</w:t>
            </w: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1,778,375</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5,942,688</w:t>
            </w: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discounts and issuance costs included in debt</w:t>
            </w: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credit agreements, and other obligations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Company's effective tax rate was 24.7% and 26.6% for the three months ended June 30, 2024 and 2023, respectively. Income tax expense is based on an estimated annual effective rate, which requires the Company to make its best estimate of annual pretax accounting income or loss before consideration of tax or benefit discretely recognized in the period in which such occur. Our effective income tax rate for the three months ended June 30,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June 30, 2024, the effective tax rate decreased compared to the three months ended June 30, 2023 due to discrete items of $7.0 million mainly attributable to changes in estimates of state tax apportionment percentages for prior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attributable to Corpay for the three and six months ended June 30, 2024 and 2023 is as follows (in thousands, except per share data):</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4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454,537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70,107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73,887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70,934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73,705</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Diluted earnings per share attributable to Corpay for the three months ended June 30, 2024 and 2023 excludes the effect of 0.5 million and 2.2 million shares, respectively, of common stock that may be issued upon the exercise of employee stock options because such effect would be anti-dilutive. Diluted earnings per share attributable to Corpay also excludes the effect of an immaterial amount of performance-based restricted stock for which the performance criteria have not yet been achieved for the three month periods ended June 30, 2024 and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reports information about its operating segments in accordance with the authoritative guidance related to segments. We manage and report our operating results through three reportable segments: Vehicle Payments, Corporate Payments and Lodging Payments. Our Gift and Payroll Card operating segments are included within Other. These segments align with how the Chief Operating Decision Maker (CODM) allocates resources, assesses performance and reviews financial information.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Company’s segment results are as follows for the three and six month periods ended June 30, 2024 and 2023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9"/>
        </w:trPr>
        <w:tc>
          <w:tcPr>
            <w:tcW w:w="39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8"/>
                <w:szCs w:val="18"/>
                <w:b w:val="1"/>
                <w:bCs w:val="1"/>
                <w:color w:val="auto"/>
                <w:vertAlign w:val="superscript"/>
              </w:rPr>
              <w:t>1</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8"/>
                <w:szCs w:val="18"/>
                <w:b w:val="1"/>
                <w:bCs w:val="1"/>
                <w:color w:val="auto"/>
                <w:vertAlign w:val="superscript"/>
              </w:rPr>
              <w:t>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510,278</w:t>
            </w:r>
          </w:p>
        </w:tc>
        <w:tc>
          <w:tcPr>
            <w:tcW w:w="10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509,630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1,004,339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1,005,120</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288,479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246,012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472,184</w:t>
            </w: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136,564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258,898</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113,305</w:t>
            </w:r>
          </w:p>
        </w:tc>
      </w:tr>
      <w:tr>
        <w:trPr>
          <w:trHeight w:val="223"/>
        </w:trPr>
        <w:tc>
          <w:tcPr>
            <w:tcW w:w="3940" w:type="dxa"/>
            <w:vAlign w:val="bottom"/>
          </w:tcPr>
          <w:p>
            <w:pPr>
              <w:spacing w:after="0"/>
              <w:rPr>
                <w:sz w:val="19"/>
                <w:szCs w:val="19"/>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975,710</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948,174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1,910,961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1,849,507</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242,025</w:t>
            </w:r>
          </w:p>
        </w:tc>
        <w:tc>
          <w:tcPr>
            <w:tcW w:w="10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232,506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467,720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455,986</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176,090</w:t>
            </w: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122,809</w:t>
            </w: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32,960</w:t>
            </w:r>
          </w:p>
        </w:tc>
      </w:tr>
      <w:tr>
        <w:trPr>
          <w:trHeight w:val="223"/>
        </w:trPr>
        <w:tc>
          <w:tcPr>
            <w:tcW w:w="3940" w:type="dxa"/>
            <w:vAlign w:val="bottom"/>
          </w:tcPr>
          <w:p>
            <w:pPr>
              <w:spacing w:after="0"/>
              <w:rPr>
                <w:sz w:val="19"/>
                <w:szCs w:val="19"/>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433,339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412,650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830,677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787,845</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3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Vehicle Payments</w:t>
            </w: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49,765</w:t>
            </w:r>
          </w:p>
        </w:tc>
        <w:tc>
          <w:tcPr>
            <w:tcW w:w="100" w:type="dxa"/>
            <w:vAlign w:val="bottom"/>
          </w:tcPr>
          <w:p>
            <w:pPr>
              <w:spacing w:after="0"/>
              <w:rPr>
                <w:sz w:val="19"/>
                <w:szCs w:val="19"/>
                <w:color w:val="auto"/>
              </w:rPr>
            </w:pP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102,276</w:t>
            </w:r>
          </w:p>
        </w:tc>
      </w:tr>
      <w:tr>
        <w:trPr>
          <w:trHeight w:val="22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Payments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37,939</w:t>
            </w:r>
          </w:p>
        </w:tc>
      </w:tr>
      <w:tr>
        <w:trPr>
          <w:trHeight w:val="229"/>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Lodging Payments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23"/>
        </w:trPr>
        <w:tc>
          <w:tcPr>
            <w:tcW w:w="3940" w:type="dxa"/>
            <w:vAlign w:val="bottom"/>
          </w:tcPr>
          <w:p>
            <w:pPr>
              <w:spacing w:after="0"/>
              <w:rPr>
                <w:sz w:val="19"/>
                <w:szCs w:val="19"/>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84,342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167,908</w:t>
            </w:r>
          </w:p>
        </w:tc>
      </w:tr>
      <w:tr>
        <w:trPr>
          <w:trHeight w:val="21"/>
        </w:trPr>
        <w:tc>
          <w:tcPr>
            <w:tcW w:w="39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from Zapay acquired in the first quarter of 2024 are reported in the Vehicle Payments segment from the date of acquisition.</w:t>
      </w:r>
    </w:p>
    <w:p>
      <w:pPr>
        <w:spacing w:after="0" w:line="6"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Results of the Company's Russian business disposed of in August 2023 are included in the Vehicle Payments segment for all periods prior to disposition.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7"/>
          <w:szCs w:val="17"/>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7"/>
          <w:szCs w:val="17"/>
          <w:color w:val="auto"/>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 w:cs="Times New Roman" w:eastAsia="Times New Roman" w:hAnsi="Times New Roman"/>
          <w:sz w:val="17"/>
          <w:szCs w:val="17"/>
          <w:i w:val="1"/>
          <w:iCs w:val="1"/>
          <w:color w:val="auto"/>
        </w:rPr>
        <w:t>Jerrell Whitten, derivatively on behalf of FleetCor Technologies, Inc.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Ronald F. Clarke and Eric R. Dey, against Mr. Clarke and Mr. Dey </w:t>
      </w:r>
      <w:r>
        <w:rPr>
          <w:rFonts w:ascii="Times New Roman" w:cs="Times New Roman" w:eastAsia="Times New Roman" w:hAnsi="Times New Roman"/>
          <w:sz w:val="17"/>
          <w:szCs w:val="17"/>
          <w:color w:val="auto"/>
        </w:rPr>
        <w:t>in Gwinnett County, Georgia. On May 1, 2024, both pending derivative cases were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 On July 10, 2024, the defendants filed a motion to dismiss the consolidated lawsuit. The defendants dispute the allegations in the consolidated derivative action and intend to vigorously defend against the claims.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w:t>
      </w:r>
    </w:p>
    <w:p>
      <w:pPr>
        <w:spacing w:after="0" w:line="7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December 20, 2019, the FTC filed a lawsuit in the Northern District of Georgia against the Company and Ron Clarke. See FTC v. FLEETCOR 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1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Financial Instruments and Hedging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transactions associated with the Company's cross-border solution include:</w:t>
      </w:r>
    </w:p>
    <w:p>
      <w:pPr>
        <w:spacing w:after="0" w:line="11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contracts, </w:t>
      </w:r>
      <w:r>
        <w:rPr>
          <w:rFonts w:ascii="Times New Roman" w:cs="Times New Roman" w:eastAsia="Times New Roman" w:hAnsi="Times New Roman"/>
          <w:sz w:val="18"/>
          <w:szCs w:val="18"/>
          <w:color w:val="auto"/>
        </w:rPr>
        <w:t>which are commitments to buy or sell at a future date a currency at a contract price and will be settled in cash.</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contracts</w:t>
      </w:r>
      <w:r>
        <w:rPr>
          <w:rFonts w:ascii="Times New Roman" w:cs="Times New Roman" w:eastAsia="Times New Roman" w:hAnsi="Times New Roman"/>
          <w:sz w:val="18"/>
          <w:szCs w:val="18"/>
          <w:color w:val="auto"/>
        </w:rPr>
        <w:t>, which give the purchaser the right, but not the obligation, to buy or sell within a specified time a currency at a contracted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settled in cash.</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Swap contracts</w:t>
      </w:r>
      <w:r>
        <w:rPr>
          <w:rFonts w:ascii="Times New Roman" w:cs="Times New Roman" w:eastAsia="Times New Roman" w:hAnsi="Times New Roman"/>
          <w:sz w:val="18"/>
          <w:szCs w:val="18"/>
          <w:color w:val="auto"/>
        </w:rPr>
        <w:t>, which are commitments to settlement in cash at a future date or dates, usually on an overnight basis.</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credit risk inherent in derivative agreements represents the possibility that a loss may occur from the nonperformance of a counterparty to the agreements. Concentrations of credit and performance risk may exist with counterparties, which includes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right="40"/>
        <w:spacing w:after="0" w:line="255" w:lineRule="auto"/>
        <w:rPr>
          <w:sz w:val="20"/>
          <w:szCs w:val="20"/>
          <w:color w:val="auto"/>
        </w:rPr>
      </w:pPr>
      <w:r>
        <w:rPr>
          <w:rFonts w:ascii="Times New Roman" w:cs="Times New Roman" w:eastAsia="Times New Roman" w:hAnsi="Times New Roman"/>
          <w:sz w:val="18"/>
          <w:szCs w:val="18"/>
          <w:color w:val="auto"/>
        </w:rPr>
        <w:t>customers and banking partners, as the Company is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spacing w:after="0" w:line="8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exchange derivative customer contracts held by the Company was $69.6 billion and $56.6 billion as of June 30, 2024 and December 31, 2023. The majority of customer foreign exchange contracts are written in currencies such as the U.S. dollar, Canadian dollar, British pound, euro and Australian dollar.</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derivatives reported in the Consolidated Balance Sheets as of June 30, 2024 and December 31, 2023 (in millions):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5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0"/>
        </w:trPr>
        <w:tc>
          <w:tcPr>
            <w:tcW w:w="60" w:type="dxa"/>
            <w:vAlign w:val="bottom"/>
            <w:tcBorders>
              <w:bottom w:val="single" w:sz="8" w:color="CCEEFF"/>
            </w:tcBorders>
          </w:tcPr>
          <w:p>
            <w:pPr>
              <w:spacing w:after="0"/>
              <w:rPr>
                <w:sz w:val="18"/>
                <w:szCs w:val="18"/>
                <w:color w:val="auto"/>
              </w:rPr>
            </w:pPr>
          </w:p>
        </w:tc>
        <w:tc>
          <w:tcPr>
            <w:tcW w:w="3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211"/>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60" w:type="dxa"/>
            <w:vAlign w:val="bottom"/>
          </w:tcPr>
          <w:p>
            <w:pPr>
              <w:spacing w:after="0"/>
              <w:rPr>
                <w:sz w:val="20"/>
                <w:szCs w:val="20"/>
                <w:color w:val="auto"/>
              </w:rPr>
            </w:pPr>
          </w:p>
        </w:tc>
        <w:tc>
          <w:tcPr>
            <w:tcW w:w="920" w:type="dxa"/>
            <w:vAlign w:val="bottom"/>
            <w:gridSpan w:val="3"/>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40" w:type="dxa"/>
            <w:vAlign w:val="bottom"/>
          </w:tcPr>
          <w:p>
            <w:pPr>
              <w:spacing w:after="0"/>
              <w:rPr>
                <w:sz w:val="20"/>
                <w:szCs w:val="20"/>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321.9</w:t>
            </w:r>
          </w:p>
        </w:tc>
        <w:tc>
          <w:tcPr>
            <w:tcW w:w="40" w:type="dxa"/>
            <w:vAlign w:val="bottom"/>
          </w:tcPr>
          <w:p>
            <w:pPr>
              <w:spacing w:after="0"/>
              <w:rPr>
                <w:sz w:val="20"/>
                <w:szCs w:val="20"/>
                <w:color w:val="auto"/>
              </w:rPr>
            </w:pPr>
          </w:p>
        </w:tc>
        <w:tc>
          <w:tcPr>
            <w:tcW w:w="960" w:type="dxa"/>
            <w:vAlign w:val="bottom"/>
            <w:gridSpan w:val="3"/>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60" w:type="dxa"/>
            <w:vAlign w:val="bottom"/>
          </w:tcPr>
          <w:p>
            <w:pPr>
              <w:spacing w:after="0"/>
              <w:rPr>
                <w:sz w:val="20"/>
                <w:szCs w:val="20"/>
                <w:color w:val="auto"/>
              </w:rPr>
            </w:pPr>
          </w:p>
        </w:tc>
      </w:tr>
      <w:tr>
        <w:trPr>
          <w:trHeight w:val="438"/>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 Gross</w:t>
            </w: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Net</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6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 undesignated:</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60" w:type="dxa"/>
            <w:vAlign w:val="bottom"/>
          </w:tcPr>
          <w:p>
            <w:pPr>
              <w:spacing w:after="0"/>
              <w:rPr>
                <w:sz w:val="20"/>
                <w:szCs w:val="20"/>
                <w:color w:val="auto"/>
              </w:rPr>
            </w:pPr>
          </w:p>
        </w:tc>
        <w:tc>
          <w:tcPr>
            <w:tcW w:w="920" w:type="dxa"/>
            <w:vAlign w:val="bottom"/>
            <w:gridSpan w:val="3"/>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40" w:type="dxa"/>
            <w:vAlign w:val="bottom"/>
          </w:tcPr>
          <w:p>
            <w:pPr>
              <w:spacing w:after="0"/>
              <w:rPr>
                <w:sz w:val="20"/>
                <w:szCs w:val="20"/>
                <w:color w:val="auto"/>
              </w:rPr>
            </w:pP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320.2</w:t>
            </w:r>
          </w:p>
        </w:tc>
        <w:tc>
          <w:tcPr>
            <w:tcW w:w="40" w:type="dxa"/>
            <w:vAlign w:val="bottom"/>
          </w:tcPr>
          <w:p>
            <w:pPr>
              <w:spacing w:after="0"/>
              <w:rPr>
                <w:sz w:val="20"/>
                <w:szCs w:val="20"/>
                <w:color w:val="auto"/>
              </w:rPr>
            </w:pPr>
          </w:p>
        </w:tc>
        <w:tc>
          <w:tcPr>
            <w:tcW w:w="960" w:type="dxa"/>
            <w:vAlign w:val="bottom"/>
            <w:gridSpan w:val="3"/>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20"/>
                <w:szCs w:val="20"/>
                <w:color w:val="auto"/>
              </w:rPr>
            </w:pPr>
          </w:p>
        </w:tc>
      </w:tr>
    </w:tbl>
    <w:p>
      <w:pPr>
        <w:spacing w:after="0" w:line="2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At June 30, 2024 and December 31, 2023, the Company had received collateral of $33.4 million and $39.2 million, respectively. The customer has the right to recall their collateral in the event exposures move in their favor or below the collateral posting thresholds,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At June 30, 2024 and December 31, 2023, the Company had posted collateral of</w:t>
      </w:r>
    </w:p>
    <w:p>
      <w:pPr>
        <w:spacing w:after="0" w:line="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$295.5 million and $180.2 million, respectively, which was not offset against the fair value of its derivatives. Cash flows from the Company's foreign currency derivatives are classified as operating activities within the Unaudited Consolidated Statements of Cash Flows. The following table presents the fair value of the Company’s derivative assets and liabilities, as well as their classification on the accompanying Consolidated Balance Sheets, as of June 30, 2024 and December 31, 2023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92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28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gridSpan w:val="3"/>
          </w:tcPr>
          <w:p>
            <w:pPr>
              <w:jc w:val="right"/>
              <w:ind w:right="14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40" w:type="dxa"/>
            <w:vAlign w:val="bottom"/>
          </w:tcPr>
          <w:p>
            <w:pPr>
              <w:spacing w:after="0"/>
              <w:rPr>
                <w:sz w:val="18"/>
                <w:szCs w:val="18"/>
                <w:color w:val="auto"/>
              </w:rPr>
            </w:pPr>
          </w:p>
        </w:tc>
      </w:tr>
      <w:tr>
        <w:trPr>
          <w:trHeight w:val="225"/>
        </w:trPr>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640" w:type="dxa"/>
            <w:vAlign w:val="bottom"/>
          </w:tcPr>
          <w:p>
            <w:pPr>
              <w:spacing w:after="0"/>
              <w:rPr>
                <w:sz w:val="19"/>
                <w:szCs w:val="19"/>
                <w:color w:val="auto"/>
              </w:rPr>
            </w:pPr>
          </w:p>
        </w:tc>
      </w:tr>
      <w:tr>
        <w:trPr>
          <w:trHeight w:val="229"/>
        </w:trPr>
        <w:tc>
          <w:tcPr>
            <w:tcW w:w="640" w:type="dxa"/>
            <w:vAlign w:val="bottom"/>
          </w:tcPr>
          <w:p>
            <w:pPr>
              <w:spacing w:after="0"/>
              <w:rPr>
                <w:sz w:val="19"/>
                <w:szCs w:val="19"/>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Assets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40" w:type="dxa"/>
            <w:vAlign w:val="bottom"/>
          </w:tcPr>
          <w:p>
            <w:pPr>
              <w:spacing w:after="0"/>
              <w:rPr>
                <w:sz w:val="19"/>
                <w:szCs w:val="19"/>
                <w:color w:val="auto"/>
              </w:rPr>
            </w:pPr>
          </w:p>
        </w:tc>
      </w:tr>
      <w:tr>
        <w:trPr>
          <w:trHeight w:val="230"/>
        </w:trPr>
        <w:tc>
          <w:tcPr>
            <w:tcW w:w="640" w:type="dxa"/>
            <w:vAlign w:val="bottom"/>
          </w:tcPr>
          <w:p>
            <w:pPr>
              <w:spacing w:after="0"/>
              <w:rPr>
                <w:sz w:val="19"/>
                <w:szCs w:val="19"/>
                <w:color w:val="auto"/>
              </w:rPr>
            </w:pPr>
          </w:p>
        </w:tc>
        <w:tc>
          <w:tcPr>
            <w:tcW w:w="2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64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40" w:type="dxa"/>
            <w:vAlign w:val="bottom"/>
          </w:tcPr>
          <w:p>
            <w:pPr>
              <w:spacing w:after="0"/>
              <w:rPr>
                <w:sz w:val="20"/>
                <w:szCs w:val="20"/>
                <w:color w:val="auto"/>
              </w:rPr>
            </w:pPr>
          </w:p>
        </w:tc>
      </w:tr>
      <w:tr>
        <w:trPr>
          <w:trHeight w:val="576"/>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6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During the six months ended June 30, 2024, the Company did not enter into any additional interest rate swaps. As of June 30, 2024, the Company had the following outstanding interest rate swap derivatives that qualify as hedging instruments within designated cash flow hedges of variable interest rate risk (in millions):</w:t>
      </w:r>
    </w:p>
    <w:p>
      <w:pPr>
        <w:spacing w:after="0" w:line="173" w:lineRule="exact"/>
        <w:rPr>
          <w:sz w:val="20"/>
          <w:szCs w:val="20"/>
          <w:color w:val="auto"/>
        </w:rPr>
      </w:pPr>
    </w:p>
    <w:tbl>
      <w:tblPr>
        <w:tblLayout w:type="fixed"/>
        <w:tblInd w:w="2700" w:type="dxa"/>
        <w:tblCellMar>
          <w:top w:w="0" w:type="dxa"/>
          <w:left w:w="0" w:type="dxa"/>
          <w:bottom w:w="0" w:type="dxa"/>
          <w:right w:w="0" w:type="dxa"/>
        </w:tblCellMar>
      </w:tblPr>
      <w:tr>
        <w:trPr>
          <w:trHeight w:val="215"/>
        </w:trPr>
        <w:tc>
          <w:tcPr>
            <w:tcW w:w="24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 Date</w:t>
            </w:r>
          </w:p>
        </w:tc>
      </w:tr>
      <w:tr>
        <w:trPr>
          <w:trHeight w:val="226"/>
        </w:trPr>
        <w:tc>
          <w:tcPr>
            <w:tcW w:w="2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7/31/2025</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1/31/2026</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3.72%</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7/31/2026</w:t>
            </w:r>
          </w:p>
        </w:tc>
      </w:tr>
      <w:tr>
        <w:trPr>
          <w:trHeight w:val="230"/>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7/31/2027</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7/31/2027</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3.87%</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30"/>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29"/>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8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1/31/2027</w:t>
            </w:r>
          </w:p>
        </w:tc>
      </w:tr>
      <w:tr>
        <w:trPr>
          <w:trHeight w:val="229"/>
        </w:trPr>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1/31/2028</w:t>
            </w:r>
          </w:p>
        </w:tc>
      </w:tr>
      <w:tr>
        <w:trPr>
          <w:trHeight w:val="234"/>
        </w:trPr>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1/31/2028</w:t>
            </w:r>
          </w:p>
        </w:tc>
      </w:tr>
    </w:tbl>
    <w:p>
      <w:pPr>
        <w:spacing w:after="0" w:line="22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the Company's unspecified variable rate debt, the sole source of which is due to changes in the SOFR benchmark interest rate. The Company has designated these derivative instruments as cash flow hedging instruments, which are 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$25.2 million and $12.4 million from accumulated other comprehensive loss resulting in a benefit to interest expense, net for the six months ended June 30, 2024 and 2023, respectively, related to these interest rate swap contracts. Cash flows related to the Company's interest rate swap derivatives are classified as operating activities within the Unaudited Consolidated Statements of Cash Flows, as such cash flows relate to hedged interest payments recorded in operating activities.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w:t>
      </w:r>
    </w:p>
    <w:p>
      <w:pPr>
        <w:spacing w:after="0" w:line="7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interest rate swap contracts, as well as their classification on the accompanying Consolidated Balance Sheets, as of June 30, 2024 and December 31, 2023 (in millions). See Note 3 for additional information on the fair value of the Company’s swap contracts.</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4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tcPr>
          <w:p>
            <w:pPr>
              <w:spacing w:after="0"/>
              <w:rPr>
                <w:sz w:val="18"/>
                <w:szCs w:val="18"/>
                <w:color w:val="auto"/>
              </w:rPr>
            </w:pPr>
          </w:p>
        </w:tc>
      </w:tr>
      <w:tr>
        <w:trPr>
          <w:trHeight w:val="166"/>
        </w:trPr>
        <w:tc>
          <w:tcPr>
            <w:tcW w:w="264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Derivatives designated as cash flow</w:t>
            </w:r>
          </w:p>
        </w:tc>
        <w:tc>
          <w:tcPr>
            <w:tcW w:w="3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3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3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30"/>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35.1</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 contracts</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2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June 30, 2024, the estimated net amount of the existing gains expected to be reclassified into earnings within the next 12 months is approximately $35.0 million.</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1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Company enters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6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June 30, 2024, the Company had the following cross-currency interest rate swaps designated as net investment hedges of our investments in foreign-denominated operations:</w:t>
      </w:r>
    </w:p>
    <w:p>
      <w:pPr>
        <w:spacing w:after="0" w:line="6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4/15/2027</w:t>
            </w:r>
          </w:p>
        </w:tc>
        <w:tc>
          <w:tcPr>
            <w:tcW w:w="0" w:type="dxa"/>
            <w:vAlign w:val="bottom"/>
          </w:tcPr>
          <w:p>
            <w:pPr>
              <w:spacing w:after="0"/>
              <w:rPr>
                <w:sz w:val="1"/>
                <w:szCs w:val="1"/>
                <w:color w:val="auto"/>
              </w:rPr>
            </w:pPr>
          </w:p>
        </w:tc>
      </w:tr>
      <w:tr>
        <w:trPr>
          <w:trHeight w:val="230"/>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5/7/2027</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Hedge effectiveness is tested based on changes in the fair value of the cross-currency swaps due to changes in the USD/foreign currency spot rates. The Company anticipates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The Company recognized a benefit of $5.1 million and $3.9 million in interest expense, net for the six months ended June 30, 2024 and 2023, respectively, related to these excluded components. Upon settlement, cash flows attributable to derivatives designated as net investment hedges are classified as investing activities in the Unaudited Consolidated Statements of Cash Flows.</w:t>
      </w:r>
    </w:p>
    <w:p>
      <w:pPr>
        <w:spacing w:after="0" w:line="6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cross-currency interest rate swaps designated as net investment hedges, as well as their classification on the accompanying Consolidated Balance Sheets, as of June 30, 2024 and December 31, 2023 (in millions).</w:t>
      </w:r>
    </w:p>
    <w:p>
      <w:pPr>
        <w:spacing w:after="0" w:line="97"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4"/>
        </w:trPr>
        <w:tc>
          <w:tcPr>
            <w:tcW w:w="2640" w:type="dxa"/>
            <w:vAlign w:val="bottom"/>
          </w:tcPr>
          <w:p>
            <w:pPr>
              <w:spacing w:after="0"/>
              <w:rPr>
                <w:sz w:val="18"/>
                <w:szCs w:val="18"/>
                <w:color w:val="auto"/>
              </w:rPr>
            </w:pPr>
          </w:p>
        </w:tc>
        <w:tc>
          <w:tcPr>
            <w:tcW w:w="378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c>
          <w:tcPr>
            <w:tcW w:w="144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20" w:type="dxa"/>
            <w:vAlign w:val="bottom"/>
          </w:tcPr>
          <w:p>
            <w:pPr>
              <w:spacing w:after="0"/>
              <w:rPr>
                <w:sz w:val="18"/>
                <w:szCs w:val="18"/>
                <w:color w:val="auto"/>
              </w:rPr>
            </w:pPr>
          </w:p>
        </w:tc>
      </w:tr>
      <w:tr>
        <w:trPr>
          <w:trHeight w:val="157"/>
        </w:trPr>
        <w:tc>
          <w:tcPr>
            <w:tcW w:w="264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Cross-currency interest rate swaps</w:t>
            </w:r>
          </w:p>
        </w:tc>
        <w:tc>
          <w:tcPr>
            <w:tcW w:w="3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75"/>
        </w:trPr>
        <w:tc>
          <w:tcPr>
            <w:tcW w:w="2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designated as net investment</w:t>
            </w:r>
          </w:p>
        </w:tc>
        <w:tc>
          <w:tcPr>
            <w:tcW w:w="3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hedges:</w:t>
            </w:r>
          </w:p>
        </w:tc>
        <w:tc>
          <w:tcPr>
            <w:tcW w:w="3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9"/>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investment hedge</w:t>
            </w:r>
          </w:p>
        </w:tc>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tcPr>
          <w:p>
            <w:pPr>
              <w:jc w:val="right"/>
              <w:ind w:right="123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8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Loss (AOCL)</w:t>
      </w:r>
    </w:p>
    <w:p>
      <w:pPr>
        <w:spacing w:after="0" w:line="121" w:lineRule="exact"/>
        <w:rPr>
          <w:sz w:val="20"/>
          <w:szCs w:val="20"/>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The changes in the components of AOCL, net of tax and noncontrolling interest, for the six months ended June 30, 2024 and 2023 are as follows (in thousands):</w:t>
      </w:r>
    </w:p>
    <w:p>
      <w:pPr>
        <w:spacing w:after="0" w:line="9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00" w:type="dxa"/>
            <w:vAlign w:val="bottom"/>
          </w:tcPr>
          <w:p>
            <w:pPr>
              <w:spacing w:after="0"/>
              <w:rPr>
                <w:sz w:val="11"/>
                <w:szCs w:val="11"/>
                <w:color w:val="auto"/>
              </w:rPr>
            </w:pPr>
          </w:p>
        </w:tc>
        <w:tc>
          <w:tcPr>
            <w:tcW w:w="164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(Losses)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0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(1,258,282)</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(30,817)</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(1,289,099)</w:t>
            </w:r>
          </w:p>
        </w:tc>
        <w:tc>
          <w:tcPr>
            <w:tcW w:w="0" w:type="dxa"/>
            <w:vAlign w:val="bottom"/>
          </w:tcPr>
          <w:p>
            <w:pPr>
              <w:spacing w:after="0"/>
              <w:rPr>
                <w:sz w:val="1"/>
                <w:szCs w:val="1"/>
                <w:color w:val="auto"/>
              </w:rPr>
            </w:pPr>
          </w:p>
        </w:tc>
      </w:tr>
      <w:tr>
        <w:trPr>
          <w:trHeight w:val="184"/>
        </w:trPr>
        <w:tc>
          <w:tcPr>
            <w:tcW w:w="4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ind w:left="736"/>
              <w:spacing w:after="0"/>
              <w:rPr>
                <w:sz w:val="20"/>
                <w:szCs w:val="20"/>
                <w:color w:val="auto"/>
              </w:rPr>
            </w:pPr>
            <w:r>
              <w:rPr>
                <w:rFonts w:ascii="Times New Roman" w:cs="Times New Roman" w:eastAsia="Times New Roman" w:hAnsi="Times New Roman"/>
                <w:sz w:val="18"/>
                <w:szCs w:val="18"/>
                <w:color w:val="auto"/>
              </w:rPr>
              <w:t>85,316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(169,389)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8"/>
                <w:szCs w:val="18"/>
                <w:color w:val="auto"/>
              </w:rPr>
              <w:t>(25,238)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(25,238)</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80" w:type="dxa"/>
            <w:vAlign w:val="bottom"/>
          </w:tcPr>
          <w:p>
            <w:pPr>
              <w:jc w:val="center"/>
              <w:ind w:left="696"/>
              <w:spacing w:after="0"/>
              <w:rPr>
                <w:sz w:val="20"/>
                <w:szCs w:val="20"/>
                <w:color w:val="auto"/>
              </w:rPr>
            </w:pPr>
            <w:r>
              <w:rPr>
                <w:rFonts w:ascii="Times New Roman" w:cs="Times New Roman" w:eastAsia="Times New Roman" w:hAnsi="Times New Roman"/>
                <w:sz w:val="18"/>
                <w:szCs w:val="18"/>
                <w:color w:val="auto"/>
              </w:rPr>
              <w:t>(15,259)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center"/>
              <w:ind w:left="736"/>
              <w:spacing w:after="0"/>
              <w:rPr>
                <w:sz w:val="20"/>
                <w:szCs w:val="20"/>
                <w:color w:val="auto"/>
              </w:rPr>
            </w:pPr>
            <w:r>
              <w:rPr>
                <w:rFonts w:ascii="Times New Roman" w:cs="Times New Roman" w:eastAsia="Times New Roman" w:hAnsi="Times New Roman"/>
                <w:sz w:val="18"/>
                <w:szCs w:val="18"/>
                <w:color w:val="auto"/>
              </w:rPr>
              <w:t>44,819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(209,886)</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(1,512,987)</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36"/>
              <w:spacing w:after="0"/>
              <w:rPr>
                <w:sz w:val="20"/>
                <w:szCs w:val="20"/>
                <w:color w:val="auto"/>
              </w:rPr>
            </w:pPr>
            <w:r>
              <w:rPr>
                <w:rFonts w:ascii="Times New Roman" w:cs="Times New Roman" w:eastAsia="Times New Roman" w:hAnsi="Times New Roman"/>
                <w:sz w:val="18"/>
                <w:szCs w:val="18"/>
                <w:color w:val="auto"/>
              </w:rPr>
              <w:t>14,002</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(1,498,985)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comprehensive loss attributable to the Company's noncontrolling interest, which are not included in the table above, for the six months ended June 30, 2024 consisted of foreign currency translation losses of $3.2 million.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140" w:type="dxa"/>
            <w:vAlign w:val="bottom"/>
          </w:tcPr>
          <w:p>
            <w:pPr>
              <w:spacing w:after="0"/>
              <w:rPr>
                <w:sz w:val="11"/>
                <w:szCs w:val="11"/>
                <w:color w:val="auto"/>
              </w:rPr>
            </w:pPr>
          </w:p>
        </w:tc>
        <w:tc>
          <w:tcPr>
            <w:tcW w:w="160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40" w:type="dxa"/>
            <w:vAlign w:val="bottom"/>
          </w:tcPr>
          <w:p>
            <w:pPr>
              <w:spacing w:after="0"/>
              <w:rPr>
                <w:sz w:val="11"/>
                <w:szCs w:val="11"/>
                <w:color w:val="auto"/>
              </w:rPr>
            </w:pPr>
          </w:p>
        </w:tc>
        <w:tc>
          <w:tcPr>
            <w:tcW w:w="1760" w:type="dxa"/>
            <w:vAlign w:val="bottom"/>
          </w:tcPr>
          <w:p>
            <w:pPr>
              <w:jc w:val="center"/>
              <w:ind w:right="76"/>
              <w:spacing w:after="0" w:line="134" w:lineRule="exact"/>
              <w:rPr>
                <w:sz w:val="20"/>
                <w:szCs w:val="20"/>
                <w:color w:val="auto"/>
              </w:rPr>
            </w:pPr>
            <w:r>
              <w:rPr>
                <w:rFonts w:ascii="Times New Roman" w:cs="Times New Roman" w:eastAsia="Times New Roman" w:hAnsi="Times New Roman"/>
                <w:sz w:val="14"/>
                <w:szCs w:val="14"/>
                <w:b w:val="1"/>
                <w:bCs w:val="1"/>
                <w:color w:val="auto"/>
              </w:rPr>
              <w:t>Total Accumulated Other</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Gains on Derivative</w:t>
            </w:r>
          </w:p>
        </w:tc>
        <w:tc>
          <w:tcPr>
            <w:tcW w:w="140" w:type="dxa"/>
            <w:vAlign w:val="bottom"/>
          </w:tcPr>
          <w:p>
            <w:pPr>
              <w:spacing w:after="0"/>
              <w:rPr>
                <w:sz w:val="12"/>
                <w:szCs w:val="12"/>
                <w:color w:val="auto"/>
              </w:rPr>
            </w:pPr>
          </w:p>
        </w:tc>
        <w:tc>
          <w:tcPr>
            <w:tcW w:w="1760" w:type="dxa"/>
            <w:vAlign w:val="bottom"/>
          </w:tcPr>
          <w:p>
            <w:pPr>
              <w:jc w:val="center"/>
              <w:ind w:right="76"/>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Currency Translation</w:t>
            </w:r>
          </w:p>
        </w:tc>
        <w:tc>
          <w:tcPr>
            <w:tcW w:w="14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7"/>
                <w:szCs w:val="17"/>
                <w:color w:val="auto"/>
              </w:rPr>
            </w:pPr>
          </w:p>
        </w:tc>
        <w:tc>
          <w:tcPr>
            <w:tcW w:w="17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Attributable to Corpay</w:t>
            </w:r>
          </w:p>
        </w:tc>
        <w:tc>
          <w:tcPr>
            <w:tcW w:w="0" w:type="dxa"/>
            <w:vAlign w:val="bottom"/>
          </w:tcPr>
          <w:p>
            <w:pPr>
              <w:spacing w:after="0"/>
              <w:rPr>
                <w:sz w:val="1"/>
                <w:szCs w:val="1"/>
                <w:color w:val="auto"/>
              </w:rPr>
            </w:pPr>
          </w:p>
        </w:tc>
      </w:tr>
      <w:tr>
        <w:trPr>
          <w:trHeight w:val="228"/>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(1,518,640)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(1,509,650)</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140,656</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152,387</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(1,377,984)</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(1,357,263)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Assets Held for Sale</w:t>
      </w:r>
    </w:p>
    <w:p>
      <w:pPr>
        <w:spacing w:after="0" w:line="256"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In May 2024, the Company signed a definitive agreement to sell certain non-core assets within the U.S. division of its Vehicle Payments segment (the "disposal group") to a third-party. The Company anticipates the transaction will close during the fourth quarter of 2024, subject to certain customary closing conditions. The Company determined that the disposal group met all of the required criteria to be classified as held for sale during the second quarter of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disposal group's fair value, based upon the estimated sales price less anticipated costs to sell, exceeds its carrying value. As such, the related assets and liabilities were recorded at their carrying value. In determining the carrying value of the disposal group, which represents a portion of one of the Company's reporting units, goodwill of approximately $58.2 million was allocated to the disposal group based on a relative fair value analysis.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June 30, 2024, the carrying value of the assets held for sale consists of current assets of approximately $20.4 million and goodwill of $58.2 million. The Company is in the process of estimating the impact of this transaction on its financial results, but expects to recognize a pre-tax gain on disposal.</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2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in our Annual Report on Form 10-K for the year ended December 31, 2023. All foreign currency amounts that have been converted into U.S. dollars in this discussion are based on the exchange rate as reported by Oanda for the applicable periods.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generally discusses the three and six months ended June 30, 2024 and 2023, with period-over-period comparisons between these periods. A detailed discussion of 2023 items and period-over-period comparisons between the three and six months ended June 30, 2023 and 2022 that are not included in this Quarterly Report on Form 10-Q can be found in "Management's Discussion and Analysis of Financial Condition and Results of Operations" in Part I, Item 2 of our Quarterly Report on Form 10-Q for the quarter ended June 30,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Effective March 25, 2024, FLEETCOR Technologies, Inc. changed its corporate name to Corpay, Inc. At that time, we ceased trading under the ticker symbol "FLT" and began trading under our new ticker symbol, "CPAY," on the New York Stock Exchange ("NYSE") effective March 25, 2024. Corpay is a global corporate payments company that helps businesses and consumers better manage, pay, and control their expenses. Corpay's suite of modern payment solutions help customers better manage vehicle-related expenses (e.g., fueling, tolls and parking), lodging expenses (e.g., hotel and extended stay bookings) and corporate payments (e.g., multi-card and domestic and international vendors). This results in our customers saving time and ultimately spending less. Since its incorporation in 2000, Corpay's payment and spend management solutions have been delivered in a variety of ways depending on the needs of the customer. From physical payment cards to software that includes customizable controls and robust payment capabilities, we provide businesses with a better way to pay.</w:t>
      </w:r>
    </w:p>
    <w:p>
      <w:pPr>
        <w:spacing w:after="0" w:line="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Businesses spend an estimated $135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Corpay’s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Geo-Political Events on Our Business</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current military conflicts between Russia and Ukraine, as well as within the Middle East continue to create substantial uncertainty about the global economy in the future. Although the length, impact and outcome of the ongoing military conflicts are highly unpredictable, these conflicts could lead to significant market and other disruptions. We exited the Russia market via the disposition of our Russia business, which closed in the third quarter of 2023 (see "Russia Disposition" section below), and we do not have material operations in Israel or Gaza. We cannot predict how and the extent to which these conflicts will affect our customers, operations or business partners or the demand for our products and our global business.</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actively monitoring the situations and assessing the impact on our business. The extent, severity, duration and outcome of the military conflicts, sanctions and resulting market disruptions could be significant and could potentially have substantial impact on the global economy and our business for an unknown period of time. Any such disruptions may also magnify the impact of other risks described herein and in our Annual Report on Form 10-K.</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Russia Disposition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completed the sale of our Russia business on August 15, 2023. The sale included the entirety of our operations in Russia and resulted in a complete exit from the Russia market. Our business in Russia accounted for approximately $49.8 million of our consolidated income before income taxes for the six months ended June 30, 2023. The Russia business was historically reported within our Vehicle Payments segment.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71" w:lineRule="exact"/>
        <w:rPr>
          <w:sz w:val="20"/>
          <w:szCs w:val="20"/>
          <w:color w:val="auto"/>
        </w:rPr>
      </w:pPr>
    </w:p>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Net Income Attributable to Corpay and Net Income Per Diluted Share Attributable to Corpay. </w:t>
      </w:r>
      <w:r>
        <w:rPr>
          <w:rFonts w:ascii="Times New Roman" w:cs="Times New Roman" w:eastAsia="Times New Roman" w:hAnsi="Times New Roman"/>
          <w:sz w:val="18"/>
          <w:szCs w:val="18"/>
          <w:color w:val="auto"/>
        </w:rPr>
        <w:t>Set forth below are revenues, net,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attributable to Corpay and net income per diluted share attributable to Corpay for the three and six months ended June 30, 2024 and 2023, (in millions, except per share amounts).</w:t>
      </w:r>
    </w:p>
    <w:p>
      <w:pPr>
        <w:spacing w:after="0" w:line="155"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Adjusted Net Income Per Diluted Share Attributable to Corpay, EBITDA and EBITDA margin. </w:t>
      </w:r>
      <w:r>
        <w:rPr>
          <w:rFonts w:ascii="Times New Roman" w:cs="Times New Roman" w:eastAsia="Times New Roman" w:hAnsi="Times New Roman"/>
          <w:sz w:val="18"/>
          <w:szCs w:val="18"/>
          <w:color w:val="auto"/>
        </w:rPr>
        <w:t>Set forth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are adjusted net income, adjusted net income per diluted share, EBITDA and EBITDA margin for the three and six months ended June 30, 2024 and 2023 (in millions, except per share amounts).</w:t>
      </w: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84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175"/>
        </w:trPr>
        <w:tc>
          <w:tcPr>
            <w:tcW w:w="4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Adjusted net income per diluted share attributable to</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Corpay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957.2</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Adjusted net income attributable to Corpay, adjusted net income per diluted share attributable to Corpay, EBITDA and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attributable to Corpay, adjusted net income per diluted share attributable to Corpay, EBITDA and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Corpay offers a variety of payment solutions that simplify, automate, secure, digitize and effectively control the way businesses and consumers manage and pay their expenses. We provide our payment solutions to our business, merchant, consumer and payment network customers in more than 150 countries around the world today, although we operate primarily in three geographies, with 82% of our revenues generated in the U.S., Brazil, and the U.K. Our customers may include commercial businesses (obtained through direct and indirect channels) and partners for whom we manage payment programs, as well as consumers.</w:t>
      </w:r>
    </w:p>
    <w:p>
      <w:pPr>
        <w:spacing w:after="0" w:line="21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manage and report our operating results through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revenue is generally reported net of the cost for underlying products and services purchased. In this report, we refer to this net revenue as “revenue" or "revenues, net." See “Results of Operations” for additional segment information.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net, by Segment. </w:t>
      </w:r>
      <w:r>
        <w:rPr>
          <w:rFonts w:ascii="Times New Roman" w:cs="Times New Roman" w:eastAsia="Times New Roman" w:hAnsi="Times New Roman"/>
          <w:sz w:val="18"/>
          <w:szCs w:val="18"/>
          <w:color w:val="auto"/>
        </w:rPr>
        <w:t>For the three and six months ended June 30, 2024 and 2023, our segments generated the following revenue (in millions).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Segment*</w:t>
            </w: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right"/>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22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8"/>
        </w:trPr>
        <w:tc>
          <w:tcPr>
            <w:tcW w:w="2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Payments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9"/>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Payments</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8"/>
        </w:trPr>
        <w:tc>
          <w:tcPr>
            <w:tcW w:w="2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 Other includes our Gift and Payroll Card businesses.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We also generate float revenue earned on invested customer funds in jurisdictions where permitted.</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In our cross-border payments business, the majority of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Revenues from risk management products and foreign exchange payment services are primarily comprised of the difference between the exchange rate we set for the customer and the rate available in the wholesale foreign exchange market. We also generate float revenue earned on invested customer funds in jurisdictions where permitted.</w:t>
      </w:r>
    </w:p>
    <w:p>
      <w:pPr>
        <w:spacing w:after="0" w:line="84"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spacing w:after="0" w:line="3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remaining revenues represent other solutions in our Gift and Payroll card businesses. In these businesses, we primarily earn revenue from the processing of transactions. We may also charge fees for ancillary services provided.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net, by Geography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geography for the three and six months ended June 30, 2024 and 2023, were as follows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4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35"/>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2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00" w:type="dxa"/>
            <w:vAlign w:val="bottom"/>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00" w:type="dxa"/>
            <w:vAlign w:val="bottom"/>
          </w:tcPr>
          <w:p>
            <w:pPr>
              <w:spacing w:after="0"/>
              <w:rPr>
                <w:sz w:val="11"/>
                <w:szCs w:val="11"/>
                <w:color w:val="auto"/>
              </w:rPr>
            </w:pPr>
          </w:p>
        </w:tc>
        <w:tc>
          <w:tcPr>
            <w:tcW w:w="1140" w:type="dxa"/>
            <w:vAlign w:val="bottom"/>
          </w:tcPr>
          <w:p>
            <w:pPr>
              <w:jc w:val="right"/>
              <w:ind w:right="159"/>
              <w:spacing w:after="0" w:line="135"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234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0" w:type="dxa"/>
            <w:vAlign w:val="bottom"/>
          </w:tcPr>
          <w:p>
            <w:pPr>
              <w:spacing w:after="0"/>
              <w:rPr>
                <w:sz w:val="1"/>
                <w:szCs w:val="1"/>
                <w:color w:val="auto"/>
              </w:rPr>
            </w:pPr>
          </w:p>
        </w:tc>
      </w:tr>
      <w:tr>
        <w:trPr>
          <w:trHeight w:val="229"/>
        </w:trPr>
        <w:tc>
          <w:tcPr>
            <w:tcW w:w="22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8"/>
        </w:trPr>
        <w:tc>
          <w:tcPr>
            <w:tcW w:w="2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revenues, net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*Columns may not calculate due to rounding.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Revenues, net by Key Performance Metric and Organic Growth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net by key performance metric and organic growth by segment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2024 and 2023, were as follows (in millions except revenues, net per key performance indicator)*:</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and Macro Adjusted</w:t>
            </w:r>
            <w:r>
              <w:rPr>
                <w:rFonts w:ascii="Times New Roman" w:cs="Times New Roman" w:eastAsia="Times New Roman" w:hAnsi="Times New Roman"/>
                <w:sz w:val="18"/>
                <w:szCs w:val="18"/>
                <w:b w:val="1"/>
                <w:bCs w:val="1"/>
                <w:color w:val="auto"/>
                <w:vertAlign w:val="superscript"/>
              </w:rPr>
              <w:t>2</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7"/>
                <w:szCs w:val="17"/>
                <w:color w:val="auto"/>
              </w:rPr>
            </w:pPr>
          </w:p>
        </w:tc>
      </w:tr>
      <w:tr>
        <w:trPr>
          <w:trHeight w:val="182"/>
        </w:trPr>
        <w:tc>
          <w:tcPr>
            <w:tcW w:w="1700" w:type="dxa"/>
            <w:vAlign w:val="bottom"/>
            <w:tcBorders>
              <w:top w:val="single" w:sz="8" w:color="CCEEFF"/>
              <w:left w:val="single" w:sz="8" w:color="CCEEFF"/>
              <w:bottom w:val="single" w:sz="8" w:color="auto"/>
            </w:tcBorders>
            <w:gridSpan w:val="4"/>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VEHICLE PAYMENTS</w:t>
            </w:r>
          </w:p>
        </w:tc>
        <w:tc>
          <w:tcPr>
            <w:tcW w:w="112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$510.3</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$509.6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$518.3</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$492.0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207.3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153.9</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207.3</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193.7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$3.31</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$2.50</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$2.54</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$(0.04)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0" w:type="dxa"/>
            <w:vAlign w:val="bottom"/>
          </w:tcPr>
          <w:p>
            <w:pPr>
              <w:spacing w:after="0"/>
              <w:rPr>
                <w:sz w:val="18"/>
                <w:szCs w:val="18"/>
                <w:color w:val="auto"/>
              </w:rPr>
            </w:pPr>
          </w:p>
        </w:tc>
      </w:tr>
      <w:tr>
        <w:trPr>
          <w:trHeight w:val="219"/>
        </w:trPr>
        <w:tc>
          <w:tcPr>
            <w:tcW w:w="40" w:type="dxa"/>
            <w:vAlign w:val="bottom"/>
            <w:tcBorders>
              <w:left w:val="single" w:sz="8" w:color="CCEEFF"/>
            </w:tcBorders>
            <w:shd w:val="clear" w:color="auto" w:fill="CCEEFF"/>
          </w:tcPr>
          <w:p>
            <w:pPr>
              <w:spacing w:after="0"/>
              <w:rPr>
                <w:sz w:val="19"/>
                <w:szCs w:val="19"/>
                <w:color w:val="auto"/>
              </w:rPr>
            </w:pPr>
          </w:p>
        </w:tc>
        <w:tc>
          <w:tcPr>
            <w:tcW w:w="2780" w:type="dxa"/>
            <w:vAlign w:val="bottom"/>
            <w:gridSpan w:val="7"/>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Tag transactions</w:t>
            </w:r>
            <w:r>
              <w:rPr>
                <w:rFonts w:ascii="Times New Roman" w:cs="Times New Roman" w:eastAsia="Times New Roman" w:hAnsi="Times New Roman"/>
                <w:sz w:val="21"/>
                <w:szCs w:val="21"/>
                <w:color w:val="000000"/>
                <w:vertAlign w:val="superscript"/>
              </w:rPr>
              <w:t>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21.4</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19.7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78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Parking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63.0</w:t>
            </w:r>
          </w:p>
        </w:tc>
        <w:tc>
          <w:tcPr>
            <w:tcW w:w="10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63.0</w:t>
            </w:r>
          </w:p>
        </w:tc>
        <w:tc>
          <w:tcPr>
            <w:tcW w:w="1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NM</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63.0</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56.8</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8"/>
                <w:szCs w:val="18"/>
                <w:color w:val="auto"/>
              </w:rPr>
            </w:pPr>
          </w:p>
        </w:tc>
      </w:tr>
      <w:tr>
        <w:trPr>
          <w:trHeight w:val="219"/>
        </w:trPr>
        <w:tc>
          <w:tcPr>
            <w:tcW w:w="40" w:type="dxa"/>
            <w:vAlign w:val="bottom"/>
            <w:tcBorders>
              <w:left w:val="single" w:sz="8" w:color="CCEEFF"/>
            </w:tcBorders>
            <w:shd w:val="clear" w:color="auto" w:fill="CCEEFF"/>
          </w:tcPr>
          <w:p>
            <w:pPr>
              <w:spacing w:after="0"/>
              <w:rPr>
                <w:sz w:val="19"/>
                <w:szCs w:val="19"/>
                <w:color w:val="auto"/>
              </w:rPr>
            </w:pPr>
          </w:p>
        </w:tc>
        <w:tc>
          <w:tcPr>
            <w:tcW w:w="278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Fleet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128.4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112.9</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111.4</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278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Other transactions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5.7</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20" w:type="dxa"/>
            <w:vAlign w:val="bottom"/>
          </w:tcPr>
          <w:p>
            <w:pPr>
              <w:spacing w:after="0"/>
              <w:rPr>
                <w:sz w:val="18"/>
                <w:szCs w:val="18"/>
                <w:color w:val="auto"/>
              </w:rPr>
            </w:pPr>
          </w:p>
        </w:tc>
      </w:tr>
      <w:tr>
        <w:trPr>
          <w:trHeight w:val="199"/>
        </w:trPr>
        <w:tc>
          <w:tcPr>
            <w:tcW w:w="1980" w:type="dxa"/>
            <w:vAlign w:val="bottom"/>
            <w:tcBorders>
              <w:left w:val="single" w:sz="8" w:color="CCEEFF"/>
              <w:bottom w:val="single" w:sz="8" w:color="auto"/>
            </w:tcBorders>
            <w:gridSpan w:val="6"/>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CORPORATE PAYMENTS</w:t>
            </w:r>
          </w:p>
        </w:tc>
        <w:tc>
          <w:tcPr>
            <w:tcW w:w="84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$288.5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$246.0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$42.5</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$289.6</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$246.0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Spend volume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$42,879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$6,846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$42,879</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$36,033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$6,845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 net per spend $</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(0.01)%</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0.68%</w:t>
            </w:r>
          </w:p>
        </w:tc>
        <w:tc>
          <w:tcPr>
            <w:tcW w:w="1060" w:type="dxa"/>
            <w:vAlign w:val="bottom"/>
            <w:gridSpan w:val="2"/>
          </w:tcPr>
          <w:p>
            <w:pPr>
              <w:jc w:val="center"/>
              <w:ind w:left="40"/>
              <w:spacing w:after="0"/>
              <w:rPr>
                <w:sz w:val="20"/>
                <w:szCs w:val="20"/>
                <w:color w:val="auto"/>
              </w:rPr>
            </w:pPr>
            <w:r>
              <w:rPr>
                <w:rFonts w:ascii="Times New Roman" w:cs="Times New Roman" w:eastAsia="Times New Roman" w:hAnsi="Times New Roman"/>
                <w:sz w:val="16"/>
                <w:szCs w:val="16"/>
                <w:color w:val="auto"/>
              </w:rPr>
              <w:t>0.68%</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0" w:type="dxa"/>
            <w:vAlign w:val="bottom"/>
          </w:tcPr>
          <w:p>
            <w:pPr>
              <w:spacing w:after="0"/>
              <w:rPr>
                <w:sz w:val="18"/>
                <w:szCs w:val="18"/>
                <w:color w:val="auto"/>
              </w:rPr>
            </w:pPr>
          </w:p>
        </w:tc>
      </w:tr>
      <w:tr>
        <w:trPr>
          <w:trHeight w:val="199"/>
        </w:trPr>
        <w:tc>
          <w:tcPr>
            <w:tcW w:w="1740" w:type="dxa"/>
            <w:vAlign w:val="bottom"/>
            <w:tcBorders>
              <w:left w:val="single" w:sz="8" w:color="CCEEFF"/>
              <w:bottom w:val="single" w:sz="8" w:color="auto"/>
            </w:tcBorders>
            <w:gridSpan w:val="5"/>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LODGING PAYMENTS</w:t>
            </w:r>
          </w:p>
        </w:tc>
        <w:tc>
          <w:tcPr>
            <w:tcW w:w="108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$122.4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$136.6</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$122.5</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$136.6</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$(14.1)</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Room nights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9.3</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0" w:type="dxa"/>
            <w:vAlign w:val="bottom"/>
          </w:tcPr>
          <w:p>
            <w:pPr>
              <w:spacing w:after="0"/>
              <w:rPr>
                <w:sz w:val="19"/>
                <w:szCs w:val="19"/>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room night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$13.99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$14.65</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$14.00</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$14.65</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$(0.65)</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0" w:type="dxa"/>
            <w:vAlign w:val="bottom"/>
          </w:tcPr>
          <w:p>
            <w:pPr>
              <w:spacing w:after="0"/>
              <w:rPr>
                <w:sz w:val="18"/>
                <w:szCs w:val="18"/>
                <w:color w:val="auto"/>
              </w:rPr>
            </w:pPr>
          </w:p>
        </w:tc>
      </w:tr>
      <w:tr>
        <w:trPr>
          <w:trHeight w:val="178"/>
        </w:trPr>
        <w:tc>
          <w:tcPr>
            <w:tcW w:w="2820" w:type="dxa"/>
            <w:vAlign w:val="bottom"/>
            <w:tcBorders>
              <w:left w:val="single" w:sz="8" w:color="CCEEFF"/>
            </w:tcBorders>
            <w:gridSpan w:val="8"/>
            <w:shd w:val="clear" w:color="auto" w:fill="CCEEFF"/>
          </w:tcPr>
          <w:p>
            <w:pPr>
              <w:ind w:left="20"/>
              <w:spacing w:after="0" w:line="179" w:lineRule="exact"/>
              <w:rPr>
                <w:sz w:val="20"/>
                <w:szCs w:val="20"/>
                <w:color w:val="auto"/>
              </w:rPr>
            </w:pPr>
            <w:r>
              <w:rPr>
                <w:rFonts w:ascii="Times New Roman" w:cs="Times New Roman" w:eastAsia="Times New Roman" w:hAnsi="Times New Roman"/>
                <w:sz w:val="15"/>
                <w:szCs w:val="15"/>
                <w:b w:val="1"/>
                <w:bCs w:val="1"/>
                <w:color w:val="auto"/>
              </w:rPr>
              <w:t>OTHER</w:t>
            </w:r>
            <w:r>
              <w:rPr>
                <w:rFonts w:ascii="Times New Roman" w:cs="Times New Roman" w:eastAsia="Times New Roman" w:hAnsi="Times New Roman"/>
                <w:sz w:val="20"/>
                <w:szCs w:val="20"/>
                <w:b w:val="1"/>
                <w:bCs w:val="1"/>
                <w:u w:val="single" w:color="auto"/>
                <w:color w:val="auto"/>
                <w:vertAlign w:val="superscript"/>
              </w:rPr>
              <w:t>1</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40" w:type="dxa"/>
            <w:vAlign w:val="bottom"/>
            <w:tcBorders>
              <w:top w:val="single" w:sz="8" w:color="auto"/>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82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$56.0</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$54.7</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$56.0</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0" w:type="dxa"/>
            <w:vAlign w:val="bottom"/>
          </w:tcPr>
          <w:p>
            <w:pPr>
              <w:spacing w:after="0"/>
              <w:rPr>
                <w:sz w:val="18"/>
                <w:szCs w:val="18"/>
                <w:color w:val="auto"/>
              </w:rPr>
            </w:pPr>
          </w:p>
        </w:tc>
      </w:tr>
      <w:tr>
        <w:trPr>
          <w:trHeight w:val="219"/>
        </w:trPr>
        <w:tc>
          <w:tcPr>
            <w:tcW w:w="2820" w:type="dxa"/>
            <w:vAlign w:val="bottom"/>
            <w:tcBorders>
              <w:left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Transactions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349.3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349.3</w:t>
            </w:r>
          </w:p>
        </w:tc>
        <w:tc>
          <w:tcPr>
            <w:tcW w:w="10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296.5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19"/>
                <w:szCs w:val="19"/>
                <w:color w:val="auto"/>
              </w:rPr>
            </w:pPr>
          </w:p>
        </w:tc>
      </w:tr>
      <w:tr>
        <w:trPr>
          <w:trHeight w:val="213"/>
        </w:trPr>
        <w:tc>
          <w:tcPr>
            <w:tcW w:w="28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 per transaction</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$0.19</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$0.16</w:t>
            </w:r>
          </w:p>
        </w:tc>
        <w:tc>
          <w:tcPr>
            <w:tcW w:w="1060" w:type="dxa"/>
            <w:vAlign w:val="bottom"/>
            <w:tcBorders>
              <w:bottom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$0.19</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$(0.03)</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20" w:type="dxa"/>
            <w:vAlign w:val="bottom"/>
            <w:tcBorders>
              <w:bottom w:val="single" w:sz="8" w:color="auto"/>
            </w:tcBorders>
          </w:tcPr>
          <w:p>
            <w:pPr>
              <w:spacing w:after="0"/>
              <w:rPr>
                <w:sz w:val="18"/>
                <w:szCs w:val="18"/>
                <w:color w:val="auto"/>
              </w:rPr>
            </w:pPr>
          </w:p>
        </w:tc>
      </w:tr>
      <w:tr>
        <w:trPr>
          <w:trHeight w:val="172"/>
        </w:trPr>
        <w:tc>
          <w:tcPr>
            <w:tcW w:w="40" w:type="dxa"/>
            <w:vAlign w:val="bottom"/>
            <w:tcBorders>
              <w:left w:val="single" w:sz="8" w:color="auto"/>
            </w:tcBorders>
            <w:shd w:val="clear" w:color="auto" w:fill="CCEEFF"/>
          </w:tcPr>
          <w:p>
            <w:pPr>
              <w:spacing w:after="0"/>
              <w:rPr>
                <w:sz w:val="14"/>
                <w:szCs w:val="14"/>
                <w:color w:val="auto"/>
              </w:rPr>
            </w:pPr>
          </w:p>
        </w:tc>
        <w:tc>
          <w:tcPr>
            <w:tcW w:w="2780" w:type="dxa"/>
            <w:vAlign w:val="bottom"/>
            <w:gridSpan w:val="7"/>
            <w:shd w:val="clear" w:color="auto" w:fill="CCEEFF"/>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CORPAY CONSOLIDATED</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3"/>
        </w:trPr>
        <w:tc>
          <w:tcPr>
            <w:tcW w:w="40" w:type="dxa"/>
            <w:vAlign w:val="bottom"/>
            <w:tcBorders>
              <w:top w:val="single" w:sz="8" w:color="CCEEFF"/>
              <w:left w:val="single" w:sz="8" w:color="auto"/>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REVENUES, NET</w:t>
            </w:r>
          </w:p>
        </w:tc>
        <w:tc>
          <w:tcPr>
            <w:tcW w:w="700" w:type="dxa"/>
            <w:vAlign w:val="bottom"/>
            <w:tcBorders>
              <w:top w:val="single" w:sz="8" w:color="auto"/>
              <w:bottom w:val="single" w:sz="8" w:color="CCEEFF"/>
            </w:tcBorders>
            <w:gridSpan w:val="4"/>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000000"/>
          </w:tcPr>
          <w:p>
            <w:pPr>
              <w:spacing w:after="0"/>
              <w:rPr>
                <w:sz w:val="14"/>
                <w:szCs w:val="14"/>
                <w:color w:val="auto"/>
              </w:rPr>
            </w:pPr>
          </w:p>
        </w:tc>
      </w:tr>
      <w:tr>
        <w:trPr>
          <w:trHeight w:val="213"/>
        </w:trPr>
        <w:tc>
          <w:tcPr>
            <w:tcW w:w="4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FFFFFF"/>
              </w:rPr>
              <w:t>'</w:t>
            </w:r>
            <w:r>
              <w:rPr>
                <w:rFonts w:ascii="Times New Roman" w:cs="Times New Roman" w:eastAsia="Times New Roman" w:hAnsi="Times New Roman"/>
                <w:sz w:val="16"/>
                <w:szCs w:val="16"/>
                <w:color w:val="000000"/>
              </w:rPr>
              <w:t>- Revenues, net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$975.7</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$948.2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$27.5</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$985.1</w:t>
            </w:r>
          </w:p>
        </w:tc>
        <w:tc>
          <w:tcPr>
            <w:tcW w:w="1060" w:type="dxa"/>
            <w:vAlign w:val="bottom"/>
            <w:tcBorders>
              <w:bottom w:val="single" w:sz="8" w:color="auto"/>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$930.6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90" w:lineRule="exact"/>
        <w:rPr>
          <w:sz w:val="20"/>
          <w:szCs w:val="20"/>
          <w:color w:val="auto"/>
        </w:rPr>
      </w:pPr>
    </w:p>
    <w:p>
      <w:pPr>
        <w:ind w:left="160" w:hanging="100"/>
        <w:spacing w:after="0"/>
        <w:tabs>
          <w:tab w:leader="none" w:pos="16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7" w:lineRule="exact"/>
        <w:rPr>
          <w:sz w:val="20"/>
          <w:szCs w:val="20"/>
          <w:color w:val="auto"/>
        </w:rPr>
      </w:pPr>
    </w:p>
    <w:p>
      <w:pPr>
        <w:ind w:left="60" w:right="300"/>
        <w:spacing w:after="0" w:line="209" w:lineRule="auto"/>
        <w:tabs>
          <w:tab w:leader="none" w:pos="153"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w:t>
      </w:r>
    </w:p>
    <w:p>
      <w:pPr>
        <w:spacing w:after="0" w:line="6" w:lineRule="exact"/>
        <w:rPr>
          <w:sz w:val="20"/>
          <w:szCs w:val="20"/>
          <w:color w:val="auto"/>
        </w:rPr>
      </w:pPr>
    </w:p>
    <w:p>
      <w:pPr>
        <w:ind w:left="60" w:right="3500"/>
        <w:spacing w:after="0" w:line="241" w:lineRule="auto"/>
        <w:tabs>
          <w:tab w:leader="none" w:pos="153"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total tag subscription transactions in the period. Average monthly tag subscriptions for 2024 is 7.1 million * Columns may not calculate due to rounding.</w:t>
      </w:r>
    </w:p>
    <w:p>
      <w:pPr>
        <w:spacing w:after="0" w:line="4" w:lineRule="exact"/>
        <w:rPr>
          <w:rFonts w:ascii="Times New Roman" w:cs="Times New Roman" w:eastAsia="Times New Roman" w:hAnsi="Times New Roman"/>
          <w:sz w:val="21"/>
          <w:szCs w:val="21"/>
          <w:color w:val="auto"/>
          <w:vertAlign w:val="superscript"/>
        </w:rPr>
      </w:pPr>
    </w:p>
    <w:p>
      <w:pPr>
        <w:ind w:left="6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NM = Not Meaningful</w:t>
      </w: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one-time item, and consistent acquisition/divestiture/non-recurring item basis is useful to investors for understanding the performance of Corpay.</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expenses in the following categories:</w:t>
      </w:r>
    </w:p>
    <w:p>
      <w:pPr>
        <w:spacing w:after="0" w:line="115" w:lineRule="exact"/>
        <w:rPr>
          <w:sz w:val="20"/>
          <w:szCs w:val="20"/>
          <w:color w:val="auto"/>
        </w:rPr>
      </w:pPr>
    </w:p>
    <w:p>
      <w:pPr>
        <w:ind w:left="660" w:right="8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Processing</w:t>
      </w:r>
      <w:r>
        <w:rPr>
          <w:rFonts w:ascii="Times New Roman" w:cs="Times New Roman" w:eastAsia="Times New Roman" w:hAnsi="Times New Roman"/>
          <w:sz w:val="18"/>
          <w:szCs w:val="18"/>
          <w:color w:val="auto"/>
        </w:rPr>
        <w:t>—Our processing expense consists of expenses related to processing transactions, servicing our customers and merchants,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cost of goods sold related to our hardware and card sales in certain businesses.</w:t>
      </w:r>
    </w:p>
    <w:p>
      <w:pPr>
        <w:spacing w:after="0" w:line="50" w:lineRule="exact"/>
        <w:rPr>
          <w:rFonts w:ascii="Times New Roman" w:cs="Times New Roman" w:eastAsia="Times New Roman" w:hAnsi="Times New Roman"/>
          <w:sz w:val="18"/>
          <w:szCs w:val="18"/>
          <w:i w:val="1"/>
          <w:iCs w:val="1"/>
          <w:color w:val="auto"/>
        </w:rPr>
      </w:pPr>
    </w:p>
    <w:p>
      <w:pPr>
        <w:ind w:left="660" w:right="2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w:t>
      </w:r>
      <w:r>
        <w:rPr>
          <w:rFonts w:ascii="Times New Roman" w:cs="Times New Roman" w:eastAsia="Times New Roman" w:hAnsi="Times New Roman"/>
          <w:sz w:val="18"/>
          <w:szCs w:val="18"/>
          <w:color w:val="auto"/>
        </w:rPr>
        <w:t>—Our selling expenses consist primarily of wages, benefits, sales commissions (other than merchant commissions) and related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sales, marketing and account management personnel and activities.</w:t>
      </w:r>
    </w:p>
    <w:p>
      <w:pPr>
        <w:spacing w:after="0" w:line="50"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—Our general and administrative expenses include compensation and related expenses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spacing w:after="0" w:line="71"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—Our depreciation expenses include depreciation of property and equipment, consisting of computer hardware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7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operating, net</w:t>
      </w:r>
      <w:r>
        <w:rPr>
          <w:rFonts w:ascii="Times New Roman" w:cs="Times New Roman" w:eastAsia="Times New Roman" w:hAnsi="Times New Roman"/>
          <w:sz w:val="18"/>
          <w:szCs w:val="18"/>
          <w:color w:val="auto"/>
        </w:rPr>
        <w:t>—Our other operating, net includes other operating expenses and income items that do not relate to our core operations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 infrequently.</w:t>
      </w:r>
    </w:p>
    <w:p>
      <w:pPr>
        <w:spacing w:after="0" w:line="50" w:lineRule="exact"/>
        <w:rPr>
          <w:rFonts w:ascii="Times New Roman" w:cs="Times New Roman" w:eastAsia="Times New Roman" w:hAnsi="Times New Roman"/>
          <w:sz w:val="18"/>
          <w:szCs w:val="18"/>
          <w:i w:val="1"/>
          <w:iCs w:val="1"/>
          <w:color w:val="auto"/>
        </w:rPr>
      </w:pPr>
    </w:p>
    <w:p>
      <w:pPr>
        <w:ind w:left="660" w:right="10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 (income), net</w:t>
      </w:r>
      <w:r>
        <w:rPr>
          <w:rFonts w:ascii="Times New Roman" w:cs="Times New Roman" w:eastAsia="Times New Roman" w:hAnsi="Times New Roman"/>
          <w:sz w:val="18"/>
          <w:szCs w:val="18"/>
          <w:color w:val="auto"/>
        </w:rPr>
        <w:t>—Our other expense (income), net includes gains or losses from the following: sales of assets or businesses,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transactions, extinguishment of debt, and investments. This category also includes other miscellaneous non-operating costs and revenue. Certain of these items may be presented separately on the Consolidated Statements of Income.</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—Our interest expense, net includes interest expense on our outstanding debt, interest income on cash balances and interest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interest rate and cross-currency swaps.</w:t>
      </w:r>
    </w:p>
    <w:p>
      <w:pPr>
        <w:spacing w:after="0" w:line="50" w:lineRule="exact"/>
        <w:rPr>
          <w:rFonts w:ascii="Times New Roman" w:cs="Times New Roman" w:eastAsia="Times New Roman" w:hAnsi="Times New Roman"/>
          <w:sz w:val="18"/>
          <w:szCs w:val="18"/>
          <w:color w:val="auto"/>
        </w:rPr>
      </w:pPr>
    </w:p>
    <w:p>
      <w:pPr>
        <w:ind w:left="660" w:right="10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—Our provision for income taxes consists of corporate income taxes related primarily to profits resulting from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products and services on a global basis.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factors and trends are important in understanding our financial performance:</w:t>
      </w:r>
    </w:p>
    <w:p>
      <w:pPr>
        <w:spacing w:after="0" w:line="115" w:lineRule="exact"/>
        <w:rPr>
          <w:sz w:val="20"/>
          <w:szCs w:val="20"/>
          <w:color w:val="auto"/>
        </w:rPr>
      </w:pPr>
    </w:p>
    <w:p>
      <w:pPr>
        <w:ind w:left="660" w:right="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economic conditions</w:t>
      </w:r>
      <w:r>
        <w:rPr>
          <w:rFonts w:ascii="Times New Roman" w:cs="Times New Roman" w:eastAsia="Times New Roman" w:hAnsi="Times New Roman"/>
          <w:sz w:val="18"/>
          <w:szCs w:val="18"/>
          <w:color w:val="auto"/>
        </w:rPr>
        <w:t>—Our results of operations are materially affected by conditions in the economy generally, in North America, Brazil,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U.K., and in other locations internationally, including the current conflict between Russia and Ukraine and other geopolitical events in the Middle East, as discussed elsewhere in this Quarterly Report on Form 10-Q. Factors affected by the economy include our transaction volumes, the credit risk of our customers and changes in tax laws across the globe. These factors affected our businesses in each of our segments.</w:t>
      </w:r>
    </w:p>
    <w:p>
      <w:pPr>
        <w:spacing w:after="0" w:line="71" w:lineRule="exact"/>
        <w:rPr>
          <w:rFonts w:ascii="Times New Roman" w:cs="Times New Roman" w:eastAsia="Times New Roman" w:hAnsi="Times New Roman"/>
          <w:sz w:val="18"/>
          <w:szCs w:val="18"/>
          <w:color w:val="auto"/>
        </w:rPr>
      </w:pPr>
    </w:p>
    <w:p>
      <w:pPr>
        <w:ind w:left="660" w:right="26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Foreign currency changes</w:t>
      </w:r>
      <w:r>
        <w:rPr>
          <w:rFonts w:ascii="Times New Roman" w:cs="Times New Roman" w:eastAsia="Times New Roman" w:hAnsi="Times New Roman"/>
          <w:sz w:val="18"/>
          <w:szCs w:val="18"/>
          <w:color w:val="auto"/>
        </w:rPr>
        <w:t>—Our results of operations are significantly impacted by changes in foreign currency exchange rates; namely,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movements of the Australian dollar, Brazilian real, British pound, Canadian dollar, Czech koruna, euro, Mexican peso, New Zealand dollar and Russian ruble (for periods prior to the disposition of our Russian business), relative to the U.S. dollar. Approximately 54% and 57% of our revenue in the six months ended June 30, 2024 and 2023, respectively, was derived in U.S. dollars and was not affected by foreign currency exchange rates. See "Results of Operations" for information related to foreign currency impact on our total revenue, net.</w:t>
      </w:r>
    </w:p>
    <w:p>
      <w:pPr>
        <w:spacing w:after="0" w:line="77" w:lineRule="exact"/>
        <w:rPr>
          <w:rFonts w:ascii="Times New Roman" w:cs="Times New Roman" w:eastAsia="Times New Roman" w:hAnsi="Times New Roman"/>
          <w:sz w:val="18"/>
          <w:szCs w:val="18"/>
          <w:b w:val="1"/>
          <w:bCs w:val="1"/>
          <w:i w:val="1"/>
          <w:iCs w:val="1"/>
          <w:color w:val="auto"/>
        </w:rPr>
      </w:pPr>
    </w:p>
    <w:p>
      <w:pPr>
        <w:ind w:left="6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 and liquidity risk from collateral calls.</w:t>
      </w:r>
    </w:p>
    <w:p>
      <w:pPr>
        <w:spacing w:after="0" w:line="67" w:lineRule="exact"/>
        <w:rPr>
          <w:rFonts w:ascii="Times New Roman" w:cs="Times New Roman" w:eastAsia="Times New Roman" w:hAnsi="Times New Roman"/>
          <w:sz w:val="18"/>
          <w:szCs w:val="18"/>
          <w:b w:val="1"/>
          <w:bCs w:val="1"/>
          <w:i w:val="1"/>
          <w:iCs w:val="1"/>
          <w:color w:val="auto"/>
        </w:rPr>
      </w:pPr>
    </w:p>
    <w:p>
      <w:pPr>
        <w:ind w:left="660" w:right="1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further manage the impact of economic changes in the value of certain foreign-denominated net assets by utilizing cross currency interest rate swaps. See "Liquidity and capital resources" below for information regarding our cross currency interest rate swaps.</w:t>
      </w:r>
    </w:p>
    <w:p>
      <w:pPr>
        <w:spacing w:after="0" w:line="51" w:lineRule="exact"/>
        <w:rPr>
          <w:rFonts w:ascii="Times New Roman" w:cs="Times New Roman" w:eastAsia="Times New Roman" w:hAnsi="Times New Roman"/>
          <w:sz w:val="18"/>
          <w:szCs w:val="18"/>
          <w:b w:val="1"/>
          <w:bCs w:val="1"/>
          <w:i w:val="1"/>
          <w:iCs w:val="1"/>
          <w:color w:val="auto"/>
        </w:rPr>
      </w:pPr>
    </w:p>
    <w:p>
      <w:pPr>
        <w:ind w:left="660" w:right="60" w:hanging="328"/>
        <w:spacing w:after="0" w:line="258" w:lineRule="auto"/>
        <w:tabs>
          <w:tab w:leader="none" w:pos="65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 price volatility</w:t>
      </w:r>
      <w:r>
        <w:rPr>
          <w:rFonts w:ascii="Times New Roman" w:cs="Times New Roman" w:eastAsia="Times New Roman" w:hAnsi="Times New Roman"/>
          <w:sz w:val="18"/>
          <w:szCs w:val="18"/>
          <w:color w:val="auto"/>
        </w:rPr>
        <w:t>—Our Vehicle Payments customers use our products and services primarily in connection with the purchase of fuel.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We estimate approximately 8% and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11% of revenues, net were directly impacted by changes in fuel price in the six months ended June 30, 2024 and 2023, respectively. See "Results of Operations" for information related to the fuel price impact on our total revenues, net.</w:t>
      </w:r>
    </w:p>
    <w:p>
      <w:pPr>
        <w:spacing w:after="0" w:line="52" w:lineRule="exact"/>
        <w:rPr>
          <w:sz w:val="20"/>
          <w:szCs w:val="20"/>
          <w:color w:val="auto"/>
        </w:rPr>
      </w:pPr>
    </w:p>
    <w:p>
      <w:pPr>
        <w:ind w:left="660" w:hanging="328"/>
        <w:spacing w:after="0" w:line="254" w:lineRule="auto"/>
        <w:tabs>
          <w:tab w:leader="none" w:pos="65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Fuel-price spread volatility</w:t>
      </w:r>
      <w:r>
        <w:rPr>
          <w:rFonts w:ascii="Times New Roman" w:cs="Times New Roman" w:eastAsia="Times New Roman" w:hAnsi="Times New Roman"/>
          <w:sz w:val="18"/>
          <w:szCs w:val="18"/>
          <w:color w:val="auto"/>
        </w:rPr>
        <w:t>—A portion of our revenue involves transactions where we derive revenue from fuel price spreads,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5% of revenues, net were directly impacted by fuel price spreads in the six months ended June 30, 2024 and 2023. See "Results of Operations" for information related to the fuel price spread impact on our total revenues, net.</w:t>
      </w:r>
    </w:p>
    <w:p>
      <w:pPr>
        <w:spacing w:after="0" w:line="77" w:lineRule="exact"/>
        <w:rPr>
          <w:rFonts w:ascii="Times New Roman" w:cs="Times New Roman" w:eastAsia="Times New Roman" w:hAnsi="Times New Roman"/>
          <w:sz w:val="18"/>
          <w:szCs w:val="18"/>
          <w:b w:val="1"/>
          <w:bCs w:val="1"/>
          <w:i w:val="1"/>
          <w:iCs w:val="1"/>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—Since 2002, we have completed over 95 acquisitions of companies and commercial account portfolios. Acquisitions have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85" w:lineRule="exact"/>
        <w:rPr>
          <w:rFonts w:ascii="Times New Roman" w:cs="Times New Roman" w:eastAsia="Times New Roman" w:hAnsi="Times New Roman"/>
          <w:sz w:val="18"/>
          <w:szCs w:val="18"/>
          <w:color w:val="auto"/>
        </w:rPr>
      </w:pPr>
    </w:p>
    <w:p>
      <w:pPr>
        <w:ind w:left="660" w:right="220" w:hanging="328"/>
        <w:spacing w:after="0" w:line="256" w:lineRule="auto"/>
        <w:tabs>
          <w:tab w:leader="none" w:pos="648" w:val="left"/>
        </w:tabs>
        <w:numPr>
          <w:ilvl w:val="0"/>
          <w:numId w:val="1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8"/>
          <w:szCs w:val="18"/>
          <w:i w:val="1"/>
          <w:iCs w:val="1"/>
          <w:color w:val="auto"/>
        </w:rPr>
        <w:t>Interest rates</w:t>
      </w:r>
      <w:r>
        <w:rPr>
          <w:rFonts w:ascii="Times New Roman" w:cs="Times New Roman" w:eastAsia="Times New Roman" w:hAnsi="Times New Roman"/>
          <w:sz w:val="18"/>
          <w:szCs w:val="18"/>
          <w:color w:val="auto"/>
        </w:rPr>
        <w:t>—From January 1, 2022 to July 27, 2023, the U.S. Federal Open Market Committee increased the target federal funds rate eleven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times for a total rate increase of 5.25%. Additional rate changes are possible in future periods. We are exposed to market risk changes in interest rates on our debt, particularly in rising interest rate environments, which is partially offset by incremental interest income earned on cash and restricted cash. As of June 30, 2024, we have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 See "Liquidity and capital resources" section below for additional information regarding our derivatives.</w:t>
      </w:r>
    </w:p>
    <w:p>
      <w:pPr>
        <w:spacing w:after="0" w:line="63" w:lineRule="exact"/>
        <w:rPr>
          <w:rFonts w:ascii="Times New Roman" w:cs="Times New Roman" w:eastAsia="Times New Roman" w:hAnsi="Times New Roman"/>
          <w:sz w:val="20"/>
          <w:szCs w:val="20"/>
          <w:b w:val="1"/>
          <w:bCs w:val="1"/>
          <w:i w:val="1"/>
          <w:iCs w:val="1"/>
          <w:color w:val="auto"/>
        </w:rPr>
      </w:pPr>
    </w:p>
    <w:p>
      <w:pPr>
        <w:ind w:left="660" w:right="48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—Over the long term, we expect that our expenses will decrease as a percentage of revenues as our revenues increase,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transaction volume processed. To support our expected revenue growth, we plan to continue to incur additional sales and marketing expense by investing in our direct marketing, third-party agents, internet marketing, telemarketing and field sales force.</w:t>
      </w:r>
    </w:p>
    <w:p>
      <w:pPr>
        <w:spacing w:after="0" w:line="65"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 Our effective tax rate is also subject to fluctuations driven by the impact of discrete tax items.</w:t>
      </w:r>
    </w:p>
    <w:p>
      <w:pPr>
        <w:spacing w:after="0" w:line="67" w:lineRule="exact"/>
        <w:rPr>
          <w:rFonts w:ascii="Times New Roman" w:cs="Times New Roman" w:eastAsia="Times New Roman" w:hAnsi="Times New Roman"/>
          <w:sz w:val="18"/>
          <w:szCs w:val="18"/>
          <w:color w:val="auto"/>
        </w:rPr>
      </w:pPr>
    </w:p>
    <w:p>
      <w:pPr>
        <w:ind w:left="660"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(“OECD”), continues to put forth various initiatives, including Pillar Two rules which include the introduction of a global minimum tax at a rate of 15%. European Union member states agreed to implement the OECD’s Pillar Two rules with effective dates of January 1, 2024 and January 1, 2025, for different aspects of the directive and most have already enacted legislation. A number of other countries are also implementing similar legislation. As of June 30, 2024, based on the countries in which we do business that have enacted legislation effective January 1, 2024, the impact of these rules to our financial statements was not material. This may change as other countries enact similar legislation and further guidance is released. We continue to closely monitor regulatory developments to assess potential impacts.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Investments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w:t>
      </w:r>
    </w:p>
    <w:p>
      <w:pPr>
        <w:spacing w:after="0" w:line="119" w:lineRule="exact"/>
        <w:rPr>
          <w:sz w:val="20"/>
          <w:szCs w:val="20"/>
          <w:color w:val="auto"/>
        </w:rPr>
      </w:pPr>
    </w:p>
    <w:p>
      <w:pPr>
        <w:ind w:left="660" w:right="4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acquired 70% of Zapay, a Brazil-based digital mobility solution for paying vehicle-related taxes and compliance fees, for approximately $59.5 million, net of cash. As part of the agreement, we have the right to acquire the remainder of Zapay in four years. The majority investment in Zapay further scales our Vehicle Payments business in Brazil.</w:t>
      </w:r>
    </w:p>
    <w:p>
      <w:pPr>
        <w:spacing w:after="0" w:line="67" w:lineRule="exact"/>
        <w:rPr>
          <w:rFonts w:ascii="Times New Roman" w:cs="Times New Roman" w:eastAsia="Times New Roman" w:hAnsi="Times New Roman"/>
          <w:sz w:val="18"/>
          <w:szCs w:val="18"/>
          <w:color w:val="auto"/>
        </w:rPr>
      </w:pPr>
    </w:p>
    <w:p>
      <w:pPr>
        <w:ind w:left="660" w:right="100" w:hanging="328"/>
        <w:spacing w:after="0" w:line="258" w:lineRule="auto"/>
        <w:tabs>
          <w:tab w:leader="none" w:pos="653" w:val="left"/>
        </w:tabs>
        <w:numPr>
          <w:ilvl w:val="0"/>
          <w:numId w:val="15"/>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 July 2024, we acquired 100% of Paymerang, a U.S. based leader in accounts payables automation solutions, for approximately $469 million, net of cash. The acquisition expands our presence in several market verticals, including education, healthcare, hospitality and manufacturing. The results of Paymerang will be reflected in our Corporate Payments segment and financial statements during the third quarter of 2024.</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660" w:right="4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signed a definitive agreement to sell certain non-core assets within the U.S. division of our Vehicle Payments segment to a third-party. We anticipate the transaction will close during the fourth quarter of 2024, subject to certain customary closing conditions. The disposal group was classified as held for sale during the second quarter of 2024.</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signed a definitive agreement to acquire 100% of GPS Capital Markets, LLC ("GPS") for approximately $725 million. GPS provides business-to-business cross-border and treasury management solutions to upper middle market companies, primarily in the U.S. The transaction is expected to close in early 2025, subject to regulatory approval and standard closing conditions. Upon closing, the results of GPS will be reflected in our Corporate Payments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19" w:lineRule="exact"/>
        <w:rPr>
          <w:sz w:val="20"/>
          <w:szCs w:val="20"/>
          <w:color w:val="auto"/>
        </w:rPr>
      </w:pPr>
    </w:p>
    <w:p>
      <w:pPr>
        <w:ind w:left="660" w:right="80" w:hanging="328"/>
        <w:spacing w:after="0" w:line="282"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2023, we acquired Global Reach, a U.K.-based cross-border payments provider, for approximately $102.9 million, net of cash. Results from Global Reach Group are reported in our Corporate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right="160" w:hanging="328"/>
        <w:spacing w:after="0" w:line="266"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February 2023, we acquired the remainder of Mina Digital Limited, a cloud-based electric vehicle ("EV") charging software platform, and we also acquired Business Gateway AG, a European-based vehicle maintenance provider, for a total of approximately $23.8 million, net of cash. Results from Mina Digital Limited and Business Gateway AG are reported in our Vehicle Payments segment.</w:t>
      </w:r>
    </w:p>
    <w:p>
      <w:pPr>
        <w:spacing w:after="0" w:line="67" w:lineRule="exact"/>
        <w:rPr>
          <w:rFonts w:ascii="Times New Roman" w:cs="Times New Roman" w:eastAsia="Times New Roman" w:hAnsi="Times New Roman"/>
          <w:sz w:val="18"/>
          <w:szCs w:val="18"/>
          <w:b w:val="1"/>
          <w:bCs w:val="1"/>
          <w:i w:val="1"/>
          <w:iCs w:val="1"/>
          <w:color w:val="auto"/>
        </w:rPr>
      </w:pPr>
    </w:p>
    <w:p>
      <w:pPr>
        <w:ind w:left="660" w:right="40" w:hanging="328"/>
        <w:spacing w:after="0" w:line="282"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September 2023, we acquired PayByPhone Technologies, Inc., a global mobile parking payment application, for approximately $301.9 million, net of cash. Results from PaybyPhone are reported in our Vehicle Payments segment.</w:t>
      </w:r>
    </w:p>
    <w:p>
      <w:pPr>
        <w:spacing w:after="0" w:line="53" w:lineRule="exact"/>
        <w:rPr>
          <w:rFonts w:ascii="Times New Roman" w:cs="Times New Roman" w:eastAsia="Times New Roman" w:hAnsi="Times New Roman"/>
          <w:sz w:val="18"/>
          <w:szCs w:val="18"/>
          <w:b w:val="1"/>
          <w:bCs w:val="1"/>
          <w:i w:val="1"/>
          <w:iCs w:val="1"/>
          <w:color w:val="auto"/>
        </w:rPr>
      </w:pPr>
    </w:p>
    <w:p>
      <w:pPr>
        <w:ind w:left="660" w:hanging="328"/>
        <w:spacing w:after="0" w:line="266" w:lineRule="auto"/>
        <w:tabs>
          <w:tab w:leader="none" w:pos="655"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the third quarter of 2023, we disposed of our Russian business for $197.0 million, net of cash disposed and net of a $5.6 million foreign exchange loss upon the conversion of the ruble-denominated proceeds to U.S. dollars. Results from our Russian business were previously included in our Vehicle Payments segment.</w:t>
      </w:r>
    </w:p>
    <w:p>
      <w:pPr>
        <w:spacing w:after="0" w:line="5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Each of the 2023 acquisitions provide incremental geographic expansion of our products, with PayByPhone specifically intended to progress our broader strategy to expand our vehicle payments business into the consumer market.</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the three months ended June 30, 2023</w:t>
      </w:r>
    </w:p>
    <w:p>
      <w:pPr>
        <w:spacing w:after="0" w:line="12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three months ended June 30, 2024 and 2023 (in millions, except percentages)*.</w:t>
      </w:r>
    </w:p>
    <w:tbl>
      <w:tblPr>
        <w:tblLayout w:type="fixed"/>
        <w:tblInd w:w="0" w:type="dxa"/>
        <w:tblCellMar>
          <w:top w:w="0" w:type="dxa"/>
          <w:left w:w="0" w:type="dxa"/>
          <w:bottom w:w="0" w:type="dxa"/>
          <w:right w:w="0" w:type="dxa"/>
        </w:tblCellMar>
      </w:tblPr>
      <w:tr>
        <w:trPr>
          <w:trHeight w:val="165"/>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 of Total</w:t>
            </w:r>
          </w:p>
        </w:tc>
        <w:tc>
          <w:tcPr>
            <w:tcW w:w="120" w:type="dxa"/>
            <w:vAlign w:val="bottom"/>
          </w:tcPr>
          <w:p>
            <w:pPr>
              <w:spacing w:after="0"/>
              <w:rPr>
                <w:sz w:val="14"/>
                <w:szCs w:val="14"/>
                <w:color w:val="auto"/>
              </w:rPr>
            </w:pPr>
          </w:p>
        </w:tc>
        <w:tc>
          <w:tcPr>
            <w:tcW w:w="1200" w:type="dxa"/>
            <w:vAlign w:val="bottom"/>
          </w:tcPr>
          <w:p>
            <w:pPr>
              <w:jc w:val="center"/>
              <w:ind w:right="31"/>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1"/>
              <w:spacing w:after="0" w:line="162" w:lineRule="exact"/>
              <w:rPr>
                <w:sz w:val="20"/>
                <w:szCs w:val="20"/>
                <w:color w:val="auto"/>
              </w:rPr>
            </w:pPr>
            <w:r>
              <w:rPr>
                <w:rFonts w:ascii="Times New Roman" w:cs="Times New Roman" w:eastAsia="Times New Roman" w:hAnsi="Times New Roman"/>
                <w:sz w:val="16"/>
                <w:szCs w:val="16"/>
                <w:b w:val="1"/>
                <w:bCs w:val="1"/>
                <w:color w:val="auto"/>
              </w:rPr>
              <w:t>Ended June 30,</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31"/>
              <w:spacing w:after="0" w:line="162" w:lineRule="exact"/>
              <w:rPr>
                <w:sz w:val="20"/>
                <w:szCs w:val="20"/>
                <w:color w:val="auto"/>
              </w:rPr>
            </w:pPr>
            <w:r>
              <w:rPr>
                <w:rFonts w:ascii="Times New Roman" w:cs="Times New Roman" w:eastAsia="Times New Roman" w:hAnsi="Times New Roman"/>
                <w:sz w:val="16"/>
                <w:szCs w:val="16"/>
                <w:b w:val="1"/>
                <w:bCs w:val="1"/>
                <w:color w:val="auto"/>
              </w:rPr>
              <w:t>Ended June 30,</w:t>
            </w: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6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Revenues, net</w:t>
            </w:r>
          </w:p>
        </w:tc>
        <w:tc>
          <w:tcPr>
            <w:tcW w:w="120" w:type="dxa"/>
            <w:vAlign w:val="bottom"/>
          </w:tcPr>
          <w:p>
            <w:pPr>
              <w:spacing w:after="0"/>
              <w:rPr>
                <w:sz w:val="18"/>
                <w:szCs w:val="18"/>
                <w:color w:val="auto"/>
              </w:rPr>
            </w:pPr>
          </w:p>
        </w:tc>
        <w:tc>
          <w:tcPr>
            <w:tcW w:w="120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Processing</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gain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Vehicle Payments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Payments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 Payments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Consolidated revenues were $975.7 million in the three months ended June 30, 2024, an increase of 2.9% compared to the prior period. The increase in consolidated revenues was due primarily to organic growth of 6%, driven by increases in spend and transaction volumes, implementation and ramping of new sales, and business initiatives. Consolidated revenues also grew 2% from acquisitions completed in 2023 and 2024, but were negatively impacted by approximately $32 million, or 3%, from the disposition of our Russia business in August 2023 and the impact of the macroeconomic environment.</w:t>
      </w:r>
    </w:p>
    <w:p>
      <w:pPr>
        <w:spacing w:after="0" w:line="7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on our consolidated revenues for the three months ended June 30, 2024 over the comparable period in 2023, driven primarily by unfavorable foreign exchange rates of approximately $9 million mostly in our Brazil business. The impact of slightly lower fuel price spreads was offset by the impact of slightly higher fuel prices.</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$209.2 million in the three months ended June 30, 2024, an increase of 1.9% compared to the prior period.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processing expenses were primarily due to approximately $7 million of expenses related to acquisitions completed in 2023 and 2024, higher variable expenses driven by increased transaction volumes and investments to drive future growth. The increases were partially offset by lower bad debt of $6 million due to our shift away from micro-SMB (small-medium business) clients in the U.S., the favorable impact of foreign exchange rates of approximately $2 million and the impact of the disposition of our Russia business of approximately $2 million.</w:t>
      </w:r>
    </w:p>
    <w:p>
      <w:pPr>
        <w:spacing w:after="0" w:line="7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$95.0 million in the three months ended June 30, 2024, an increase of 10.0%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increased commissions from higher sales volume and approximately $3 million of expenses related to acquisitions completed in 2023 and 2024. These increases were partially offset by the impact of the disposition of our Russia business of approximately $2 million and the slightly favorable impact of foreign exchange rates.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$153.8 million in the three months ended June 30, 2024, a decrease of 3.5%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period. The decrease in general and administrative expenses was primarily due to lower overhead expense due to disciplined expense management, lower stock-based compensation expense of approximately $6 million, the impact of the disposition of our Russia business of approximately $2 million and the slightly favorable impact of foreign exchange rates. These decreases were partially offset by the impact of acquisitions completed in 2023 and 2024 of approximately $6 million.</w:t>
      </w:r>
    </w:p>
    <w:p>
      <w:pPr>
        <w:spacing w:after="0" w:line="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$84.3 million in the three months ended June 30, 2024, a slight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0.8% from the prior period. Depreciation and amortization expenses increased due to incremental investments in capital expenditures and acquisitions completed in 2023 and 2024. These increases were offset by the impact of the disposition of our Russia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Consolidated operating income was $433.3 million in the three months ended June 30, 2024, an increase of 5.0% compared to the prior period. The increase in operating income was primarily due to the reasons discussed above, resulting in EBITDA margin expansion of 63 basis points over the prior period.</w:t>
      </w:r>
    </w:p>
    <w:p>
      <w:pPr>
        <w:spacing w:after="0" w:line="7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(income), net was $4.5 million in the three months ended June 30, 2024, which primarily represents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fluctuations in foreign exchange rates on non-functional currency balances.</w:t>
      </w:r>
    </w:p>
    <w:p>
      <w:pPr>
        <w:spacing w:after="0" w:line="4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$94.7 million in the three months ended June 30, 2024, an increase of $6.2 million from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net interest expense was primarily due to higher interest rates on increased borrowings and lower interest income due to the sale of our Russia business. The following table sets forth the average interest rates paid on borrowings under our Credit Facility, excluding the related unused facility fees and swaps.</w:t>
      </w:r>
    </w:p>
    <w:p>
      <w:pPr>
        <w:spacing w:after="0" w:line="25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r>
    </w:tbl>
    <w:p>
      <w:pPr>
        <w:spacing w:after="0" w:line="1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three months ended June 30, 2024, as a result of these swap contracts and net investment hedges, we recorded a benefit to interest expense of $15.6 million.</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$82.5 million and 24.7%, respectively,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2024, compared to $86.9 million and 26.6%, respectively, for the prior period. Income tax expense is based on an estimated annual effective rate, which requires us to make our best estimate of annual pretax accounting income or loss before consideration of tax or benefit discretely recognized in the period in which such occur. Our effective income tax rate for the three months ended June 30, 2024 differs from the U.S. federal statutory rate due primarily to the unfavorable impact of state taxes net of federal benefits, additional taxes on undistributed foreign-sourced income, and foreign withholding taxes on interest income from intercompany notes. For the three months ended June 30, 2024, the effective tax rate decreased compared to the prior period of $7 million mainly attributable to adjustments of state tax apportionment percentages for prior years.</w:t>
      </w:r>
    </w:p>
    <w:p>
      <w:pPr>
        <w:spacing w:after="0" w:line="7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$251.6 million, or 5.0%,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during the three months ended June 30, 2024.</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2"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Vehicle Payments revenues were $510.3 million in the three months ended June 30, 2024, a slight increase of 0.1%. Revenues were negatively impacted by the disposition of our Russia business in August 2023, which lowered revenue by approximately $32 million and the negative impact of the macroeconomic environment of approximately $8 million, driven primarily by unfavorable changes in foreign exchange rates on revenue of $8 million. Offsetting this decrease was organic revenue growth of 5% driven by new sales growth in our international markets, as well as the impact of acquisitions, which contributed approximately $15 million in revenue.</w:t>
      </w:r>
    </w:p>
    <w:p>
      <w:pPr>
        <w:spacing w:after="0" w:line="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Vehicle Payments operating income was $242.0 million in the three months ended June 30, 2024, an increase of 4.1% compared to the prior period, despite the impact of the disposition of our Russia business, which resulted in lower operating income of approximately $25 million. This impact of this disposition was more than offset by organic revenue growth described above, as well as lower bad debt of approximately $11 million, as we shifted away from micro-SMB clients to higher credit quality customers in the U.S. in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$288.5 million in the three months ended June 30, 2024, an increase of 17.3%, from the prior period. Corporate Payments revenues increased primarily due to organic revenue growth of 18%, driven by 19% growth in spend volume and strong new sales in our payables and cross-border solutions.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Corporate Payments operating income was $120.6 million in the three months ended June 30, 2024, an increase of 26.0% from the prior period. Corporate Payments operating income and margin increased primarily due to organic revenue growth, operating leverage and integration synergies, as revenues grew faster than expenses, partially offset by higher selling expenses incurred to grow the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Lodging Payments revenues were $122.4 million in the three months ended June 30, 2024, a decrease of 10.4% from the prior period. The decrease in Lodging Payments revenues was primarily due to a 6% decline in room nights as compared to the prior year, as well as insurance commissions recognized in the prior year that did not recur in 2024.</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$56.4 million in the three months ended June 30, 2024, a decrease of 17.3% from the prior period. Lodging Payments operating income and margin declined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Other revenues were $54.6 million in the three months ended June 30, 2024, a decrease of 2.5% from the prior period, primarily due to lower volume in our payroll card business.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operating income was $14.4 million in the three months ended June 30, 2024, a decrease of 11% from the prior period, with the decrease primarily due to a decline in the payroll card revenue.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the six months ended June 30, 2023</w:t>
      </w:r>
    </w:p>
    <w:p>
      <w:pPr>
        <w:spacing w:after="0" w:line="12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following table sets forth selected unaudited consolidated statements of income for the six months ended June 30, 2024 and 2023 (in millions, except percentages)*.</w:t>
      </w:r>
    </w:p>
    <w:tbl>
      <w:tblPr>
        <w:tblLayout w:type="fixed"/>
        <w:tblInd w:w="0" w:type="dxa"/>
        <w:tblCellMar>
          <w:top w:w="0" w:type="dxa"/>
          <w:left w:w="0" w:type="dxa"/>
          <w:bottom w:w="0" w:type="dxa"/>
          <w:right w:w="0" w:type="dxa"/>
        </w:tblCellMar>
      </w:tblPr>
      <w:tr>
        <w:trPr>
          <w:trHeight w:val="165"/>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4"/>
                <w:szCs w:val="14"/>
                <w:color w:val="auto"/>
              </w:rPr>
            </w:pPr>
          </w:p>
        </w:tc>
        <w:tc>
          <w:tcPr>
            <w:tcW w:w="1340" w:type="dxa"/>
            <w:vAlign w:val="bottom"/>
          </w:tcPr>
          <w:p>
            <w:pPr>
              <w:jc w:val="right"/>
              <w:ind w:right="31"/>
              <w:spacing w:after="0" w:line="165" w:lineRule="exact"/>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134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4"/>
                <w:szCs w:val="14"/>
                <w:color w:val="auto"/>
              </w:rPr>
            </w:pPr>
          </w:p>
        </w:tc>
        <w:tc>
          <w:tcPr>
            <w:tcW w:w="134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rPr>
              <w:t>% of Total</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line="165"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24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Revenues, net</w:t>
            </w: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Revenues, net</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0"/>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1,849.5</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expenses: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9"/>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gain</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6"/>
              </w:rPr>
              <w:t>NM</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481.5</w:t>
            </w:r>
          </w:p>
        </w:tc>
        <w:tc>
          <w:tcPr>
            <w:tcW w:w="1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by segment: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Vehicle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Payments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Lodging Payments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the columns and rows may not calculate due to rounding.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 net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Consolidated revenues were $1,911.0 million in the six months ended June 30, 2024, an increase of 3.3% compared to the prior period. The increase in consolidated revenues was due primarily to organic growth of 6%, driven by increases in spend and transaction volumes, implementation and ramping of new sales, and business initiatives. Consolidated revenues also grew 1% from acquisitions completed in 2023 and 2024, but were negatively impacted by approximately $64 million, or 3%, from the disposition of our Russia business in August 2023 and the negative impact of the macroeconomic environment.</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cannot precisely measure the impact of the macroeconomic environment, in total we believe it had a negative impact on our consolidated revenues for the six months ended June 30, 2024 over the comparable period in 2023, driven primarily by unfavorable fuel price spreads of approximately $7 million and the unfavorable impact of fuel prices of approximately $3 million, partially offset by favorable foreign exchange rates of approximately $4 million, mostly in our U.K. and Mexico businesses.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expenses</w:t>
      </w:r>
    </w:p>
    <w:p>
      <w:pPr>
        <w:spacing w:after="0" w:line="104"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Processing. </w:t>
      </w:r>
      <w:r>
        <w:rPr>
          <w:rFonts w:ascii="Times New Roman" w:cs="Times New Roman" w:eastAsia="Times New Roman" w:hAnsi="Times New Roman"/>
          <w:sz w:val="18"/>
          <w:szCs w:val="18"/>
          <w:color w:val="auto"/>
        </w:rPr>
        <w:t>Processing expenses were $416.6 million in the six months ended June 30, 2024, an increase of 1.6% compared to the prior period.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processing expenses were primarily due to approximately $12 million of expenses related to acquisitions completed in 2023 and 2024, higher variable expenses driven by increased transaction volumes and investments to drive future growth. The increases were partially offset by lower bad debt of</w:t>
      </w:r>
    </w:p>
    <w:p>
      <w:pPr>
        <w:ind w:right="80"/>
        <w:spacing w:after="0" w:line="260" w:lineRule="auto"/>
        <w:rPr>
          <w:sz w:val="20"/>
          <w:szCs w:val="20"/>
          <w:color w:val="auto"/>
        </w:rPr>
      </w:pPr>
      <w:r>
        <w:rPr>
          <w:rFonts w:ascii="Times New Roman" w:cs="Times New Roman" w:eastAsia="Times New Roman" w:hAnsi="Times New Roman"/>
          <w:sz w:val="18"/>
          <w:szCs w:val="18"/>
          <w:color w:val="auto"/>
        </w:rPr>
        <w:t>$21 million due to our shift away from micro-SMB (small-medium business) clients in the U.S. and the impact of the disposition of our Russia business of approximately $3 million.</w:t>
      </w:r>
    </w:p>
    <w:p>
      <w:pPr>
        <w:spacing w:after="0" w:line="69"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w:t>
      </w:r>
      <w:r>
        <w:rPr>
          <w:rFonts w:ascii="Times New Roman" w:cs="Times New Roman" w:eastAsia="Times New Roman" w:hAnsi="Times New Roman"/>
          <w:sz w:val="18"/>
          <w:szCs w:val="18"/>
          <w:color w:val="auto"/>
        </w:rPr>
        <w:t>Selling expenses were $189.2 million in the six months ended June 30, 2024, an increase of 12.6% from the prior period. Increases in selling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were primarily due to increased commissions from higher sales volume and approximately $6 million of expenses related to acquisitions completed in 2023 and 2024. The increases were partially offset by the impact of the disposition of our Russia business of approximately $4 million.</w:t>
      </w:r>
    </w:p>
    <w:p>
      <w:pPr>
        <w:spacing w:after="0" w:line="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were $305.0 million in the six months ended June 30, 2024, a decrease of 2.9%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period. The decrease in general and administrative expenses was primarily due to lower overhead expense due to disciplined expense management, lower stock-based compensation expense of approximately $7 million and the impact of the disposition of our Russia business of approximately $5 million. These decreases were partially offset by the impact of acquisitions completed in 2023 and 2024 of approximately $12 million.</w:t>
      </w:r>
    </w:p>
    <w:p>
      <w:pPr>
        <w:spacing w:after="0" w:line="6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$169.1 million in the six months ended June 30, 2024, an increase of 0.7%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prior period. Depreciation and amortization expenses increased due to incremental investments in capital expenditures and acquisitions completed in 2023 and 2024. These increases were offset by the impact of the disposition of our Russia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income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income was $830.7 million in the six months ended June 30, 2024, an increase of 5.4% compared to the prior period. The increase in operating income was primarily due to the reasons discussed above, resulting in EBITDA margin expansion of 58 basis points over the prior period.</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net. </w:t>
      </w:r>
      <w:r>
        <w:rPr>
          <w:rFonts w:ascii="Times New Roman" w:cs="Times New Roman" w:eastAsia="Times New Roman" w:hAnsi="Times New Roman"/>
          <w:sz w:val="18"/>
          <w:szCs w:val="18"/>
          <w:color w:val="auto"/>
        </w:rPr>
        <w:t>Other expense (income), net was $7.6 million in the six months ended June 30, 2024, which primarily represents the impact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fluctuations in foreign exchange rates on non-functional currency balances.</w:t>
      </w:r>
    </w:p>
    <w:p>
      <w:pPr>
        <w:spacing w:after="0" w:line="3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was $183.8 million in the six months ended June 30, 2024, an increase of $15.5 million from the prior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interest expense was primarily due to higher interest rates on increased borrowings and lower interest income due to the sale of our Russia business. The following table sets forth the average interest rates paid on borrowings under our Credit Facility, excluding the related unused facility fees and swaps.</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 A &amp; B (USD)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B (GBP)</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r>
    </w:tbl>
    <w:p>
      <w:pPr>
        <w:spacing w:after="0" w:line="17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have a portfolio of interest rate swaps, which are designated as cash flow hedges and cross-currency interest rate swaps, which are designated as net investment hedges. During the six months ended June 30, 2024, as a result of these swap contracts and net investment hedges, we recorded a benefit to interest expense, net of $30.4 million.</w:t>
      </w:r>
    </w:p>
    <w:p>
      <w:pPr>
        <w:spacing w:after="0" w:line="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provision for income taxes and effective tax rate were $158.0 million and 24.7% for the six months ended June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$166.9 million and 26.9% for the prior period. Income tax expense is based on an estimated annual effective rate, which requires us to make our best estimate of annual pretax accounting income or loss before consideration of tax or benefit discretely recognized in the period in which such occur. The decrease in the provision for income taxes for the six months ending June 30, 2024 over the comparable period in 2023 was primarily due to more excess tax benefit on stock option exercises and decreases in state taxes due to adjustments of state tax apportionment percentages for prior years.</w:t>
      </w:r>
    </w:p>
    <w:p>
      <w:pPr>
        <w:spacing w:after="0" w:line="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Corpay. </w:t>
      </w:r>
      <w:r>
        <w:rPr>
          <w:rFonts w:ascii="Times New Roman" w:cs="Times New Roman" w:eastAsia="Times New Roman" w:hAnsi="Times New Roman"/>
          <w:sz w:val="18"/>
          <w:szCs w:val="18"/>
          <w:color w:val="auto"/>
        </w:rPr>
        <w:t>For the reasons discussed above, our net income attributable to Corpay increased to $481.4 million in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2024, an increase of 5.9% from the prior period.</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Vehicle Payments</w:t>
      </w:r>
    </w:p>
    <w:p>
      <w:pPr>
        <w:spacing w:after="0" w:line="121"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color w:val="auto"/>
        </w:rPr>
        <w:t>Vehicle Payments revenues were relatively flat at $1,004.3 million in the six months ended June 30, 2024. Revenues were negatively impacted by the disposition of our Russia business in August 2023, which lowered revenue by approximately $64 million and the negative impact of the macroeconomic environment of approximately $6 million, The negative macroeconomic environment was driven primarily by unfavorable fuel price spreads of approximately $7 million and unfavorable fuel prices of $3 million, partially offset by favorable changes in foreign exchange rates on revenue of</w:t>
      </w:r>
    </w:p>
    <w:p>
      <w:pPr>
        <w:spacing w:after="0" w:line="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18"/>
          <w:szCs w:val="18"/>
          <w:color w:val="auto"/>
        </w:rPr>
        <w:t>$4 million. Offsetting this decrease was organic revenue growth of 4% driven by new sales growth in our international markets and the impact of acquisitions, which contributed approximately $26 million in revenue.</w:t>
      </w:r>
    </w:p>
    <w:p>
      <w:pPr>
        <w:spacing w:after="0" w:line="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Vehicle Payments operating income was $467.7 million in the six months ended, an increase of 2.6% from the prior period due to the reasons discussed above, as well as lower bad debt of approximately $25 million, as we shifted away from micro-SMB clients to higher credit quality customers in the U.S.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Payments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Corporate Payments revenues were $553.9 million in the six months ended June 30, 2024, an increase of 17.3%, from the prior period. Corporate Payments revenues increased primarily due to organic revenue growth of 17%, driven by a 10% growth in spend volume and strong new sales in our payables and cross-border solutions.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Corporate Payments operating income was $225.3 million in the six months ended June 30, 2024, an increase of 27.9%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Payments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Lodging Payments revenues were $233.7 million in the six months ended June 30, 2024, a decrease of 9.7% from the prior period. The decrease in Lodging Payments revenues was primarily due to a 10% decline in room nights, as well as insurance commissions recognized in the prior year that did not recur in 2024.</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Lodging Payments operating income was $103.7 million in the six months ended June 30, 2024, a decrease of 16% from the prior period. Lodging Payments operating income and margin declined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revenues were $119.1 million in the six months ended June 30, 2024, an increase of 5.1% from the prior period, driven by the timing of gift card sales and increases in gift card transaction volume, partially offset by lower volume in our payroll card business.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Other operating income was $34.0 million in the six months ended June 30, 2024, an increase of 3% from the prior period due to the reasons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Sources of liquidity. </w:t>
      </w:r>
      <w:r>
        <w:rPr>
          <w:rFonts w:ascii="Times New Roman" w:cs="Times New Roman" w:eastAsia="Times New Roman" w:hAnsi="Times New Roman"/>
          <w:sz w:val="18"/>
          <w:szCs w:val="18"/>
          <w:color w:val="auto"/>
        </w:rPr>
        <w:t>We believe that our current level of cash and borrowing capacity under our Credit Facility and Securitization Facility (each 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together with expected future cash flows from operations, will be sufficient to meet the needs of our existing operations and planned requirements for at least the next 12 months and into the foreseeable future, based on our current assumptions. At June 30, 2024, we had approximately $2.2 billion in total liquidity, consisting of approximately $0.9 billion available under our Credit Facility and unrestricted cash of $1.4 billion, a portion of which includes customer deposits or is required for working capital and regulatory purposes. Restricted cash primarily represents customer deposits repayable on demand held in certain geographies with legal restrictions, customer funds held for the benefit of others, collateral received from customers for cross-currency transactions in our cross-border payments business, which is restricted from use other than to repay customer deposits and secure and settle cross-currency transactions, and collateral posted with banks for hedging positions in our cross-border payments business.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receivables related to our Lodging Payments business in the U.S. We also consider the available and undrawn amounts under our Securitization Facility and Credit Facility as funds available for working capital purposes and acquisitions. At June 30, 2024, we had no additional liquidity under our Securitization Facility.</w:t>
      </w:r>
    </w:p>
    <w:p>
      <w:pPr>
        <w:spacing w:after="0" w:line="7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 periods ended June 30, 2024 and 2023 (in millions).</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4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8"/>
              </w:rPr>
              <w:t>891.1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8"/>
              </w:rPr>
              <w:t>(146.6)</w:t>
            </w:r>
          </w:p>
        </w:tc>
        <w:tc>
          <w:tcPr>
            <w:tcW w:w="120" w:type="dxa"/>
            <w:vAlign w:val="bottom"/>
          </w:tcPr>
          <w:p>
            <w:pPr>
              <w:spacing w:after="0"/>
              <w:rPr>
                <w:sz w:val="19"/>
                <w:szCs w:val="19"/>
                <w:color w:val="auto"/>
              </w:rPr>
            </w:pPr>
          </w:p>
        </w:tc>
        <w:tc>
          <w:tcPr>
            <w:tcW w:w="1160" w:type="dxa"/>
            <w:vAlign w:val="bottom"/>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8"/>
              </w:rPr>
              <w:t>(239.2)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$891.1 million in the six months ended June 30, 2024, compared to $1,099.0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comparable prior period. The decrease in operating cash flows was primarily driven by an increase in restricted cash and corresponding impact to customer deposits during 2023 that did not repeat in 2024, and changes in working capital.</w:t>
      </w:r>
    </w:p>
    <w:p>
      <w:pPr>
        <w:spacing w:after="0" w:line="63"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$146.6 million in the six months ended June 30, 2024 compared to $201.2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prior period. The reduction in cash used for investing activities was primarily due to less spending on acquisitions completed in 2024, compared to 2023. Our capital expenditures were $85.3 million in the six months ended June 30, 2024, an increase of $6.4 million, or 8%, from $78.9 million in the comparable prior period due to the impact of acquisitions and continued investments in technology.</w:t>
      </w:r>
    </w:p>
    <w:p>
      <w:pPr>
        <w:spacing w:after="0" w:line="6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$239.2 million in the six months ended June 30, 2024, relatively unchanged,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$241.8 million in the comparable prior period. Incremental inflows due to net borrowings on our Credit Facility and Securitization Facility of $904.9 million over the comparable period in 2023,were offset by outflows from increased repurchases of common stock of $935.1 million in the six months ended June 30, 2024 over the comparable period in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2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auto"/>
        </w:rPr>
        <w:t>Corpay Technologies Operating Company, LLC, and certain of our domestic and foreign owned subsidiaries, as designated co-borrowers (the "Borrowers"), are parties to a $7.0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$1.775 billion, a term loan A facility in the amount of $3.325 billion and a term loan B facility in the amount of $1.9 billion. The revolving credit facility consists of (a) a revolving A credit facility in the amount of $1.275 billion, with sublimits for letters of credit and swing line loans and (b) a revolving B facility in the amount of $500 million with borrowings in U.S. dollars, euros, British pounds, Japanese yen or other currency as agreed in advance, and a sublimit for swing line loans. Proceeds from the credit facilities may be used for working capital purposes, acquisitions, and other general corporate purposes. The maturity date for the term loan A and revolving credit facilities A and B is June 24, 2027. The term loan B has a maturity date of April 30, 2028.</w:t>
      </w:r>
    </w:p>
    <w:p>
      <w:pPr>
        <w:spacing w:after="0" w:line="6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June 30, 2024, the interest rate on the term loan A was 6.82%, the interest rate on the term loan B was 7.19%, the interest rate on the revolving A and B facilities (USD borrowings) was 6.82%, and the interest rate on the revolving B facility (GBP borrowings) was 6.61%. The unused credit facility fee was 0.25% at June 30, 2024.</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June 30, 2024, we had $3.2 billion in borrowings outstanding on the term loan A, net of discounts and debt issuance costs, $1.8 billion in borrowings outstanding on the term loan B, net of discounts and debt issuance costs and $0.9 billion outstanding on the revolving facilities. We have unamortized debt issuance costs of $4.1 million related to the revolving facilities as of June 30, 2024 recorded within other assets in the Unaudited Consolidated Balance Sheets. We have unamortized debt discounts and debt issuance costs of $18.3 million related to our term loans at June 30, 2024 recorded in notes payable and other obligations, net of current potion within the Unaudited Consolidated Balance Sheets.</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we made borrowings of $325.0 million on the term loans, principal payments of $51.1 million on the term loans and net borrowings of $232.8 million on the revolving facilities.</w:t>
      </w:r>
    </w:p>
    <w:p>
      <w:pPr>
        <w:spacing w:after="0" w:line="54" w:lineRule="exact"/>
        <w:rPr>
          <w:sz w:val="20"/>
          <w:szCs w:val="20"/>
          <w:color w:val="auto"/>
        </w:rPr>
      </w:pPr>
    </w:p>
    <w:p>
      <w:pPr>
        <w:ind w:right="1900"/>
        <w:spacing w:after="0" w:line="375" w:lineRule="auto"/>
        <w:rPr>
          <w:sz w:val="20"/>
          <w:szCs w:val="20"/>
          <w:color w:val="auto"/>
        </w:rPr>
      </w:pPr>
      <w:r>
        <w:rPr>
          <w:rFonts w:ascii="Times New Roman" w:cs="Times New Roman" w:eastAsia="Times New Roman" w:hAnsi="Times New Roman"/>
          <w:sz w:val="18"/>
          <w:szCs w:val="18"/>
          <w:color w:val="auto"/>
        </w:rPr>
        <w:t xml:space="preserve">As of June 30, 2024, we were in compliance with each of the financial and non-financial covenants under the Credit Agreement. </w:t>
      </w:r>
      <w:r>
        <w:rPr>
          <w:rFonts w:ascii="Times New Roman" w:cs="Times New Roman" w:eastAsia="Times New Roman" w:hAnsi="Times New Roman"/>
          <w:sz w:val="18"/>
          <w:szCs w:val="18"/>
          <w:b w:val="1"/>
          <w:bCs w:val="1"/>
          <w:i w:val="1"/>
          <w:iCs w:val="1"/>
          <w:color w:val="auto"/>
        </w:rPr>
        <w:t>Securitization Facility</w:t>
      </w:r>
    </w:p>
    <w:p>
      <w:pPr>
        <w:spacing w:after="0" w:line="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party to a $1.7 billion receivables purchase agreement among FLEETCOR Funding LLC, as seller, PNC Bank, National Association as administrator, and various purchaser agents, conduit purchasers and related committed purchasers parties thereto. The Securitization Facility matures on August 18, 2025. At June 30, 2024, the interest rate on the Securitization Facility was 6.37%.</w:t>
      </w: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ind w:right="80"/>
        <w:spacing w:after="0" w:line="266" w:lineRule="auto"/>
        <w:rPr>
          <w:sz w:val="20"/>
          <w:szCs w:val="20"/>
          <w:color w:val="auto"/>
        </w:rPr>
      </w:pPr>
      <w:r>
        <w:rPr>
          <w:rFonts w:ascii="Times New Roman" w:cs="Times New Roman" w:eastAsia="Times New Roman" w:hAnsi="Times New Roman"/>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68" w:lineRule="exact"/>
        <w:rPr>
          <w:sz w:val="20"/>
          <w:szCs w:val="20"/>
          <w:color w:val="auto"/>
        </w:rPr>
      </w:pPr>
    </w:p>
    <w:p>
      <w:pPr>
        <w:ind w:right="1140"/>
        <w:spacing w:after="0" w:line="375" w:lineRule="auto"/>
        <w:rPr>
          <w:sz w:val="20"/>
          <w:szCs w:val="20"/>
          <w:color w:val="auto"/>
        </w:rPr>
      </w:pPr>
      <w:r>
        <w:rPr>
          <w:rFonts w:ascii="Times New Roman" w:cs="Times New Roman" w:eastAsia="Times New Roman" w:hAnsi="Times New Roman"/>
          <w:sz w:val="18"/>
          <w:szCs w:val="18"/>
          <w:color w:val="auto"/>
        </w:rPr>
        <w:t xml:space="preserve">We were in compliance with all financial and non-financial covenant requirements related to our Securitization Facility as of June 30, 2024. </w:t>
      </w:r>
      <w:r>
        <w:rPr>
          <w:rFonts w:ascii="Times New Roman" w:cs="Times New Roman" w:eastAsia="Times New Roman" w:hAnsi="Times New Roman"/>
          <w:sz w:val="18"/>
          <w:szCs w:val="18"/>
          <w:b w:val="1"/>
          <w:bCs w:val="1"/>
          <w:i w:val="1"/>
          <w:iCs w:val="1"/>
          <w:color w:val="auto"/>
        </w:rPr>
        <w:t>Cross-Border Facilities</w:t>
      </w:r>
    </w:p>
    <w:p>
      <w:pPr>
        <w:spacing w:after="0" w:line="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recently entered into facilities intended to provide additional means to manage working capital needs for our cross-border solutions.</w:t>
      </w:r>
    </w:p>
    <w:p>
      <w:pPr>
        <w:spacing w:after="0" w:line="6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have three unsecured overdraft facilities with a combined capacity of $135.0 million, which may be accessible via written request and corresponding authorization from the applicable lenders. There is no guarantee the uncommitted capacity will be available to us on a future date. Interest on drawn balances accrues under the agreements at either (a) at a fixed rate equal to the lender's reference rate or the Federal Funds Effective Rate (as defined in the respective agreements) plus 1% or (b) SOFR plus 1.25%. As of June 30, 2024, we had no borrowings outstanding under the uncommitted credit facilities.</w:t>
      </w:r>
    </w:p>
    <w:p>
      <w:pPr>
        <w:spacing w:after="0" w:line="5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also have a 364-day committed revolving credit facility with a total commitment of $40.0 million, which matures on October 10, 2024. Borrowings under this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June 30, 2024, we had no borrowings outstanding under the committed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62"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As of June 30, 2024, we had the following outstanding interest rate swap derivatives that qualify as hedging instruments within designated cash flow hedges of variable interest rate risk (in millions):</w:t>
      </w:r>
    </w:p>
    <w:p>
      <w:pPr>
        <w:spacing w:after="0" w:line="179" w:lineRule="exact"/>
        <w:rPr>
          <w:sz w:val="20"/>
          <w:szCs w:val="20"/>
          <w:color w:val="auto"/>
        </w:rPr>
      </w:pPr>
    </w:p>
    <w:tbl>
      <w:tblPr>
        <w:tblLayout w:type="fixed"/>
        <w:tblInd w:w="2700" w:type="dxa"/>
        <w:tblCellMar>
          <w:top w:w="0" w:type="dxa"/>
          <w:left w:w="0" w:type="dxa"/>
          <w:bottom w:w="0" w:type="dxa"/>
          <w:right w:w="0" w:type="dxa"/>
        </w:tblCellMar>
      </w:tblPr>
      <w:tr>
        <w:trPr>
          <w:trHeight w:val="215"/>
        </w:trPr>
        <w:tc>
          <w:tcPr>
            <w:tcW w:w="238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w:t>
            </w:r>
          </w:p>
        </w:tc>
      </w:tr>
      <w:tr>
        <w:trPr>
          <w:trHeight w:val="226"/>
        </w:trPr>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1/31/2026</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4.40%</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7/31/2027</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7/31/2027</w:t>
            </w:r>
          </w:p>
        </w:tc>
      </w:tr>
      <w:tr>
        <w:trPr>
          <w:trHeight w:val="230"/>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3.87%</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29"/>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1/31/2027</w:t>
            </w:r>
          </w:p>
        </w:tc>
      </w:tr>
      <w:tr>
        <w:trPr>
          <w:trHeight w:val="230"/>
        </w:trPr>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1/31/2028</w:t>
            </w:r>
          </w:p>
        </w:tc>
      </w:tr>
      <w:tr>
        <w:trPr>
          <w:trHeight w:val="23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3.99%</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1/31/2028</w:t>
            </w:r>
          </w:p>
        </w:tc>
      </w:tr>
    </w:tbl>
    <w:p>
      <w:pPr>
        <w:spacing w:after="0" w:line="1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purpose of these contracts is to reduce the variability of cash flows in interest payments associated with $4.0 billion of unspecified variable rate debt, the sole source of which is due to changes in the SOFR benchmark interest rate. For each of these swap contracts, we pay a fixed monthly rate and receive one month SOFR.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 hedges resulted in a $25.2 million reduction in interest expense, net during the six months ended June 30, 2024.</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We enter into cross-currency interest rate swaps that are designated as net investment hedges of our investments in foreign-denominated operations. Such contracts effectively convert the U.S. dollar equivalent notional amounts to obligations denominated in the respective foreign currency, and partially offset the impact of changes in currency rates on such foreign-denominated net investments. These contracts also create a positive interest differential on the U.S. dollar-denominated portion of the swaps, resulting in interest rate savings on the USD notional.</w:t>
      </w:r>
    </w:p>
    <w:p>
      <w:pPr>
        <w:spacing w:after="0" w:line="6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June 30, 2024, we had the following cross-currency interest rate swaps designated as net investment hedges of our investments in foreign-denominated operations:</w:t>
      </w:r>
    </w:p>
    <w:p>
      <w:pPr>
        <w:spacing w:after="0" w:line="63"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 dollar equivalent notional</w:t>
            </w:r>
          </w:p>
        </w:tc>
        <w:tc>
          <w:tcPr>
            <w:tcW w:w="1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Fixed Rates</w:t>
            </w:r>
          </w:p>
        </w:tc>
        <w:tc>
          <w:tcPr>
            <w:tcW w:w="16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4"/>
        </w:trPr>
        <w:tc>
          <w:tcPr>
            <w:tcW w:w="2400" w:type="dxa"/>
            <w:vAlign w:val="bottom"/>
          </w:tcPr>
          <w:p>
            <w:pPr>
              <w:spacing w:after="0"/>
              <w:rPr>
                <w:sz w:val="18"/>
                <w:szCs w:val="18"/>
                <w:color w:val="auto"/>
              </w:rPr>
            </w:pP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760" w:type="dxa"/>
            <w:vAlign w:val="bottom"/>
            <w:gridSpan w:val="2"/>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00" w:type="dxa"/>
            <w:vAlign w:val="bottom"/>
            <w:tcBorders>
              <w:top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Euro (EUR)</w:t>
            </w: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4/15/2027</w:t>
            </w:r>
          </w:p>
        </w:tc>
        <w:tc>
          <w:tcPr>
            <w:tcW w:w="0" w:type="dxa"/>
            <w:vAlign w:val="bottom"/>
          </w:tcPr>
          <w:p>
            <w:pPr>
              <w:spacing w:after="0"/>
              <w:rPr>
                <w:sz w:val="1"/>
                <w:szCs w:val="1"/>
                <w:color w:val="auto"/>
              </w:rPr>
            </w:pPr>
          </w:p>
        </w:tc>
      </w:tr>
      <w:tr>
        <w:trPr>
          <w:trHeight w:val="229"/>
        </w:trPr>
        <w:tc>
          <w:tcPr>
            <w:tcW w:w="24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Canadian Dollar (CAD)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0.602%</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5/7/2027</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British Pound (GBP)</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5/8/2028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Hedge effectiveness is tested based on changes in the fair value of the cross-currency swaps due to changes in the USD/foreign currency spot rates. We anticipate perfect effectiveness of the designated hedging relationships and records changes in the fair value of the cross-currency interest rate swaps associated with changes in the spot rate through accumulated other comprehensive loss. Excluded components associated with the forward differential are recognized directly in earnings as interest expense, net. We recognized a benefit of $5.1 million in interest expense, net for the six months ended June 30, 2024 related to these excluded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0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On February 4, 2016, we announced that our Board approved a stock repurchase program (as updated from time to time, the "Program") authorizing us to repurchase our common stock from time to time until February 4, 2025. On January 25, 2024, the Board authorized an increase to the aggregate size of the Program by $1.0 billion to $8.1 billion. Since the beginning of the Program through June 30, 2024, 32,129,909 shares have been repurchased for an aggregate purchase price of $7.5 billion, leaving us up to $0.6 billion of remaining authorization available under the Program for future repurchases of shares of our common stock.</w:t>
      </w:r>
    </w:p>
    <w:p>
      <w:pPr>
        <w:spacing w:after="0" w:line="1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Program, any stock repurchases may be made at times and in such amounts as deemed appropriate by management.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July 2024, we acquired 100% of Paymerang, a U.S.-based leader in accounts payables automation solutions, for approximately $469 million, net of cash. The acquisition expands Corpay's presence in several market verticals, including education, healthcare, hospitality and manufacturing. The acquisition of Paymerang closed on July 1, 2024, and thus the preliminary acquisition accounting has not yet been completed. The results of Paymerang will be reflected in our Corporate Payments segment and financial statements during the third quarter of 2024.</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 in June 2024, we signed a definitive agreement to acquire 100% of GPS Capital Markets, LLC for approximately $725 million. GPS provides business-to-business cross-border and treasury management solutions to upper middle market companies, primarily in the U.S. The transaction is expected to close in early 2025, subject to regulatory approval and standard closing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May 2024, we signed a definitive agreement to sell certain non-core assets within the U.S. division of our Vehicle Payments segment to a third-party. We anticipate the transaction will close during the fourth quarter of 2024, subject to certain customary closing conditions. We determined that the disposal group met all of the required criteria to be classified as held for sale during the second quarter of 2024.</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disposal group's fair value, based upon the estimated sales price less anticipated costs to sell, exceeds its carrying value. As such, the related assets and liabilities were recorded at their carrying value. In determining the carrying value of the disposal group, which represents a portion of one of our reporting units, goodwill of approximately $58.2 million was allocated to the disposal group based on a relative fair value analysis.</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June 30, 2024, the carrying value of the assets held for sale consists of current assets of approximately $20.4 million and goodwill of $58.2 million. We are in the process of estimating the impact of this transaction on its financial results, but expect to recognize a pre-tax gain on disposal.</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applying the accounting policies that we use to prepare our consolidated financial statements, we necessarily make accounting estimates that affect our reported amounts of assets, liabilities, revenues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8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Accounting estimates necessarily require subjective determinations about future events and conditions. During the three months ended June 30, 2024,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2023. For critical accounting policies, refer to the Critical Accounting Estimates in Item 7 – Management’s Discussion and Analysis of Financial Condition and Results of Operations included in our Annual Report on Form 10-K for the year ended December 31, 2023 and our summary of significant accounting policies in Note 1 of our Notes to the Unaudited Consolidated Financial Statements in this Quarterly Report on Form 10-Q.</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Financial Measures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Because our non-GAAP financial measures are not standardized measures, they may not be directly comparable with the non-GAAP financial measures of other companies using the same or similar non-GAAP financial measures. Although management uses these non-GAAP measures to set goals and measure performance, they have no standardized meaning prescribed by GAAP. These non-GAAP measures are presented solely to permit investors to more fully understand how our management assesses underlying performance. These non-GAAP measures are not, and should not be viewed as, a substitute for GAAP measures, and should be viewed in conjunction with our GAAP financial statements and financial measures. As a result, such non-GAAP measures have limits in their usefulness to investors.</w:t>
      </w:r>
    </w:p>
    <w:p>
      <w:pPr>
        <w:spacing w:after="0" w:line="8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Organic Revenues, net by KPI. </w:t>
      </w:r>
      <w:r>
        <w:rPr>
          <w:rFonts w:ascii="Times New Roman" w:cs="Times New Roman" w:eastAsia="Times New Roman" w:hAnsi="Times New Roman"/>
          <w:sz w:val="18"/>
          <w:szCs w:val="18"/>
          <w:color w:val="auto"/>
        </w:rPr>
        <w:t>Organic revenue growth is calculated as revenue in the current period adjusted for the impact of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We define the pro forma and macro adjusted revenue as revenue, net as reflected in our statement of income, adjusted to eliminate the impact of the macroeconomic environment and the impact of acquisitions and dispositions. The macroeconomic environment impact includes the impact that market fuel price spreads, fuel prices and foreign exchange rates have on our business. We use pro forma and macro adjusted revenue and transactions to evaluate the organic growth in our revenue and the associated transactions. We believe that organic revenue growth is useful to investors for understanding the performance of Corpay.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Set forth below is a reconciliation of pro forma and macro adjusted revenue and key performance metric by segment, used to calculate organic revenue growth, to the most directly comparable GAAP measure, revenue, net and key performance metric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Key Performance Metric</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auto"/>
            </w:tcBorders>
            <w:gridSpan w:val="5"/>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0" w:type="dxa"/>
            <w:vAlign w:val="bottom"/>
          </w:tcPr>
          <w:p>
            <w:pPr>
              <w:spacing w:after="0"/>
              <w:rPr>
                <w:sz w:val="16"/>
                <w:szCs w:val="16"/>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3340" w:type="dxa"/>
            <w:vAlign w:val="bottom"/>
            <w:tcBorders>
              <w:bottom w:val="single" w:sz="8" w:color="CCEEFF"/>
            </w:tcBorders>
            <w:gridSpan w:val="9"/>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auto"/>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9"/>
              </w:rPr>
              <w:t>VEHICLE PAYMENTS - TRANSACTIONS</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Pr>
          <w:p>
            <w:pPr>
              <w:spacing w:after="0"/>
              <w:rPr>
                <w:sz w:val="18"/>
                <w:szCs w:val="18"/>
                <w:color w:val="auto"/>
              </w:rPr>
            </w:pPr>
          </w:p>
        </w:tc>
        <w:tc>
          <w:tcPr>
            <w:tcW w:w="104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620" w:type="dxa"/>
            <w:vAlign w:val="bottom"/>
            <w:tcBorders>
              <w:bottom w:val="single" w:sz="8" w:color="auto"/>
            </w:tcBorders>
            <w:gridSpan w:val="5"/>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CORPORATE PAYMENTS - SPEND</w:t>
            </w:r>
          </w:p>
        </w:tc>
        <w:tc>
          <w:tcPr>
            <w:tcW w:w="720" w:type="dxa"/>
            <w:vAlign w:val="bottom"/>
            <w:tcBorders>
              <w:bottom w:val="single" w:sz="8" w:color="CCEEFF"/>
            </w:tcBorders>
            <w:gridSpan w:val="4"/>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tcPr>
          <w:p>
            <w:pPr>
              <w:spacing w:after="0"/>
              <w:rPr>
                <w:sz w:val="18"/>
                <w:szCs w:val="18"/>
                <w:color w:val="auto"/>
              </w:rPr>
            </w:pPr>
          </w:p>
        </w:tc>
        <w:tc>
          <w:tcPr>
            <w:tcW w:w="104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42,879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36,033</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040" w:type="dxa"/>
            <w:vAlign w:val="bottom"/>
            <w:tcBorders>
              <w:bottom w:val="single" w:sz="8" w:color="auto"/>
            </w:tcBorders>
            <w:gridSpan w:val="7"/>
            <w:shd w:val="clear" w:color="auto" w:fill="CCEEFF"/>
          </w:tcPr>
          <w:p>
            <w:pPr>
              <w:spacing w:after="0" w:line="145" w:lineRule="exact"/>
              <w:rPr>
                <w:sz w:val="20"/>
                <w:szCs w:val="20"/>
                <w:color w:val="auto"/>
              </w:rPr>
            </w:pPr>
            <w:r>
              <w:rPr>
                <w:rFonts w:ascii="Times New Roman" w:cs="Times New Roman" w:eastAsia="Times New Roman" w:hAnsi="Times New Roman"/>
                <w:sz w:val="16"/>
                <w:szCs w:val="16"/>
                <w:b w:val="1"/>
                <w:bCs w:val="1"/>
                <w:color w:val="auto"/>
                <w:w w:val="99"/>
              </w:rPr>
              <w:t>LODGING PAYMENTS - ROOM NIGHTS</w:t>
            </w:r>
          </w:p>
        </w:tc>
        <w:tc>
          <w:tcPr>
            <w:tcW w:w="300" w:type="dxa"/>
            <w:vAlign w:val="bottom"/>
            <w:tcBorders>
              <w:bottom w:val="single" w:sz="8" w:color="CCEEFF"/>
            </w:tcBorders>
            <w:gridSpan w:val="2"/>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Pr>
          <w:p>
            <w:pPr>
              <w:spacing w:after="0"/>
              <w:rPr>
                <w:sz w:val="18"/>
                <w:szCs w:val="18"/>
                <w:color w:val="auto"/>
              </w:rPr>
            </w:pPr>
          </w:p>
        </w:tc>
        <w:tc>
          <w:tcPr>
            <w:tcW w:w="104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3340" w:type="dxa"/>
            <w:vAlign w:val="bottom"/>
            <w:gridSpan w:val="9"/>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r>
              <w:rPr>
                <w:rFonts w:ascii="Times New Roman" w:cs="Times New Roman" w:eastAsia="Times New Roman" w:hAnsi="Times New Roman"/>
                <w:sz w:val="16"/>
                <w:szCs w:val="16"/>
                <w:b w:val="1"/>
                <w:bCs w:val="1"/>
                <w:u w:val="single" w:color="auto"/>
                <w:color w:val="auto"/>
                <w:vertAlign w:val="superscript"/>
              </w:rPr>
              <w:t>1</w:t>
            </w:r>
            <w:r>
              <w:rPr>
                <w:rFonts w:ascii="Times New Roman" w:cs="Times New Roman" w:eastAsia="Times New Roman" w:hAnsi="Times New Roman"/>
                <w:sz w:val="13"/>
                <w:szCs w:val="13"/>
                <w:b w:val="1"/>
                <w:bCs w:val="1"/>
                <w:color w:val="auto"/>
              </w:rPr>
              <w:t>- TRANSACTIONS</w:t>
            </w:r>
          </w:p>
        </w:tc>
        <w:tc>
          <w:tcPr>
            <w:tcW w:w="9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8"/>
                <w:szCs w:val="18"/>
                <w:color w:val="auto"/>
              </w:rPr>
            </w:pPr>
          </w:p>
        </w:tc>
        <w:tc>
          <w:tcPr>
            <w:tcW w:w="1040" w:type="dxa"/>
            <w:vAlign w:val="bottom"/>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fuel prices/spread</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Impact of foreign exchange rates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20" w:type="dxa"/>
            <w:vAlign w:val="bottom"/>
            <w:tcBorders>
              <w:top w:val="single" w:sz="8" w:color="auto"/>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
        </w:trPr>
        <w:tc>
          <w:tcPr>
            <w:tcW w:w="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20" w:type="dxa"/>
            <w:vAlign w:val="bottom"/>
          </w:tcPr>
          <w:p>
            <w:pPr>
              <w:spacing w:after="0"/>
              <w:rPr>
                <w:sz w:val="15"/>
                <w:szCs w:val="15"/>
                <w:color w:val="auto"/>
              </w:rPr>
            </w:pPr>
          </w:p>
        </w:tc>
        <w:tc>
          <w:tcPr>
            <w:tcW w:w="3340" w:type="dxa"/>
            <w:vAlign w:val="bottom"/>
            <w:gridSpan w:val="9"/>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CORPAY CONSOLIDATED REVENUES,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980" w:type="dxa"/>
            <w:vAlign w:val="bottom"/>
            <w:tcBorders>
              <w:top w:val="single" w:sz="8" w:color="auto"/>
            </w:tcBorders>
            <w:gridSpan w:val="6"/>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NET</w:t>
            </w:r>
          </w:p>
        </w:tc>
        <w:tc>
          <w:tcPr>
            <w:tcW w:w="360" w:type="dxa"/>
            <w:vAlign w:val="bottom"/>
            <w:gridSpan w:val="3"/>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3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and macro adjusted</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Impact of acquisitions/dispositions</w:t>
            </w:r>
          </w:p>
        </w:tc>
        <w:tc>
          <w:tcPr>
            <w:tcW w:w="9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340" w:type="dxa"/>
            <w:vAlign w:val="bottom"/>
            <w:gridSpan w:val="9"/>
            <w:shd w:val="clear" w:color="auto" w:fill="CCEEFF"/>
          </w:tcPr>
          <w:p>
            <w:pPr>
              <w:spacing w:after="0" w:line="219" w:lineRule="exact"/>
              <w:rPr>
                <w:sz w:val="20"/>
                <w:szCs w:val="20"/>
                <w:color w:val="auto"/>
              </w:rPr>
            </w:pPr>
            <w:r>
              <w:rPr>
                <w:rFonts w:ascii="Times New Roman" w:cs="Times New Roman" w:eastAsia="Times New Roman" w:hAnsi="Times New Roman"/>
                <w:sz w:val="16"/>
                <w:szCs w:val="16"/>
                <w:color w:val="auto"/>
              </w:rPr>
              <w:t>Impact of fuel prices/spread</w:t>
            </w:r>
            <w:r>
              <w:rPr>
                <w:rFonts w:ascii="Times New Roman" w:cs="Times New Roman" w:eastAsia="Times New Roman" w:hAnsi="Times New Roman"/>
                <w:sz w:val="21"/>
                <w:szCs w:val="21"/>
                <w:color w:val="auto"/>
                <w:vertAlign w:val="superscript"/>
              </w:rPr>
              <w:t>2</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color w:val="auto"/>
              </w:rPr>
              <w:t>Intentionally Left Blank</w:t>
            </w:r>
          </w:p>
        </w:tc>
        <w:tc>
          <w:tcPr>
            <w:tcW w:w="20" w:type="dxa"/>
            <w:vAlign w:val="bottom"/>
            <w:shd w:val="clear" w:color="auto" w:fill="000000"/>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340" w:type="dxa"/>
            <w:vAlign w:val="bottom"/>
            <w:tcBorders>
              <w:bottom w:val="single" w:sz="8" w:color="CCEEFF"/>
            </w:tcBorders>
            <w:gridSpan w:val="9"/>
          </w:tcPr>
          <w:p>
            <w:pPr>
              <w:spacing w:after="0" w:line="216" w:lineRule="exact"/>
              <w:rPr>
                <w:sz w:val="20"/>
                <w:szCs w:val="20"/>
                <w:color w:val="auto"/>
              </w:rPr>
            </w:pPr>
            <w:r>
              <w:rPr>
                <w:rFonts w:ascii="Times New Roman" w:cs="Times New Roman" w:eastAsia="Times New Roman" w:hAnsi="Times New Roman"/>
                <w:sz w:val="16"/>
                <w:szCs w:val="16"/>
                <w:color w:val="auto"/>
              </w:rPr>
              <w:t>Impact of foreign exchange rates</w:t>
            </w:r>
            <w:r>
              <w:rPr>
                <w:rFonts w:ascii="Times New Roman" w:cs="Times New Roman" w:eastAsia="Times New Roman" w:hAnsi="Times New Roman"/>
                <w:sz w:val="21"/>
                <w:szCs w:val="21"/>
                <w:color w:val="auto"/>
                <w:vertAlign w:val="superscript"/>
              </w:rPr>
              <w:t>2</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334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6"/>
                <w:szCs w:val="16"/>
                <w:color w:val="auto"/>
              </w:rPr>
              <w:t>As reported</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975.7</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right="84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948.2</w:t>
            </w:r>
          </w:p>
        </w:tc>
        <w:tc>
          <w:tcPr>
            <w:tcW w:w="12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34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3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3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92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04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Columns may not calculate due to rounding.</w:t>
      </w:r>
    </w:p>
    <w:p>
      <w:pPr>
        <w:spacing w:after="0" w:line="1" w:lineRule="exact"/>
        <w:rPr>
          <w:sz w:val="20"/>
          <w:szCs w:val="20"/>
          <w:color w:val="auto"/>
        </w:rPr>
      </w:pPr>
    </w:p>
    <w:p>
      <w:pPr>
        <w:ind w:left="100" w:hanging="74"/>
        <w:spacing w:after="0"/>
        <w:tabs>
          <w:tab w:leader="none" w:pos="10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Gift and Payroll Card operating segments.</w:t>
      </w:r>
    </w:p>
    <w:p>
      <w:pPr>
        <w:spacing w:after="0" w:line="15" w:lineRule="exact"/>
        <w:rPr>
          <w:sz w:val="20"/>
          <w:szCs w:val="20"/>
          <w:color w:val="auto"/>
        </w:rPr>
      </w:pPr>
    </w:p>
    <w:p>
      <w:pPr>
        <w:ind w:left="120" w:hanging="94"/>
        <w:spacing w:after="0"/>
        <w:tabs>
          <w:tab w:leader="none" w:pos="1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Revenues reflect an estimated negative impact of movements in foreign exchange rates of approximately $9 million.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attributable to Corpay and adjusted net income per diluted share attributable to Corpay. </w:t>
      </w:r>
      <w:r>
        <w:rPr>
          <w:rFonts w:ascii="Times New Roman" w:cs="Times New Roman" w:eastAsia="Times New Roman" w:hAnsi="Times New Roman"/>
          <w:sz w:val="18"/>
          <w:szCs w:val="18"/>
          <w:color w:val="auto"/>
        </w:rPr>
        <w:t>We have defined the non-GAAP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net income attributable to Corpay as net income attributable to Corpay as reflected in our statement of income, adjusted to eliminate (a) non-cash stock based compensation expense related to share based compensation awards, (b) amortization of deferred financing costs, discounts, intangible assets, and amortization of the premium recognized on the purchase of receivables, (c) integration and deal related costs, and (d) other non-recurring items, including the impact of certain discrete tax items, the impact of business dispositions, impairment charges, asset write-offs, restructuring and related costs, loss on extinguishment of debt, and legal settlements and regulatory-related legal fees. We adjust net income for the tax effect of adjustments using our effective income tax rate, exclusive of certain discrete tax items. We calculate adjusted net income and adjusted net income per diluted share to eliminate the effect of items that we do not consider indicative of our core operating performance.</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defined the non-GAAP measure adjusted net income per diluted share attributable to Corpay as the calculation previously noted divided by the weighted average diluted shares outstanding as reflected in our statement of income.</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net income attributable to Corpay and adjusted net income per diluted share attributable to Corpay are supplemental measures of operating performance that do not represent and should not be considered as an alternative to net income, net income per diluted share or cash flow from operations, as determined by GAAP. We believe it is useful to exclude non-cash</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1" w:name="page42"/>
    <w:bookmarkEnd w:id="41"/>
    <w:p>
      <w:pPr>
        <w:ind w:right="140"/>
        <w:spacing w:after="0" w:line="253" w:lineRule="auto"/>
        <w:rPr>
          <w:sz w:val="20"/>
          <w:szCs w:val="20"/>
          <w:color w:val="auto"/>
        </w:rPr>
      </w:pPr>
      <w:r>
        <w:rPr>
          <w:rFonts w:ascii="Times New Roman" w:cs="Times New Roman" w:eastAsia="Times New Roman" w:hAnsi="Times New Roman"/>
          <w:sz w:val="18"/>
          <w:szCs w:val="18"/>
          <w:color w:val="auto"/>
        </w:rPr>
        <w:t>share 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certain discrete tax items, gains on business disposition, impairment charges, asset write-offs, restructuring and related costs, losses on extinguishment of debt, and legal settlements and regulatory-related legal fees do not necessarily reflect how our business is performing. We adjust net income for the tax effect of each of these adjustments using our effective income tax rate during the period, exclusive of certain discrete tax items.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uses adjusted net income attributable to Corpay, adjusted net income per diluted share attributable to Corpay, organic revenue growth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w:t>
      </w:r>
    </w:p>
    <w:p>
      <w:pPr>
        <w:ind w:left="660" w:hanging="328"/>
        <w:spacing w:after="0" w:line="236"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as measurements of operating performance because they assist us in comparing our operating performance on a consistent basis;</w:t>
      </w:r>
    </w:p>
    <w:p>
      <w:pPr>
        <w:ind w:left="660" w:hanging="328"/>
        <w:spacing w:after="0" w:line="233"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for planning purposes, including the preparation of our internal annual operating budget;</w:t>
      </w:r>
    </w:p>
    <w:p>
      <w:pPr>
        <w:ind w:left="660" w:hanging="328"/>
        <w:spacing w:after="0" w:line="218" w:lineRule="auto"/>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to allocate resources to enhance the financial performance of our business;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to evaluate the performance and effectiveness of our operational strategies.</w:t>
      </w:r>
    </w:p>
    <w:p>
      <w:pPr>
        <w:spacing w:after="0" w:line="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attributable to Corpay and adjusted net income per diluted share attributable to Corpay to the most directly comparable GAAP measure, net income attributable to Corpay and net income per diluted share attributable to Corpay (in thousands, except shares and per share amounts)*: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454,537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Corpay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60,844</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Amortization</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117,743</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and deal related costs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w:t>
            </w:r>
          </w:p>
        </w:tc>
      </w:tr>
      <w:tr>
        <w:trPr>
          <w:trHeight w:val="230"/>
        </w:trPr>
        <w:tc>
          <w:tcPr>
            <w:tcW w:w="4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and related costs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2,3</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adjustments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195,239</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(52,436)</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Corpay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597,340</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Adjusted net income per diluted share attributable to</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Corpay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74,763</w:t>
            </w:r>
          </w:p>
        </w:tc>
      </w:tr>
    </w:tbl>
    <w:p>
      <w:pPr>
        <w:spacing w:after="0" w:line="82" w:lineRule="exact"/>
        <w:rPr>
          <w:sz w:val="20"/>
          <w:szCs w:val="20"/>
          <w:color w:val="auto"/>
        </w:rPr>
      </w:pPr>
    </w:p>
    <w:p>
      <w:pPr>
        <w:ind w:left="420" w:hanging="84"/>
        <w:spacing w:after="0"/>
        <w:tabs>
          <w:tab w:leader="none" w:pos="4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amortization related to intangible assets, premium on receivables, deferred financing costs and debt discounts.</w:t>
      </w:r>
    </w:p>
    <w:p>
      <w:pPr>
        <w:spacing w:after="0" w:line="6" w:lineRule="exact"/>
        <w:rPr>
          <w:sz w:val="20"/>
          <w:szCs w:val="20"/>
          <w:color w:val="auto"/>
        </w:rPr>
      </w:pPr>
    </w:p>
    <w:p>
      <w:pPr>
        <w:ind w:left="420" w:hanging="84"/>
        <w:spacing w:after="0"/>
        <w:tabs>
          <w:tab w:leader="none" w:pos="4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prior period amounts have been reclassified to conform with current period presentation.</w:t>
      </w:r>
    </w:p>
    <w:p>
      <w:pPr>
        <w:spacing w:after="0" w:line="4" w:lineRule="exact"/>
        <w:rPr>
          <w:sz w:val="20"/>
          <w:szCs w:val="20"/>
          <w:color w:val="auto"/>
        </w:rPr>
      </w:pPr>
    </w:p>
    <w:p>
      <w:pPr>
        <w:ind w:left="340" w:right="1120" w:hanging="4"/>
        <w:spacing w:after="0" w:line="204" w:lineRule="auto"/>
        <w:tabs>
          <w:tab w:leader="none" w:pos="4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losses and gains on foreign currency transactions, legal expenses, and removes the amortization attributable to the Company's noncontrolling interest.</w:t>
      </w:r>
    </w:p>
    <w:p>
      <w:pPr>
        <w:spacing w:after="0" w:line="36" w:lineRule="exact"/>
        <w:rPr>
          <w:sz w:val="20"/>
          <w:szCs w:val="20"/>
          <w:color w:val="auto"/>
        </w:rPr>
      </w:pPr>
    </w:p>
    <w:p>
      <w:pPr>
        <w:ind w:left="340" w:right="6400" w:hanging="4"/>
        <w:spacing w:after="0" w:line="236" w:lineRule="auto"/>
        <w:tabs>
          <w:tab w:leader="none" w:pos="4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provision for income taxes of pre-tax adjustments *Columns may not calculate due to rounding.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43"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EBITDA and EBITDA margin. </w:t>
      </w:r>
      <w:r>
        <w:rPr>
          <w:rFonts w:ascii="Times New Roman" w:cs="Times New Roman" w:eastAsia="Times New Roman" w:hAnsi="Times New Roman"/>
          <w:sz w:val="18"/>
          <w:szCs w:val="18"/>
          <w:color w:val="auto"/>
        </w:rPr>
        <w:t>EBITDA is defined as earnings before interest, income taxes, interest expense, net, other expense (income),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investment gain and other operating,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EBITDA and EBITDA margin to net income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33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r>
      <w:tr>
        <w:trPr>
          <w:trHeight w:val="223"/>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454.5</w:t>
            </w:r>
          </w:p>
        </w:tc>
        <w:tc>
          <w:tcPr>
            <w:tcW w:w="480" w:type="dxa"/>
            <w:vAlign w:val="bottom"/>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166.9</w:t>
            </w:r>
          </w:p>
        </w:tc>
        <w:tc>
          <w:tcPr>
            <w:tcW w:w="480" w:type="dxa"/>
            <w:vAlign w:val="bottom"/>
          </w:tcPr>
          <w:p>
            <w:pPr>
              <w:spacing w:after="0"/>
              <w:rPr>
                <w:sz w:val="19"/>
                <w:szCs w:val="19"/>
                <w:color w:val="auto"/>
              </w:rPr>
            </w:pPr>
          </w:p>
        </w:tc>
      </w:tr>
      <w:tr>
        <w:trPr>
          <w:trHeight w:val="230"/>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168.3</w:t>
            </w:r>
          </w:p>
        </w:tc>
        <w:tc>
          <w:tcPr>
            <w:tcW w:w="480" w:type="dxa"/>
            <w:vAlign w:val="bottom"/>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(gain) loss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Pr>
          <w:p>
            <w:pPr>
              <w:spacing w:after="0"/>
              <w:rPr>
                <w:sz w:val="19"/>
                <w:szCs w:val="19"/>
                <w:color w:val="auto"/>
              </w:rPr>
            </w:pPr>
          </w:p>
        </w:tc>
      </w:tr>
      <w:tr>
        <w:trPr>
          <w:trHeight w:val="230"/>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167.9</w:t>
            </w:r>
          </w:p>
        </w:tc>
        <w:tc>
          <w:tcPr>
            <w:tcW w:w="480" w:type="dxa"/>
            <w:vAlign w:val="bottom"/>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net</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19"/>
                <w:szCs w:val="19"/>
                <w:color w:val="auto"/>
              </w:rPr>
            </w:pPr>
          </w:p>
        </w:tc>
      </w:tr>
      <w:tr>
        <w:trPr>
          <w:trHeight w:val="223"/>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517.7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497.1</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957.2</w:t>
            </w:r>
          </w:p>
        </w:tc>
        <w:tc>
          <w:tcPr>
            <w:tcW w:w="48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48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975.7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948.2</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1,849.5</w:t>
            </w:r>
          </w:p>
        </w:tc>
        <w:tc>
          <w:tcPr>
            <w:tcW w:w="480" w:type="dxa"/>
            <w:vAlign w:val="bottom"/>
          </w:tcPr>
          <w:p>
            <w:pPr>
              <w:spacing w:after="0"/>
              <w:rPr>
                <w:sz w:val="19"/>
                <w:szCs w:val="19"/>
                <w:color w:val="auto"/>
              </w:rPr>
            </w:pPr>
          </w:p>
        </w:tc>
      </w:tr>
      <w:tr>
        <w:trPr>
          <w:trHeight w:val="230"/>
        </w:trPr>
        <w:tc>
          <w:tcPr>
            <w:tcW w:w="48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margin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480" w:type="dxa"/>
            <w:vAlign w:val="bottom"/>
          </w:tcPr>
          <w:p>
            <w:pPr>
              <w:spacing w:after="0"/>
              <w:rPr>
                <w:sz w:val="19"/>
                <w:szCs w:val="19"/>
                <w:color w:val="auto"/>
              </w:rPr>
            </w:pPr>
          </w:p>
        </w:tc>
      </w:tr>
      <w:tr>
        <w:trPr>
          <w:trHeight w:val="234"/>
        </w:trPr>
        <w:tc>
          <w:tcPr>
            <w:tcW w:w="480" w:type="dxa"/>
            <w:vAlign w:val="bottom"/>
          </w:tcPr>
          <w:p>
            <w:pPr>
              <w:spacing w:after="0"/>
              <w:rPr>
                <w:sz w:val="20"/>
                <w:szCs w:val="20"/>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Columns may not calculate due to rounding.</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562"/>
        </w:trPr>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Statements that are not historical facts, including statements about Corpay’s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"Risk Factors" in our Annual Report on Form 10-K for the year ended December 31, 2023 filed with the Securities and Exchange Commission on February 29, 2024, many of which are outside of our control, that could cause our actual results and experience to differ materially from any forward-looking statement.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not be realized due to a variety of factors, including, without limitation:</w:t>
      </w:r>
    </w:p>
    <w:p>
      <w:pPr>
        <w:spacing w:after="0" w:line="104"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our strategic plan and portfolio review, manage our growth and achieve our performance targets;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Arial" w:cs="Arial" w:eastAsia="Arial" w:hAnsi="Arial"/>
          <w:sz w:val="14"/>
          <w:szCs w:val="14"/>
          <w:color w:val="808289"/>
        </w:rPr>
      </w:pPr>
      <w:r>
        <w:rPr>
          <w:rFonts w:ascii="Times New Roman" w:cs="Times New Roman" w:eastAsia="Times New Roman" w:hAnsi="Times New Roman"/>
          <w:sz w:val="18"/>
          <w:szCs w:val="18"/>
          <w:color w:val="auto"/>
        </w:rPr>
        <w:t>regulatory measures, voluntary actions, or changes in consumer preferences, that impact our transaction volume;</w:t>
      </w:r>
    </w:p>
    <w:p>
      <w:pPr>
        <w:spacing w:after="0" w:line="117" w:lineRule="exact"/>
        <w:rPr>
          <w:rFonts w:ascii="Arial" w:cs="Arial" w:eastAsia="Arial" w:hAnsi="Arial"/>
          <w:sz w:val="14"/>
          <w:szCs w:val="14"/>
          <w:color w:val="808289"/>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program fees or charges we may collect, whether through legal, regulatory or contractual changes;</w:t>
      </w:r>
    </w:p>
    <w:p>
      <w:pPr>
        <w:spacing w:after="0" w:line="117" w:lineRule="exact"/>
        <w:rPr>
          <w:rFonts w:ascii="Times New Roman" w:cs="Times New Roman" w:eastAsia="Times New Roman" w:hAnsi="Times New Roman"/>
          <w:sz w:val="18"/>
          <w:szCs w:val="18"/>
          <w:color w:val="auto"/>
        </w:rPr>
      </w:pPr>
    </w:p>
    <w:p>
      <w:pPr>
        <w:jc w:val="both"/>
        <w:ind w:left="340" w:right="8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any recession that has occurred or may occur in the future, and whether expected trends, including retail fuel prices, fuel price spreads, fuel transaction patterns, electric vehicle, and retail lodging price trends develop as anticipated and we are able to develop successful strategies in light of these trends;</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operational and political risks and compliance and regulatory risks and costs associated with international operations, including the impact of the global military conflicts between Russia and Ukraine and in the Middle East, on our business and operations;</w:t>
      </w:r>
    </w:p>
    <w:p>
      <w:pPr>
        <w:spacing w:after="0" w:line="53"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and retain existing partners, fuel merchants, and lodging providers, their promotion and support of our products, and their financial performance;</w:t>
      </w:r>
    </w:p>
    <w:p>
      <w:pPr>
        <w:spacing w:after="0" w:line="53"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management assumptions and estimates, as well as differences in, and changes to, economic, market, interest rate, interchange fees, foreign exchange rates, and credit conditions, including changes in borrowers’ credit risks and payment behaviors;</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higher borrowing costs and adverse financial market conditions impacting our funding and liquidity, and any reduction in our credit ratings;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credit risks and the sufficiency of our allowance for expected credit losses;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securitize our trade receivables;</w:t>
      </w:r>
    </w:p>
    <w:p>
      <w:pPr>
        <w:spacing w:after="0" w:line="117" w:lineRule="exact"/>
        <w:rPr>
          <w:rFonts w:ascii="Times New Roman" w:cs="Times New Roman" w:eastAsia="Times New Roman" w:hAnsi="Times New Roman"/>
          <w:sz w:val="18"/>
          <w:szCs w:val="18"/>
          <w:color w:val="auto"/>
        </w:rPr>
      </w:pPr>
    </w:p>
    <w:p>
      <w:pPr>
        <w:ind w:left="340" w:right="72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fraudulent activity, data breaches or failures of our information security controls or cybersecurity-related incidents that may compromise our systems or customers’ information;</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in the operations of our computer systems and data centers;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implement new technology, products, and services;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alleged infringement of intellectual property rights of others and our ability to protect our intellectual property;</w:t>
      </w:r>
    </w:p>
    <w:p>
      <w:pPr>
        <w:spacing w:after="0" w:line="117"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supervision, and examination of our business by foreign and domestic governmental authorities, as well as litigation and regulatory actions, including the lawsuit filed by the Federal Trade Commission (FTC);</w:t>
      </w:r>
    </w:p>
    <w:p>
      <w:pPr>
        <w:spacing w:after="0" w:line="5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and related requirements relating to privacy, information security and data protection; derivative contracts and hedging activities; use of third-party vendors and ongoing third-party business relationships; and failure to comply with anti-money laundering (AML) and anti-terrorism financing laws;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senior management team and our ability to attract, motivate and retain qualified personnel consistent with our strategic plan;</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initiatives or challenges to our tax positions and/or interpretations, and state sales tax rules and regulations;</w:t>
      </w:r>
    </w:p>
    <w:p>
      <w:pPr>
        <w:spacing w:after="0" w:line="11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and the ongoing effectiveness of internal control over financial reporting;</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both"/>
        <w:ind w:left="340" w:right="2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restatement of prior quarterly financial statements discussed in our Annual Report on Form 10-K for the year ended December 31, 2023 may affect investor confidence and raise reputational issues and may subject us to additional risks and uncertainties, including increased professional costs and the increased possibility of legal proceedings and regulatory inquiries; and</w:t>
      </w:r>
    </w:p>
    <w:p>
      <w:pPr>
        <w:spacing w:after="0" w:line="67"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and information in our Annual Report on Form 10-K and other filings that we make with the Securities and Exchange Commission (SEC) under the Exchange Act and Securities Act. See "Risk Factors" in our Annual Report on Form 10-K for the year ended December 31, 2023 filed with the Securities and Exchange Commission on February 29, 2024.</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get Corpay’s SEC filings for free by visiting the SEC web site at www.sec.gov.</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report includes non-GAAP financial measures, which are used by Corpay and investors as supplemental measures to evaluate the overall operating performance of companies in our industry. By providing these non-GAAP financial measures, together with reconciliations, we believe we are enhancing investors' understanding of our business and our results of operations, as well as assisting investors in evaluating how well we are executing strategic initiatives. See "Management’s Use of Non-GAAP Financial Measures" elsewhere in this Quarterly Report on Form 10-Q for additional information regarding these GAAP financial measures and a reconciliation to the nearest corresponding GAAP measure.</w:t>
      </w:r>
    </w:p>
    <w:p>
      <w:pPr>
        <w:spacing w:after="0" w:line="35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30, 2024, there have been no material changes to our market risk from that disclosed in our Annual Report on Form 10-K for the year ended December 31, 2023.</w:t>
      </w:r>
    </w:p>
    <w:p>
      <w:pPr>
        <w:spacing w:after="0" w:line="33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June 30, 2024,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and as a result of the material weaknesses described below, our Chief Executive Officer and Chief Financial Officer concluded that, as of June 30, 2024, our disclosure controls and procedures were not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not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discussed in our Annual Report on Form 10-K for the year ended December 31, 2023, we identified the following material weaknesses in internal controls:</w:t>
      </w:r>
    </w:p>
    <w:p>
      <w:pPr>
        <w:spacing w:after="0" w:line="54" w:lineRule="exact"/>
        <w:rPr>
          <w:sz w:val="20"/>
          <w:szCs w:val="20"/>
          <w:color w:val="auto"/>
        </w:rPr>
      </w:pPr>
    </w:p>
    <w:p>
      <w:pPr>
        <w:ind w:left="660" w:right="160" w:hanging="4"/>
        <w:spacing w:after="0" w:line="261"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w:t>
      </w:r>
    </w:p>
    <w:p>
      <w:pPr>
        <w:spacing w:after="0" w:line="7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resulting from ineffective controls over the application of U.S. GAAP guidance related to the balance sheet recognition of customer funds held for the benefit of others, which resulted in the restatement of previously issued 2023 interim consolidated financial statements as further discussed within our Annual Report on Form 10-K filed with the SEC on February 29, 2024.</w:t>
      </w:r>
    </w:p>
    <w:p>
      <w:pPr>
        <w:spacing w:after="0" w:line="6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a result of the material weaknesses, identified, the Company has begun updating its internal control over financial reporting as discussed in its remediation plan updated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Update</w:t>
      </w:r>
    </w:p>
    <w:p>
      <w:pPr>
        <w:spacing w:after="0" w:line="119" w:lineRule="exact"/>
        <w:rPr>
          <w:sz w:val="20"/>
          <w:szCs w:val="20"/>
          <w:color w:val="auto"/>
        </w:rPr>
      </w:pPr>
    </w:p>
    <w:p>
      <w:pPr>
        <w:ind w:left="660" w:right="80" w:hanging="4"/>
        <w:spacing w:after="0" w:line="261" w:lineRule="auto"/>
        <w:tabs>
          <w:tab w:leader="none" w:pos="9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has been implementing and continues to implement measures designed to ensure that control deficiencies contributing to the ITGC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660"/>
        <w:spacing w:after="0" w:line="256" w:lineRule="auto"/>
        <w:rPr>
          <w:sz w:val="20"/>
          <w:szCs w:val="20"/>
          <w:color w:val="auto"/>
        </w:rPr>
      </w:pPr>
      <w:r>
        <w:rPr>
          <w:rFonts w:ascii="Times New Roman" w:cs="Times New Roman" w:eastAsia="Times New Roman" w:hAnsi="Times New Roman"/>
          <w:sz w:val="18"/>
          <w:szCs w:val="18"/>
          <w:color w:val="auto"/>
        </w:rPr>
        <w:t>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spacing w:after="0" w:line="214" w:lineRule="exact"/>
        <w:rPr>
          <w:sz w:val="20"/>
          <w:szCs w:val="20"/>
          <w:color w:val="auto"/>
        </w:rPr>
      </w:pPr>
    </w:p>
    <w:p>
      <w:pPr>
        <w:ind w:left="660" w:right="340" w:hanging="4"/>
        <w:spacing w:after="0" w:line="282" w:lineRule="auto"/>
        <w:tabs>
          <w:tab w:leader="none" w:pos="9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developed enhanced monitoring and oversight controls in the application of U.S. GAAP guidance pertaining to customer funds held for the benefit of others.</w:t>
      </w:r>
    </w:p>
    <w:p>
      <w:pPr>
        <w:spacing w:after="0" w:line="18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We believe that these actions will remediate the material weaknesses. The material weaknesses will not be considered remediated, however, until the applicable controls operate for a sufficient period of time and our management has concluded, through testing, that these controls are operating effectively.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Other than the changes to our internal control over financial reporting described above, there were no changes in our internal control over financial reporting (as defined in Rules 13a-15(f) or 15d-15(f) of the Exchange Act) during the quarter ended June 30, 2024, that have materially affected, or are reasonably likely to materially affect, our internal control over financial reporting.</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Lawsuits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January 20, 2023, the previous State Derivative Action plaintiffs filed a new derivative lawsuit in the Superior Court of Gwinnett County, Georgia. The new lawsuit, </w:t>
      </w:r>
      <w:r>
        <w:rPr>
          <w:rFonts w:ascii="Times New Roman" w:cs="Times New Roman" w:eastAsia="Times New Roman" w:hAnsi="Times New Roman"/>
          <w:sz w:val="18"/>
          <w:szCs w:val="18"/>
          <w:i w:val="1"/>
          <w:iCs w:val="1"/>
          <w:color w:val="auto"/>
        </w:rPr>
        <w:t>City of Aventura Police Officers’ Retirement Fund, derivatively on behalf of FleetCor Technologies, Inc. v. Ronald F. Clarke and Eric R. Dey</w:t>
      </w:r>
      <w:r>
        <w:rPr>
          <w:rFonts w:ascii="Times New Roman" w:cs="Times New Roman" w:eastAsia="Times New Roman" w:hAnsi="Times New Roman"/>
          <w:sz w:val="18"/>
          <w:szCs w:val="18"/>
          <w:color w:val="auto"/>
        </w:rPr>
        <w:t>,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J</w:t>
      </w:r>
      <w:r>
        <w:rPr>
          <w:rFonts w:ascii="Times New Roman" w:cs="Times New Roman" w:eastAsia="Times New Roman" w:hAnsi="Times New Roman"/>
          <w:sz w:val="18"/>
          <w:szCs w:val="18"/>
          <w:i w:val="1"/>
          <w:iCs w:val="1"/>
          <w:color w:val="auto"/>
        </w:rPr>
        <w:t>errell Whitten, derivatively on behalf of FleetCor Technologies, Inc.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Ronald F. Clarke and Eric R. Dey</w:t>
      </w:r>
      <w:r>
        <w:rPr>
          <w:rFonts w:ascii="Times New Roman" w:cs="Times New Roman" w:eastAsia="Times New Roman" w:hAnsi="Times New Roman"/>
          <w:sz w:val="18"/>
          <w:szCs w:val="18"/>
          <w:color w:val="auto"/>
        </w:rPr>
        <w:t>, against Mr. Clarke and Mr. Dey in Gwinnett County, Georgia. On May 1, 2024, both pending derivative cases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transferred to the Fulton County Metro Atlanta Business Case Division and consolidated as </w:t>
      </w:r>
      <w:r>
        <w:rPr>
          <w:rFonts w:ascii="Times New Roman" w:cs="Times New Roman" w:eastAsia="Times New Roman" w:hAnsi="Times New Roman"/>
          <w:sz w:val="18"/>
          <w:szCs w:val="18"/>
          <w:i w:val="1"/>
          <w:iCs w:val="1"/>
          <w:color w:val="auto"/>
        </w:rPr>
        <w:t>In re Corpay, Inc. Shareholder Derivative Litigation</w:t>
      </w:r>
      <w:r>
        <w:rPr>
          <w:rFonts w:ascii="Times New Roman" w:cs="Times New Roman" w:eastAsia="Times New Roman" w:hAnsi="Times New Roman"/>
          <w:sz w:val="18"/>
          <w:szCs w:val="18"/>
          <w:color w:val="auto"/>
        </w:rPr>
        <w:t>, CAFN 2023CV383303 (consolidated with CAFN 2023CV381421).</w:t>
      </w:r>
    </w:p>
    <w:p>
      <w:pPr>
        <w:spacing w:after="0" w:line="8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July 10, 2024, the defendants filed a motion to dismiss the consolidated lawsuit. The defendants dispute the allegations in the consolidated derivative action and intend to vigorously defend against the claims.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FTC Matter</w:t>
      </w:r>
    </w:p>
    <w:p>
      <w:pPr>
        <w:spacing w:after="0" w:line="1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FLEETCOR 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43"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and Part II, Item 1A, "Risk Factors" in other reports we file with the Securities and Exchange Commission, from time to time, all of which could materially affect our business, financial condition or future results. There have been no material changes in our risk factors from those disclosed under the caption "Item 1A. Risk factors" to our annual report on Form 10-K for the year ended December 31, 2023.</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Use of Proceeds, and Issuer Purchases of Securities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announced on February 4, 2016 that its Board approved a stock repurchase program (as updated from time to time, the "Program") authorizing the Company to repurchase its common stock from time to time until February 4, 2025. On January 25, 2024, the Board authorized an increase to the aggregate size of the Program by $1.0 billion to $8.1 billion. Since the beginning of the Program through June 30, 2024, 32,129,909 shares have been repurchased for an aggregate purchase price of $7.5 billion, leaving the Company up to $0.6 billion of remaining authorization available under the Program for future repurchases of shares of its common stock.</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June 30, 2024, with respect to purchases of common stock of the Company made during the three months ended June 30, 2024 by the Company as defined in Rule 10b-18(a)(3) under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Value that May</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the</w:t>
            </w:r>
          </w:p>
        </w:tc>
        <w:tc>
          <w:tcPr>
            <w:tcW w:w="1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 Under the</w:t>
            </w:r>
          </w:p>
        </w:tc>
        <w:tc>
          <w:tcPr>
            <w:tcW w:w="0" w:type="dxa"/>
            <w:vAlign w:val="bottom"/>
          </w:tcPr>
          <w:p>
            <w:pPr>
              <w:spacing w:after="0"/>
              <w:rPr>
                <w:sz w:val="1"/>
                <w:szCs w:val="1"/>
                <w:color w:val="auto"/>
              </w:rPr>
            </w:pPr>
          </w:p>
        </w:tc>
      </w:tr>
      <w:tr>
        <w:trPr>
          <w:trHeight w:val="146"/>
        </w:trPr>
        <w:tc>
          <w:tcPr>
            <w:tcW w:w="4400" w:type="dxa"/>
            <w:vAlign w:val="bottom"/>
            <w:gridSpan w:val="2"/>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 Plan</w:t>
            </w:r>
          </w:p>
        </w:tc>
        <w:tc>
          <w:tcPr>
            <w:tcW w:w="0" w:type="dxa"/>
            <w:vAlign w:val="bottom"/>
          </w:tcPr>
          <w:p>
            <w:pPr>
              <w:spacing w:after="0"/>
              <w:rPr>
                <w:sz w:val="1"/>
                <w:szCs w:val="1"/>
                <w:color w:val="auto"/>
              </w:rPr>
            </w:pPr>
          </w:p>
        </w:tc>
      </w:tr>
      <w:tr>
        <w:trPr>
          <w:trHeight w:val="203"/>
        </w:trPr>
        <w:tc>
          <w:tcPr>
            <w:tcW w:w="4400" w:type="dxa"/>
            <w:vAlign w:val="bottom"/>
            <w:gridSpan w:val="2"/>
            <w:vMerge w:val="continue"/>
          </w:tcPr>
          <w:p>
            <w:pPr>
              <w:spacing w:after="0"/>
              <w:rPr>
                <w:sz w:val="17"/>
                <w:szCs w:val="17"/>
                <w:color w:val="auto"/>
              </w:rPr>
            </w:pPr>
          </w:p>
        </w:tc>
        <w:tc>
          <w:tcPr>
            <w:tcW w:w="176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Purchased</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80" w:type="dxa"/>
            <w:vAlign w:val="bottom"/>
          </w:tcPr>
          <w:p>
            <w:pPr>
              <w:spacing w:after="0"/>
              <w:rPr>
                <w:sz w:val="17"/>
                <w:szCs w:val="17"/>
                <w:color w:val="auto"/>
              </w:rPr>
            </w:pPr>
          </w:p>
        </w:tc>
        <w:tc>
          <w:tcPr>
            <w:tcW w:w="14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1,090,888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863,207</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609,780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0" w:right="360" w:firstLine="6"/>
        <w:spacing w:after="0" w:line="208" w:lineRule="auto"/>
        <w:tabs>
          <w:tab w:leader="none" w:pos="107"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quarter ended June 30, 2024, pursuant to our Stock Incentive Plan, we withheld 19,309 shares, at an average price per share of $298.70, in order to satisfy employees' tax withholding obligations in connection with the vesting of awards of restricted stock.</w:t>
      </w:r>
    </w:p>
    <w:p>
      <w:pPr>
        <w:spacing w:after="0" w:line="28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4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7"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4"/>
          <w:szCs w:val="14"/>
          <w:b w:val="1"/>
          <w:bCs w:val="1"/>
          <w:u w:val="single" w:color="auto"/>
          <w:color w:val="auto"/>
        </w:rPr>
        <w:t>No.</w:t>
      </w: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70">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1</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Amended and Restated Certificate of Incorporation of FLEETCOR Technologies, Inc., now known as Corpay, Inc., conformed</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to reflect amendments through June 9, 2022 (incorporated by reference to Exhibit 3.1 to the registrant’s Current Report on</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10-K, File No. 001-35004, filed with the SEC on February 28, 2023)</w:t>
            </w:r>
          </w:p>
        </w:tc>
      </w:tr>
      <w:tr>
        <w:trPr>
          <w:trHeight w:val="243"/>
        </w:trPr>
        <w:tc>
          <w:tcPr>
            <w:tcW w:w="320" w:type="dxa"/>
            <w:vAlign w:val="bottom"/>
            <w:gridSpan w:val="2"/>
          </w:tcPr>
          <w:p>
            <w:pPr>
              <w:jc w:val="center"/>
              <w:ind w:left="10"/>
              <w:spacing w:after="0"/>
              <w:rPr>
                <w:rFonts w:ascii="Times New Roman" w:cs="Times New Roman" w:eastAsia="Times New Roman" w:hAnsi="Times New Roman"/>
                <w:sz w:val="18"/>
                <w:szCs w:val="18"/>
                <w:color w:val="auto"/>
                <w:w w:val="97"/>
              </w:rPr>
            </w:pPr>
            <w:hyperlink r:id="rId71">
              <w:r>
                <w:rPr>
                  <w:rFonts w:ascii="Times New Roman" w:cs="Times New Roman" w:eastAsia="Times New Roman" w:hAnsi="Times New Roman"/>
                  <w:sz w:val="18"/>
                  <w:szCs w:val="18"/>
                  <w:color w:val="auto"/>
                  <w:w w:val="97"/>
                </w:rPr>
                <w:t>3.</w:t>
              </w:r>
            </w:hyperlink>
            <w:r>
              <w:rPr>
                <w:rFonts w:ascii="Times New Roman" w:cs="Times New Roman" w:eastAsia="Times New Roman" w:hAnsi="Times New Roman"/>
                <w:sz w:val="18"/>
                <w:szCs w:val="18"/>
                <w:u w:val="single" w:color="auto"/>
                <w:color w:val="auto"/>
                <w:w w:val="97"/>
              </w:rPr>
              <w:t>2</w:t>
            </w:r>
          </w:p>
        </w:tc>
        <w:tc>
          <w:tcPr>
            <w:tcW w:w="580" w:type="dxa"/>
            <w:vAlign w:val="bottom"/>
          </w:tcPr>
          <w:p>
            <w:pPr>
              <w:spacing w:after="0"/>
              <w:rPr>
                <w:sz w:val="21"/>
                <w:szCs w:val="21"/>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Certificate of Ownership and Merger Merging CPAY Merger Sub, Inc. into FLEETCOR Technologies, Inc. effective on March</w:t>
            </w:r>
          </w:p>
        </w:tc>
      </w:tr>
      <w:tr>
        <w:trPr>
          <w:trHeight w:val="151"/>
        </w:trPr>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9620" w:type="dxa"/>
            <w:vAlign w:val="bottom"/>
          </w:tcPr>
          <w:p>
            <w:pPr>
              <w:ind w:left="480"/>
              <w:spacing w:after="0" w:line="150" w:lineRule="exact"/>
              <w:rPr>
                <w:sz w:val="20"/>
                <w:szCs w:val="20"/>
                <w:color w:val="auto"/>
              </w:rPr>
            </w:pPr>
            <w:r>
              <w:rPr>
                <w:rFonts w:ascii="Times New Roman" w:cs="Times New Roman" w:eastAsia="Times New Roman" w:hAnsi="Times New Roman"/>
                <w:sz w:val="17"/>
                <w:szCs w:val="17"/>
                <w:color w:val="auto"/>
              </w:rPr>
              <w:t>24, 2024 (incorporated by reference to Exhibit 3.1 to the Registrant’s Current Report on Form 8-K, File No. 001-35004, filed</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March 7, 2024)</w:t>
            </w:r>
          </w:p>
        </w:tc>
      </w:tr>
      <w:tr>
        <w:trPr>
          <w:trHeight w:val="243"/>
        </w:trPr>
        <w:tc>
          <w:tcPr>
            <w:tcW w:w="900" w:type="dxa"/>
            <w:vAlign w:val="bottom"/>
            <w:gridSpan w:val="3"/>
          </w:tcPr>
          <w:p>
            <w:pPr>
              <w:jc w:val="center"/>
              <w:ind w:right="480"/>
              <w:spacing w:after="0"/>
              <w:rPr>
                <w:rFonts w:ascii="Times New Roman" w:cs="Times New Roman" w:eastAsia="Times New Roman" w:hAnsi="Times New Roman"/>
                <w:sz w:val="18"/>
                <w:szCs w:val="18"/>
                <w:color w:val="auto"/>
                <w:w w:val="97"/>
              </w:rPr>
            </w:pPr>
            <w:hyperlink r:id="rId72">
              <w:r>
                <w:rPr>
                  <w:rFonts w:ascii="Times New Roman" w:cs="Times New Roman" w:eastAsia="Times New Roman" w:hAnsi="Times New Roman"/>
                  <w:sz w:val="18"/>
                  <w:szCs w:val="18"/>
                  <w:color w:val="auto"/>
                  <w:w w:val="97"/>
                </w:rPr>
                <w:t>3.</w:t>
              </w:r>
              <w:r>
                <w:rPr>
                  <w:rFonts w:ascii="Times New Roman" w:cs="Times New Roman" w:eastAsia="Times New Roman" w:hAnsi="Times New Roman"/>
                  <w:sz w:val="18"/>
                  <w:szCs w:val="18"/>
                  <w:u w:val="single" w:color="auto"/>
                  <w:color w:val="auto"/>
                  <w:w w:val="97"/>
                </w:rPr>
                <w:t>3</w:t>
              </w:r>
            </w:hyperlink>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Corpay, Inc. Amended and Restated Bylaws, effective as of March 24, 2024 (incorporated by reference to Exhibit 3.2 to the</w:t>
            </w:r>
          </w:p>
        </w:tc>
      </w:tr>
      <w:tr>
        <w:trPr>
          <w:trHeight w:val="214"/>
        </w:trPr>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Registrant’s Current Report on Form 8-K, File No. 001-35004, filed with the SEC on March 7, 2024)</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31.2*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and rule 15d-14(a) of the Securities Exchange Act, as</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amended</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Certification of Chief Executive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38"/>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32.2*</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 as adopted pursuant to Section 906 of the Sarbanes-Oxley</w:t>
            </w:r>
          </w:p>
        </w:tc>
      </w:tr>
      <w:tr>
        <w:trPr>
          <w:trHeight w:val="214"/>
        </w:trPr>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Act of 2002</w:t>
            </w:r>
          </w:p>
        </w:tc>
      </w:tr>
      <w:tr>
        <w:trPr>
          <w:trHeight w:val="225"/>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101*</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financial information for the Registrant formatted in XBRL (Extensible Business Reporting Language): (i) the</w:t>
            </w:r>
          </w:p>
        </w:tc>
      </w:tr>
      <w:tr>
        <w:trPr>
          <w:trHeight w:val="184"/>
        </w:trPr>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20" w:type="dxa"/>
            <w:vAlign w:val="bottom"/>
          </w:tcPr>
          <w:p>
            <w:pPr>
              <w:ind w:left="480"/>
              <w:spacing w:after="0" w:line="184" w:lineRule="exact"/>
              <w:rPr>
                <w:sz w:val="20"/>
                <w:szCs w:val="20"/>
                <w:color w:val="auto"/>
              </w:rPr>
            </w:pPr>
            <w:r>
              <w:rPr>
                <w:rFonts w:ascii="Times New Roman" w:cs="Times New Roman" w:eastAsia="Times New Roman" w:hAnsi="Times New Roman"/>
                <w:sz w:val="18"/>
                <w:szCs w:val="18"/>
                <w:color w:val="auto"/>
              </w:rPr>
              <w:t>Consolidated Balance Sheets, (ii) the Unaudited Consolidated Statements of Income, (iii) the Unaudited Consolidated</w:t>
            </w:r>
          </w:p>
        </w:tc>
      </w:tr>
      <w:tr>
        <w:trPr>
          <w:trHeight w:val="180"/>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20" w:type="dxa"/>
            <w:vAlign w:val="bottom"/>
          </w:tcPr>
          <w:p>
            <w:pPr>
              <w:ind w:left="48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(iv) the Unaudited Consolidated Statements of Cash Flows and (v) the Notes to</w:t>
            </w:r>
          </w:p>
        </w:tc>
      </w:tr>
      <w:tr>
        <w:trPr>
          <w:trHeight w:val="234"/>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r>
      <w:tr>
        <w:trPr>
          <w:trHeight w:val="279"/>
        </w:trPr>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9"/>
              </w:rPr>
              <w:t>104*</w:t>
            </w:r>
          </w:p>
        </w:tc>
        <w:tc>
          <w:tcPr>
            <w:tcW w:w="9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Herein</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in their capacities indicated on August 9, 2024.</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Corpay, Inc.</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49"/>
        </w:trPr>
        <w:tc>
          <w:tcPr>
            <w:tcW w:w="49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80" w:type="dxa"/>
            <w:vAlign w:val="bottom"/>
          </w:tcPr>
          <w:p>
            <w:pPr>
              <w:spacing w:after="0"/>
              <w:rPr>
                <w:sz w:val="24"/>
                <w:szCs w:val="24"/>
                <w:color w:val="auto"/>
              </w:rPr>
            </w:pPr>
          </w:p>
        </w:tc>
        <w:tc>
          <w:tcPr>
            <w:tcW w:w="55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75"/>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Ronald F. Clarke</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145"/>
        </w:trPr>
        <w:tc>
          <w:tcPr>
            <w:tcW w:w="492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5540" w:type="dxa"/>
            <w:vAlign w:val="bottom"/>
            <w:vMerge w:val="restart"/>
          </w:tcPr>
          <w:p>
            <w:pPr>
              <w:ind w:left="300"/>
              <w:spacing w:after="0" w:line="181" w:lineRule="exact"/>
              <w:rPr>
                <w:sz w:val="20"/>
                <w:szCs w:val="20"/>
                <w:color w:val="auto"/>
              </w:rPr>
            </w:pPr>
            <w:r>
              <w:rPr>
                <w:rFonts w:ascii="Times New Roman" w:cs="Times New Roman" w:eastAsia="Times New Roman" w:hAnsi="Times New Roman"/>
                <w:sz w:val="18"/>
                <w:szCs w:val="18"/>
                <w:color w:val="auto"/>
              </w:rPr>
              <w:t>Directors (Duly Authorized Officer and Principal</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Ronald F. Clarke</w:t>
            </w:r>
          </w:p>
        </w:tc>
        <w:tc>
          <w:tcPr>
            <w:tcW w:w="78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2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49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Tom Panther</w:t>
            </w:r>
          </w:p>
        </w:tc>
        <w:tc>
          <w:tcPr>
            <w:tcW w:w="78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0" w:type="dxa"/>
            <w:vAlign w:val="bottom"/>
          </w:tcPr>
          <w:p>
            <w:pPr>
              <w:spacing w:after="0"/>
              <w:rPr>
                <w:sz w:val="1"/>
                <w:szCs w:val="1"/>
                <w:color w:val="auto"/>
              </w:rPr>
            </w:pPr>
          </w:p>
        </w:tc>
      </w:tr>
      <w:tr>
        <w:trPr>
          <w:trHeight w:val="40"/>
        </w:trPr>
        <w:tc>
          <w:tcPr>
            <w:tcW w:w="4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5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 Panther</w:t>
            </w:r>
          </w:p>
        </w:tc>
        <w:tc>
          <w:tcPr>
            <w:tcW w:w="78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Tom Panther,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Corpay,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200" w:hanging="4"/>
        <w:spacing w:after="0" w:line="266"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700" w:hanging="4"/>
        <w:spacing w:after="0" w:line="312" w:lineRule="auto"/>
        <w:tabs>
          <w:tab w:leader="none" w:pos="845"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4"/>
        <w:spacing w:after="0" w:line="266"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100" w:hanging="4"/>
        <w:spacing w:after="0" w:line="282" w:lineRule="auto"/>
        <w:tabs>
          <w:tab w:leader="none" w:pos="84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85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54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Corpay, Inc., a Delaware corporation (the “Company”), on Form 10-Q for the period ended June 30, 2024, as filed with the Securities and Exchange Commission (the “Report”), Ronald F. Clarke, Chief Executive Officer of the Company, does hereby certify, pursuant to § 906 of the Sarbanes-Oxley Act of 2002 (18 U.S.C. § 1350), that to his knowledge:</w:t>
      </w:r>
    </w:p>
    <w:p>
      <w:pPr>
        <w:spacing w:after="0" w:line="122" w:lineRule="exact"/>
        <w:rPr>
          <w:sz w:val="20"/>
          <w:szCs w:val="20"/>
          <w:color w:val="auto"/>
        </w:rPr>
      </w:pPr>
    </w:p>
    <w:p>
      <w:pPr>
        <w:ind w:left="920" w:hanging="264"/>
        <w:spacing w:after="0"/>
        <w:tabs>
          <w:tab w:leader="none" w:pos="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719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Ronald F. Clarke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of Corpay, Inc., a Delaware corporation (the “Company”), on Form 10-Q for the period ended June 30, 2024, as filed with the Securities and Exchange Commission (the “Report”), Tom Panther, Chief Financial Officer of the Company, does hereby certify, pursuant to</w:t>
      </w:r>
    </w:p>
    <w:p>
      <w:pPr>
        <w:spacing w:after="0" w:line="1"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906 of the Sarbanes-Oxley Act of 2002 (18 U.S.C. § 1350), that to his knowledge:</w:t>
      </w:r>
    </w:p>
    <w:p>
      <w:pPr>
        <w:spacing w:after="0" w:line="152"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0465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Tom Panther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9, 2024</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Corpay, Inc. and will be retained by Corpay,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6"/>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1"/>
      <w:numFmt w:val="bullet"/>
      <w:start w:val="1"/>
    </w:lvl>
  </w:abstractNum>
  <w:abstractNum w:abstractNumId="6">
    <w:nsid w:val="436C6125"/>
    <w:multiLevelType w:val="hybridMultilevel"/>
    <w:lvl w:ilvl="0">
      <w:lvlJc w:val="left"/>
      <w:lvlText w:val="2"/>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bullet"/>
      <w:start w:val="1"/>
    </w:lvl>
  </w:abstractNum>
  <w:abstractNum w:abstractNumId="9">
    <w:nsid w:val="721DA317"/>
    <w:multiLevelType w:val="hybridMultilevel"/>
    <w:lvl w:ilvl="0">
      <w:lvlJc w:val="left"/>
      <w:lvlText w:val="2"/>
      <w:numFmt w:val="bullet"/>
      <w:start w:val="1"/>
    </w:lvl>
  </w:abstractNum>
  <w:abstractNum w:abstractNumId="10">
    <w:nsid w:val="2443A858"/>
    <w:multiLevelType w:val="hybridMultilevel"/>
    <w:lvl w:ilvl="0">
      <w:lvlJc w:val="left"/>
      <w:lvlText w:val="3"/>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bullet"/>
      <w:start w:val="1"/>
    </w:lvl>
  </w:abstractNum>
  <w:abstractNum w:abstractNumId="21">
    <w:nsid w:val="2CA88611"/>
    <w:multiLevelType w:val="hybridMultilevel"/>
    <w:lvl w:ilvl="0">
      <w:lvlJc w:val="left"/>
      <w:lvlText w:val="2"/>
      <w:numFmt w:val="bullet"/>
      <w:start w:val="1"/>
    </w:lvl>
  </w:abstractNum>
  <w:abstractNum w:abstractNumId="22">
    <w:nsid w:val="836C40E"/>
    <w:multiLevelType w:val="hybridMultilevel"/>
    <w:lvl w:ilvl="0">
      <w:lvlJc w:val="left"/>
      <w:lvlText w:val="3"/>
      <w:numFmt w:val="bullet"/>
      <w:start w:val="1"/>
    </w:lvl>
  </w:abstractNum>
  <w:abstractNum w:abstractNumId="23">
    <w:nsid w:val="2901D82"/>
    <w:multiLevelType w:val="hybridMultilevel"/>
    <w:lvl w:ilvl="0">
      <w:lvlJc w:val="left"/>
      <w:lvlText w:val="4"/>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2"/>
    </w:lvl>
  </w:abstractNum>
  <w:abstractNum w:abstractNumId="29">
    <w:nsid w:val="6CEAF087"/>
    <w:multiLevelType w:val="hybridMultilevel"/>
    <w:lvl w:ilvl="0">
      <w:lvlJc w:val="left"/>
      <w:lvlText w:val="1"/>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0" Type="http://schemas.openxmlformats.org/officeDocument/2006/relationships/hyperlink" Target="https://www.sec.gov/Archives/edgar/data/1175454/000162828023005444/ex31certificateofincorpora.htm" TargetMode="External"/><Relationship Id="rId71" Type="http://schemas.openxmlformats.org/officeDocument/2006/relationships/hyperlink" Target="https://www.sec.gov/Archives/edgar/data/1175454/000162828024010593/exhibit31certificateofowne.htm" TargetMode="External"/><Relationship Id="rId72" Type="http://schemas.openxmlformats.org/officeDocument/2006/relationships/hyperlink" Target="https://www.sec.gov/Archives/edgar/data/1175454/000162828024010593/exhibit32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2024-08-09T13:45:05Z</dcterms:created>
  <dcterms:modified xsi:type="dcterms:W3CDTF">2024-08-09T13:45:05Z</dcterms:modified>
</cp:coreProperties>
</file>